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16E200">
      <w:pPr>
        <w:tabs>
          <w:tab w:val="left" w:pos="420"/>
        </w:tabs>
        <w:spacing w:line="1700" w:lineRule="exact"/>
        <w:jc w:val="center"/>
        <w:rPr>
          <w:rFonts w:hint="eastAsia" w:ascii="宋体" w:hAnsi="宋体" w:eastAsia="宋体" w:cs="宋体"/>
          <w:b/>
          <w:color w:val="auto"/>
          <w:spacing w:val="36"/>
          <w:sz w:val="52"/>
          <w:szCs w:val="52"/>
          <w:highlight w:val="none"/>
        </w:rPr>
      </w:pPr>
      <w:r>
        <w:rPr>
          <w:rFonts w:hint="eastAsia" w:ascii="宋体" w:hAnsi="宋体" w:eastAsia="宋体" w:cs="宋体"/>
          <w:b/>
          <w:bCs/>
          <w:color w:val="auto"/>
          <w:spacing w:val="36"/>
          <w:sz w:val="52"/>
          <w:szCs w:val="52"/>
          <w:highlight w:val="none"/>
        </w:rPr>
        <w:t>周口市公共资源交易中心</w:t>
      </w:r>
    </w:p>
    <w:p w14:paraId="2B9CB63B">
      <w:pPr>
        <w:tabs>
          <w:tab w:val="left" w:pos="315"/>
          <w:tab w:val="left" w:pos="8820"/>
        </w:tabs>
        <w:spacing w:line="500" w:lineRule="exact"/>
        <w:ind w:right="267" w:rightChars="127"/>
        <w:jc w:val="center"/>
        <w:rPr>
          <w:rFonts w:hint="eastAsia" w:ascii="宋体" w:hAnsi="宋体" w:eastAsia="宋体" w:cs="宋体"/>
          <w:b/>
          <w:bCs/>
          <w:color w:val="auto"/>
          <w:sz w:val="48"/>
          <w:highlight w:val="none"/>
        </w:rPr>
      </w:pPr>
    </w:p>
    <w:p w14:paraId="0E3D8C77">
      <w:pPr>
        <w:pStyle w:val="38"/>
        <w:ind w:firstLine="482"/>
        <w:rPr>
          <w:rFonts w:hint="eastAsia" w:ascii="宋体" w:hAnsi="宋体" w:eastAsia="宋体" w:cs="宋体"/>
          <w:b/>
          <w:bCs/>
          <w:color w:val="auto"/>
          <w:sz w:val="48"/>
          <w:highlight w:val="none"/>
        </w:rPr>
      </w:pPr>
    </w:p>
    <w:p w14:paraId="26C75ADD">
      <w:pPr>
        <w:pStyle w:val="38"/>
        <w:ind w:firstLine="482"/>
        <w:rPr>
          <w:rFonts w:hint="eastAsia" w:ascii="宋体" w:hAnsi="宋体" w:eastAsia="宋体" w:cs="宋体"/>
          <w:b/>
          <w:bCs/>
          <w:color w:val="auto"/>
          <w:sz w:val="48"/>
          <w:highlight w:val="none"/>
        </w:rPr>
      </w:pPr>
    </w:p>
    <w:p w14:paraId="63F9F27E">
      <w:pPr>
        <w:pStyle w:val="38"/>
        <w:ind w:firstLine="482"/>
        <w:rPr>
          <w:rFonts w:hint="eastAsia" w:ascii="宋体" w:hAnsi="宋体" w:eastAsia="宋体" w:cs="宋体"/>
          <w:b/>
          <w:bCs/>
          <w:color w:val="auto"/>
          <w:sz w:val="48"/>
          <w:highlight w:val="none"/>
        </w:rPr>
      </w:pPr>
    </w:p>
    <w:p w14:paraId="5CDA31D6">
      <w:pPr>
        <w:pStyle w:val="38"/>
        <w:ind w:firstLine="482"/>
        <w:rPr>
          <w:rFonts w:hint="eastAsia" w:ascii="宋体" w:hAnsi="宋体" w:eastAsia="宋体" w:cs="宋体"/>
          <w:b/>
          <w:bCs/>
          <w:color w:val="auto"/>
          <w:sz w:val="48"/>
          <w:highlight w:val="none"/>
        </w:rPr>
      </w:pPr>
    </w:p>
    <w:p w14:paraId="0410DD89">
      <w:pPr>
        <w:pStyle w:val="38"/>
        <w:ind w:firstLine="482"/>
        <w:rPr>
          <w:rFonts w:hint="eastAsia" w:ascii="宋体" w:hAnsi="宋体" w:eastAsia="宋体" w:cs="宋体"/>
          <w:b/>
          <w:bCs/>
          <w:color w:val="auto"/>
          <w:sz w:val="48"/>
          <w:highlight w:val="none"/>
        </w:rPr>
      </w:pPr>
    </w:p>
    <w:p w14:paraId="56F43F83">
      <w:pPr>
        <w:tabs>
          <w:tab w:val="left" w:pos="315"/>
          <w:tab w:val="left" w:pos="8820"/>
        </w:tabs>
        <w:ind w:right="267" w:rightChars="127"/>
        <w:jc w:val="center"/>
        <w:rPr>
          <w:rFonts w:hint="eastAsia" w:ascii="宋体" w:hAnsi="宋体" w:eastAsia="宋体" w:cs="宋体"/>
          <w:b/>
          <w:bCs/>
          <w:color w:val="auto"/>
          <w:sz w:val="52"/>
          <w:highlight w:val="none"/>
        </w:rPr>
      </w:pPr>
      <w:r>
        <w:rPr>
          <w:rFonts w:hint="eastAsia" w:ascii="宋体" w:hAnsi="宋体" w:eastAsia="宋体" w:cs="宋体"/>
          <w:b/>
          <w:bCs/>
          <w:color w:val="auto"/>
          <w:sz w:val="52"/>
          <w:highlight w:val="none"/>
        </w:rPr>
        <w:t>竞争性磋商文件</w:t>
      </w:r>
    </w:p>
    <w:p w14:paraId="30F61BEF">
      <w:pPr>
        <w:rPr>
          <w:rFonts w:hint="eastAsia" w:ascii="宋体" w:hAnsi="宋体" w:eastAsia="宋体" w:cs="宋体"/>
          <w:color w:val="auto"/>
          <w:highlight w:val="none"/>
        </w:rPr>
      </w:pPr>
    </w:p>
    <w:p w14:paraId="783515B6">
      <w:pPr>
        <w:pStyle w:val="35"/>
        <w:ind w:firstLine="480"/>
        <w:rPr>
          <w:rFonts w:hint="eastAsia" w:ascii="宋体" w:hAnsi="宋体" w:eastAsia="宋体" w:cs="宋体"/>
          <w:color w:val="auto"/>
          <w:highlight w:val="none"/>
        </w:rPr>
      </w:pPr>
    </w:p>
    <w:p w14:paraId="04E77449">
      <w:pPr>
        <w:rPr>
          <w:rFonts w:hint="eastAsia" w:ascii="宋体" w:hAnsi="宋体" w:eastAsia="宋体" w:cs="宋体"/>
          <w:color w:val="auto"/>
          <w:highlight w:val="none"/>
        </w:rPr>
      </w:pPr>
    </w:p>
    <w:p w14:paraId="4DF95C6A">
      <w:pPr>
        <w:pStyle w:val="35"/>
        <w:ind w:firstLine="0" w:firstLineChars="0"/>
        <w:rPr>
          <w:rFonts w:hint="eastAsia" w:ascii="宋体" w:hAnsi="宋体" w:eastAsia="宋体" w:cs="宋体"/>
          <w:color w:val="auto"/>
          <w:highlight w:val="none"/>
        </w:rPr>
      </w:pPr>
    </w:p>
    <w:p w14:paraId="552A8C92">
      <w:pPr>
        <w:rPr>
          <w:rFonts w:hint="eastAsia" w:ascii="宋体" w:hAnsi="宋体" w:eastAsia="宋体" w:cs="宋体"/>
          <w:color w:val="auto"/>
          <w:highlight w:val="none"/>
        </w:rPr>
      </w:pPr>
    </w:p>
    <w:p w14:paraId="694D21DC">
      <w:pPr>
        <w:pStyle w:val="35"/>
        <w:ind w:firstLine="480"/>
        <w:rPr>
          <w:rFonts w:hint="eastAsia" w:ascii="宋体" w:hAnsi="宋体" w:eastAsia="宋体" w:cs="宋体"/>
          <w:color w:val="auto"/>
          <w:highlight w:val="none"/>
        </w:rPr>
      </w:pPr>
    </w:p>
    <w:p w14:paraId="3FA45965">
      <w:pPr>
        <w:rPr>
          <w:rFonts w:hint="eastAsia" w:ascii="宋体" w:hAnsi="宋体" w:eastAsia="宋体" w:cs="宋体"/>
          <w:color w:val="auto"/>
          <w:highlight w:val="none"/>
        </w:rPr>
      </w:pPr>
    </w:p>
    <w:p w14:paraId="68263E38">
      <w:pPr>
        <w:bidi w:val="0"/>
        <w:rPr>
          <w:rFonts w:hint="eastAsia"/>
          <w:b/>
          <w:bCs/>
          <w:color w:val="auto"/>
          <w:sz w:val="28"/>
          <w:szCs w:val="36"/>
          <w:highlight w:val="none"/>
          <w:lang w:eastAsia="zh-CN"/>
        </w:rPr>
      </w:pPr>
      <w:r>
        <w:rPr>
          <w:rFonts w:hint="eastAsia"/>
          <w:b/>
          <w:bCs/>
          <w:color w:val="auto"/>
          <w:sz w:val="28"/>
          <w:szCs w:val="36"/>
          <w:highlight w:val="none"/>
          <w:lang w:eastAsia="zh-CN"/>
        </w:rPr>
        <w:t>项目名称:周口市生态环境局西华分局周口市西华县红花集镇周边农村生活污水治理及黑臭水体整治项目勘察、测绘、设计、工程预算等项目</w:t>
      </w:r>
    </w:p>
    <w:p w14:paraId="1D07FA64">
      <w:pPr>
        <w:tabs>
          <w:tab w:val="left" w:pos="315"/>
          <w:tab w:val="left" w:pos="8820"/>
        </w:tabs>
        <w:spacing w:line="600" w:lineRule="exact"/>
        <w:ind w:left="1807" w:right="267" w:rightChars="127" w:hanging="1687" w:hangingChars="600"/>
        <w:jc w:val="left"/>
        <w:rPr>
          <w:rFonts w:hint="eastAsia" w:ascii="宋体" w:hAnsi="宋体" w:eastAsia="宋体" w:cs="宋体"/>
          <w:b/>
          <w:bCs/>
          <w:color w:val="auto"/>
          <w:sz w:val="28"/>
          <w:szCs w:val="28"/>
          <w:highlight w:val="none"/>
          <w:lang w:eastAsia="zh-CN"/>
        </w:rPr>
      </w:pPr>
      <w:r>
        <w:rPr>
          <w:rFonts w:hint="eastAsia" w:ascii="宋体" w:hAnsi="宋体" w:eastAsia="宋体" w:cs="宋体"/>
          <w:b/>
          <w:bCs/>
          <w:color w:val="auto"/>
          <w:sz w:val="28"/>
          <w:szCs w:val="28"/>
          <w:highlight w:val="none"/>
        </w:rPr>
        <w:t>项目编号:</w:t>
      </w:r>
      <w:r>
        <w:rPr>
          <w:rFonts w:hint="eastAsia" w:ascii="宋体" w:hAnsi="宋体" w:cs="宋体"/>
          <w:b/>
          <w:bCs/>
          <w:color w:val="auto"/>
          <w:sz w:val="28"/>
          <w:szCs w:val="28"/>
          <w:highlight w:val="none"/>
          <w:lang w:eastAsia="zh-CN"/>
        </w:rPr>
        <w:t>西华磋商采购-2026-26</w:t>
      </w:r>
    </w:p>
    <w:p w14:paraId="6B24E3A3">
      <w:pPr>
        <w:pStyle w:val="8"/>
        <w:jc w:val="center"/>
        <w:rPr>
          <w:rFonts w:hint="eastAsia" w:ascii="宋体" w:hAnsi="宋体" w:eastAsia="宋体" w:cs="宋体"/>
          <w:b/>
          <w:bCs/>
          <w:color w:val="auto"/>
          <w:sz w:val="30"/>
          <w:szCs w:val="30"/>
          <w:highlight w:val="none"/>
        </w:rPr>
      </w:pPr>
    </w:p>
    <w:p w14:paraId="2B23DB09">
      <w:pPr>
        <w:pStyle w:val="8"/>
        <w:jc w:val="center"/>
        <w:rPr>
          <w:rFonts w:hint="eastAsia" w:ascii="宋体" w:hAnsi="宋体" w:eastAsia="宋体" w:cs="宋体"/>
          <w:b/>
          <w:bCs/>
          <w:color w:val="auto"/>
          <w:sz w:val="30"/>
          <w:szCs w:val="30"/>
          <w:highlight w:val="none"/>
        </w:rPr>
      </w:pPr>
    </w:p>
    <w:p w14:paraId="7AD2A3B6">
      <w:pPr>
        <w:pStyle w:val="8"/>
        <w:jc w:val="center"/>
        <w:rPr>
          <w:rFonts w:hint="eastAsia" w:ascii="宋体" w:hAnsi="宋体" w:eastAsia="宋体" w:cs="宋体"/>
          <w:b/>
          <w:bCs/>
          <w:color w:val="auto"/>
          <w:sz w:val="30"/>
          <w:szCs w:val="30"/>
          <w:highlight w:val="none"/>
          <w:lang w:eastAsia="zh-CN"/>
        </w:rPr>
      </w:pPr>
      <w:r>
        <w:rPr>
          <w:rFonts w:hint="eastAsia" w:ascii="宋体" w:hAnsi="宋体" w:eastAsia="宋体" w:cs="宋体"/>
          <w:b/>
          <w:bCs/>
          <w:color w:val="auto"/>
          <w:sz w:val="30"/>
          <w:szCs w:val="30"/>
          <w:highlight w:val="none"/>
          <w:lang w:eastAsia="zh-CN"/>
        </w:rPr>
        <w:t>2026年</w:t>
      </w:r>
      <w:r>
        <w:rPr>
          <w:rFonts w:hint="eastAsia" w:ascii="宋体" w:hAnsi="宋体" w:cs="宋体"/>
          <w:b/>
          <w:bCs/>
          <w:color w:val="auto"/>
          <w:sz w:val="30"/>
          <w:szCs w:val="30"/>
          <w:highlight w:val="none"/>
          <w:lang w:val="en-US" w:eastAsia="zh-CN"/>
        </w:rPr>
        <w:t>7</w:t>
      </w:r>
      <w:r>
        <w:rPr>
          <w:rFonts w:hint="eastAsia" w:ascii="宋体" w:hAnsi="宋体" w:eastAsia="宋体" w:cs="宋体"/>
          <w:b/>
          <w:bCs/>
          <w:color w:val="auto"/>
          <w:sz w:val="30"/>
          <w:szCs w:val="30"/>
          <w:highlight w:val="none"/>
          <w:lang w:eastAsia="zh-CN"/>
        </w:rPr>
        <w:t>月</w:t>
      </w:r>
      <w:r>
        <w:rPr>
          <w:rFonts w:hint="eastAsia" w:ascii="宋体" w:hAnsi="宋体" w:cs="宋体"/>
          <w:b/>
          <w:bCs/>
          <w:color w:val="auto"/>
          <w:sz w:val="30"/>
          <w:szCs w:val="30"/>
          <w:highlight w:val="none"/>
          <w:lang w:val="en-US" w:eastAsia="zh-CN"/>
        </w:rPr>
        <w:t xml:space="preserve"> 28 </w:t>
      </w:r>
      <w:r>
        <w:rPr>
          <w:rFonts w:hint="eastAsia" w:ascii="宋体" w:hAnsi="宋体" w:eastAsia="宋体" w:cs="宋体"/>
          <w:b/>
          <w:bCs/>
          <w:color w:val="auto"/>
          <w:sz w:val="30"/>
          <w:szCs w:val="30"/>
          <w:highlight w:val="none"/>
          <w:lang w:eastAsia="zh-CN"/>
        </w:rPr>
        <w:t>日</w:t>
      </w:r>
    </w:p>
    <w:sdt>
      <w:sdtPr>
        <w:rPr>
          <w:rFonts w:hint="eastAsia" w:ascii="宋体" w:hAnsi="宋体" w:eastAsia="宋体" w:cs="宋体"/>
          <w:color w:val="auto"/>
          <w:highlight w:val="none"/>
        </w:rPr>
        <w:id w:val="147465548"/>
        <w:docPartObj>
          <w:docPartGallery w:val="Table of Contents"/>
          <w:docPartUnique/>
        </w:docPartObj>
      </w:sdtPr>
      <w:sdtEndPr>
        <w:rPr>
          <w:rFonts w:hint="eastAsia" w:ascii="宋体" w:hAnsi="宋体" w:eastAsia="宋体" w:cs="宋体"/>
          <w:color w:val="auto"/>
          <w:highlight w:val="none"/>
        </w:rPr>
      </w:sdtEndPr>
      <w:sdtContent>
        <w:p w14:paraId="7A10E6D1">
          <w:pPr>
            <w:rPr>
              <w:rFonts w:hint="eastAsia" w:ascii="宋体" w:hAnsi="宋体" w:eastAsia="宋体" w:cs="宋体"/>
              <w:color w:val="auto"/>
              <w:highlight w:val="none"/>
            </w:rPr>
          </w:pPr>
        </w:p>
        <w:p w14:paraId="1C57EB68">
          <w:pPr>
            <w:spacing w:line="440" w:lineRule="exact"/>
            <w:jc w:val="center"/>
            <w:rPr>
              <w:rFonts w:hint="eastAsia" w:ascii="宋体" w:hAnsi="宋体" w:eastAsia="宋体" w:cs="宋体"/>
              <w:color w:val="auto"/>
              <w:sz w:val="28"/>
              <w:szCs w:val="36"/>
              <w:highlight w:val="none"/>
            </w:rPr>
          </w:pPr>
          <w:r>
            <w:rPr>
              <w:rFonts w:hint="eastAsia" w:ascii="宋体" w:hAnsi="宋体" w:eastAsia="宋体" w:cs="宋体"/>
              <w:color w:val="auto"/>
              <w:sz w:val="28"/>
              <w:szCs w:val="36"/>
              <w:highlight w:val="none"/>
            </w:rPr>
            <w:t>目录</w:t>
          </w:r>
        </w:p>
        <w:p w14:paraId="0662CC97">
          <w:pPr>
            <w:pStyle w:val="19"/>
            <w:tabs>
              <w:tab w:val="right" w:leader="dot" w:pos="8307"/>
            </w:tabs>
            <w:spacing w:line="440" w:lineRule="exact"/>
            <w:rPr>
              <w:rFonts w:hint="eastAsia" w:ascii="宋体" w:hAnsi="宋体" w:eastAsia="宋体" w:cs="宋体"/>
              <w:color w:val="auto"/>
              <w:highlight w:val="none"/>
            </w:rPr>
          </w:pPr>
          <w:r>
            <w:rPr>
              <w:rFonts w:hint="eastAsia" w:ascii="宋体" w:hAnsi="宋体" w:eastAsia="宋体" w:cs="宋体"/>
              <w:b/>
              <w:color w:val="auto"/>
              <w:sz w:val="32"/>
              <w:szCs w:val="32"/>
              <w:highlight w:val="none"/>
            </w:rPr>
            <w:fldChar w:fldCharType="begin"/>
          </w:r>
          <w:r>
            <w:rPr>
              <w:rFonts w:hint="eastAsia" w:ascii="宋体" w:hAnsi="宋体" w:eastAsia="宋体" w:cs="宋体"/>
              <w:b/>
              <w:color w:val="auto"/>
              <w:sz w:val="32"/>
              <w:szCs w:val="32"/>
              <w:highlight w:val="none"/>
            </w:rPr>
            <w:instrText xml:space="preserve">TOC \o "1-3" \h \u </w:instrText>
          </w:r>
          <w:r>
            <w:rPr>
              <w:rFonts w:hint="eastAsia" w:ascii="宋体" w:hAnsi="宋体" w:eastAsia="宋体" w:cs="宋体"/>
              <w:b/>
              <w:color w:val="auto"/>
              <w:sz w:val="32"/>
              <w:szCs w:val="32"/>
              <w:highlight w:val="none"/>
            </w:rPr>
            <w:fldChar w:fldCharType="separate"/>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"_Toc29265" </w:instrText>
          </w:r>
          <w:r>
            <w:rPr>
              <w:rFonts w:hint="eastAsia" w:ascii="宋体" w:hAnsi="宋体" w:eastAsia="宋体" w:cs="宋体"/>
              <w:color w:val="auto"/>
              <w:highlight w:val="none"/>
            </w:rPr>
            <w:fldChar w:fldCharType="separate"/>
          </w:r>
          <w:r>
            <w:rPr>
              <w:rFonts w:hint="eastAsia" w:ascii="宋体" w:hAnsi="宋体" w:eastAsia="宋体" w:cs="宋体"/>
              <w:color w:val="auto"/>
              <w:szCs w:val="32"/>
              <w:highlight w:val="none"/>
            </w:rPr>
            <w:t>第一章 竞争性磋商邀请函</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_Toc29265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3</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14:paraId="378B47B5">
          <w:pPr>
            <w:pStyle w:val="19"/>
            <w:tabs>
              <w:tab w:val="right" w:leader="dot" w:pos="8307"/>
            </w:tabs>
            <w:spacing w:line="440" w:lineRule="exact"/>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"_Toc4395" </w:instrText>
          </w:r>
          <w:r>
            <w:rPr>
              <w:rFonts w:hint="eastAsia" w:ascii="宋体" w:hAnsi="宋体" w:eastAsia="宋体" w:cs="宋体"/>
              <w:color w:val="auto"/>
              <w:highlight w:val="none"/>
            </w:rPr>
            <w:fldChar w:fldCharType="separate"/>
          </w:r>
          <w:r>
            <w:rPr>
              <w:rFonts w:hint="eastAsia" w:ascii="宋体" w:hAnsi="宋体" w:eastAsia="宋体" w:cs="宋体"/>
              <w:color w:val="auto"/>
              <w:szCs w:val="32"/>
              <w:highlight w:val="none"/>
            </w:rPr>
            <w:t>第二章 供应商须知</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_Toc4395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6</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14:paraId="675E45DF">
          <w:pPr>
            <w:pStyle w:val="19"/>
            <w:tabs>
              <w:tab w:val="right" w:leader="dot" w:pos="8307"/>
            </w:tabs>
            <w:spacing w:line="440" w:lineRule="exact"/>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"_Toc32362"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一、总则</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_Toc32362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8</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14:paraId="7320285B">
          <w:pPr>
            <w:pStyle w:val="19"/>
            <w:tabs>
              <w:tab w:val="right" w:leader="dot" w:pos="8307"/>
            </w:tabs>
            <w:spacing w:line="440" w:lineRule="exact"/>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"_Toc5748"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二、竞争性磋商文件</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_Toc5748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9</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14:paraId="310EE75D">
          <w:pPr>
            <w:pStyle w:val="19"/>
            <w:tabs>
              <w:tab w:val="right" w:leader="dot" w:pos="8307"/>
            </w:tabs>
            <w:spacing w:line="440" w:lineRule="exact"/>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"_Toc14193"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三、响应性文件的编制</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_Toc14193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10</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14:paraId="0649FCAE">
          <w:pPr>
            <w:pStyle w:val="19"/>
            <w:tabs>
              <w:tab w:val="right" w:leader="dot" w:pos="8307"/>
            </w:tabs>
            <w:spacing w:line="440" w:lineRule="exact"/>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"_Toc16349"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四、响应性文件的递交</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_Toc16349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12</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14:paraId="77F8D1F5">
          <w:pPr>
            <w:pStyle w:val="19"/>
            <w:tabs>
              <w:tab w:val="right" w:leader="dot" w:pos="8307"/>
            </w:tabs>
            <w:spacing w:line="440" w:lineRule="exact"/>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"_Toc12385"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五、竞争性磋商</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_Toc12385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13</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14:paraId="64244288">
          <w:pPr>
            <w:pStyle w:val="19"/>
            <w:tabs>
              <w:tab w:val="right" w:leader="dot" w:pos="8307"/>
            </w:tabs>
            <w:spacing w:line="440" w:lineRule="exact"/>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"_Toc7593"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六、评定标准</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_Toc7593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18</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14:paraId="6954302E">
          <w:pPr>
            <w:pStyle w:val="19"/>
            <w:tabs>
              <w:tab w:val="right" w:leader="dot" w:pos="8307"/>
            </w:tabs>
            <w:spacing w:line="440" w:lineRule="exact"/>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"_Toc17605"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七、成交通知</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_Toc17605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21</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14:paraId="252B733F">
          <w:pPr>
            <w:pStyle w:val="19"/>
            <w:tabs>
              <w:tab w:val="right" w:leader="dot" w:pos="8307"/>
            </w:tabs>
            <w:spacing w:line="440" w:lineRule="exact"/>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"_Toc16454"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八、合同授予</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_Toc16454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21</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14:paraId="7E3576FF">
          <w:pPr>
            <w:pStyle w:val="19"/>
            <w:tabs>
              <w:tab w:val="right" w:leader="dot" w:pos="8307"/>
            </w:tabs>
            <w:spacing w:line="440" w:lineRule="exact"/>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"_Toc563"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九、质疑处理</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_Toc563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21</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14:paraId="6C43A88F">
          <w:pPr>
            <w:pStyle w:val="19"/>
            <w:tabs>
              <w:tab w:val="right" w:leader="dot" w:pos="8307"/>
            </w:tabs>
            <w:spacing w:line="440" w:lineRule="exact"/>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"_Toc1759"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第三章 采购项目内容及要求</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_Toc1759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23</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14:paraId="25261D9C">
          <w:pPr>
            <w:pStyle w:val="19"/>
            <w:tabs>
              <w:tab w:val="right" w:leader="dot" w:pos="8307"/>
            </w:tabs>
            <w:spacing w:line="440" w:lineRule="exact"/>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"_Toc5955"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第四章 响应性文件内容及格式</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_Toc5955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24</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14:paraId="1590DFF1">
          <w:pPr>
            <w:pStyle w:val="19"/>
            <w:tabs>
              <w:tab w:val="right" w:leader="dot" w:pos="8307"/>
            </w:tabs>
            <w:spacing w:line="440" w:lineRule="exact"/>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"_Toc17821"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第五章 周口市政府采购合同（服务类）标准文本</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_Toc17821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38</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14:paraId="59D940C6">
          <w:pPr>
            <w:rPr>
              <w:rFonts w:hint="eastAsia" w:ascii="宋体" w:hAnsi="宋体" w:eastAsia="宋体" w:cs="宋体"/>
              <w:color w:val="auto"/>
              <w:highlight w:val="none"/>
            </w:rPr>
          </w:pPr>
          <w:r>
            <w:rPr>
              <w:rFonts w:hint="eastAsia" w:ascii="宋体" w:hAnsi="宋体" w:eastAsia="宋体" w:cs="宋体"/>
              <w:color w:val="auto"/>
              <w:highlight w:val="none"/>
            </w:rPr>
            <w:fldChar w:fldCharType="end"/>
          </w:r>
        </w:p>
      </w:sdtContent>
    </w:sdt>
    <w:p w14:paraId="3B0B1867">
      <w:pPr>
        <w:rPr>
          <w:rFonts w:hint="eastAsia" w:ascii="宋体" w:hAnsi="宋体" w:eastAsia="宋体" w:cs="宋体"/>
          <w:color w:val="auto"/>
          <w:highlight w:val="none"/>
        </w:rPr>
      </w:pPr>
    </w:p>
    <w:p w14:paraId="4FE0BCE4">
      <w:pPr>
        <w:spacing w:line="520" w:lineRule="exact"/>
        <w:jc w:val="center"/>
        <w:outlineLvl w:val="0"/>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br w:type="page"/>
      </w:r>
      <w:bookmarkStart w:id="0" w:name="_Toc29265"/>
      <w:r>
        <w:rPr>
          <w:rFonts w:hint="eastAsia" w:ascii="宋体" w:hAnsi="宋体" w:eastAsia="宋体" w:cs="宋体"/>
          <w:b/>
          <w:color w:val="auto"/>
          <w:sz w:val="32"/>
          <w:szCs w:val="32"/>
          <w:highlight w:val="none"/>
        </w:rPr>
        <w:t>第一章 竞争性磋商邀请函</w:t>
      </w:r>
      <w:bookmarkEnd w:id="0"/>
    </w:p>
    <w:p w14:paraId="7CE12F1A">
      <w:pPr>
        <w:spacing w:line="520" w:lineRule="exact"/>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项目概况</w:t>
      </w:r>
    </w:p>
    <w:p w14:paraId="2290439A">
      <w:pPr>
        <w:spacing w:line="520" w:lineRule="exact"/>
        <w:ind w:firstLine="480" w:firstLineChars="200"/>
        <w:jc w:val="left"/>
        <w:rPr>
          <w:rFonts w:hint="eastAsia" w:ascii="宋体" w:hAnsi="宋体" w:eastAsia="宋体" w:cs="宋体"/>
          <w:color w:val="auto"/>
          <w:sz w:val="24"/>
          <w:highlight w:val="none"/>
        </w:rPr>
      </w:pPr>
      <w:r>
        <w:rPr>
          <w:rFonts w:hint="eastAsia" w:ascii="宋体" w:hAnsi="宋体" w:cs="宋体"/>
          <w:color w:val="auto"/>
          <w:sz w:val="24"/>
          <w:highlight w:val="none"/>
          <w:lang w:eastAsia="zh-CN"/>
        </w:rPr>
        <w:t>周口市生态环境局西华分局周口市西华县红花集镇周边农村生活污水治理及黑臭水体整治项目勘察、测绘、设计、工程预算等项目</w:t>
      </w:r>
      <w:r>
        <w:rPr>
          <w:rFonts w:hint="eastAsia" w:ascii="宋体" w:hAnsi="宋体" w:eastAsia="宋体" w:cs="宋体"/>
          <w:color w:val="auto"/>
          <w:sz w:val="24"/>
          <w:highlight w:val="none"/>
        </w:rPr>
        <w:t>(项目名称)项目的潜在投标人应在周口市公共资源交易中心网（</w:t>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"http://jyzx.zhoukou.gov.cn）获取招标文件，并于2025年" </w:instrText>
      </w:r>
      <w:r>
        <w:rPr>
          <w:rFonts w:hint="eastAsia" w:ascii="宋体" w:hAnsi="宋体" w:eastAsia="宋体" w:cs="宋体"/>
          <w:color w:val="auto"/>
          <w:highlight w:val="none"/>
        </w:rPr>
        <w:fldChar w:fldCharType="separate"/>
      </w:r>
      <w:r>
        <w:rPr>
          <w:rStyle w:val="33"/>
          <w:rFonts w:hint="eastAsia" w:ascii="宋体" w:hAnsi="宋体" w:eastAsia="宋体" w:cs="宋体"/>
          <w:color w:val="auto"/>
          <w:sz w:val="24"/>
          <w:highlight w:val="none"/>
        </w:rPr>
        <w:t>http://jyzx.zhoukou.gov.cn）获取招标文件，并于202</w:t>
      </w:r>
      <w:r>
        <w:rPr>
          <w:rStyle w:val="33"/>
          <w:rFonts w:hint="eastAsia" w:ascii="宋体" w:hAnsi="宋体" w:eastAsia="宋体" w:cs="宋体"/>
          <w:color w:val="auto"/>
          <w:sz w:val="24"/>
          <w:highlight w:val="none"/>
          <w:lang w:val="en-US" w:eastAsia="zh-CN"/>
        </w:rPr>
        <w:t>6</w:t>
      </w:r>
      <w:r>
        <w:rPr>
          <w:rStyle w:val="33"/>
          <w:rFonts w:hint="eastAsia" w:ascii="宋体" w:hAnsi="宋体" w:eastAsia="宋体" w:cs="宋体"/>
          <w:color w:val="auto"/>
          <w:sz w:val="24"/>
          <w:highlight w:val="none"/>
        </w:rPr>
        <w:t>年</w:t>
      </w:r>
      <w:r>
        <w:rPr>
          <w:rStyle w:val="33"/>
          <w:rFonts w:hint="eastAsia" w:ascii="宋体" w:hAnsi="宋体" w:eastAsia="宋体" w:cs="宋体"/>
          <w:color w:val="auto"/>
          <w:sz w:val="24"/>
          <w:highlight w:val="none"/>
        </w:rPr>
        <w:fldChar w:fldCharType="end"/>
      </w:r>
      <w:r>
        <w:rPr>
          <w:rFonts w:hint="eastAsia" w:ascii="宋体" w:hAnsi="宋体" w:eastAsia="宋体" w:cs="宋体"/>
          <w:color w:val="auto"/>
          <w:sz w:val="24"/>
          <w:highlight w:val="none"/>
          <w:lang w:val="en-US" w:eastAsia="zh-CN"/>
        </w:rPr>
        <w:t xml:space="preserve"> </w:t>
      </w:r>
      <w:r>
        <w:rPr>
          <w:rFonts w:hint="eastAsia" w:ascii="宋体" w:hAnsi="宋体" w:cs="宋体"/>
          <w:color w:val="auto"/>
          <w:sz w:val="24"/>
          <w:highlight w:val="none"/>
          <w:lang w:val="en-US" w:eastAsia="zh-CN"/>
        </w:rPr>
        <w:t>8</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 xml:space="preserve"> </w:t>
      </w:r>
      <w:r>
        <w:rPr>
          <w:rFonts w:hint="eastAsia" w:ascii="宋体" w:hAnsi="宋体" w:cs="宋体"/>
          <w:color w:val="auto"/>
          <w:sz w:val="24"/>
          <w:highlight w:val="none"/>
          <w:lang w:val="en-US" w:eastAsia="zh-CN"/>
        </w:rPr>
        <w:t>10</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日10点00分（北京时间）前递交投标文件。</w:t>
      </w:r>
    </w:p>
    <w:p w14:paraId="3753EC1A">
      <w:pPr>
        <w:autoSpaceDE w:val="0"/>
        <w:autoSpaceDN w:val="0"/>
        <w:spacing w:line="520" w:lineRule="exact"/>
        <w:jc w:val="left"/>
        <w:rPr>
          <w:rFonts w:hint="eastAsia" w:ascii="宋体" w:hAnsi="宋体" w:eastAsia="宋体" w:cs="宋体"/>
          <w:color w:val="auto"/>
          <w:sz w:val="24"/>
          <w:highlight w:val="none"/>
        </w:rPr>
      </w:pPr>
      <w:bookmarkStart w:id="1" w:name="_Toc35393629"/>
      <w:bookmarkStart w:id="2" w:name="_Toc28359012"/>
      <w:bookmarkStart w:id="3" w:name="_Toc28359089"/>
      <w:bookmarkStart w:id="4" w:name="_Toc35393798"/>
      <w:r>
        <w:rPr>
          <w:rFonts w:hint="eastAsia" w:ascii="宋体" w:hAnsi="宋体" w:eastAsia="宋体" w:cs="宋体"/>
          <w:color w:val="auto"/>
          <w:sz w:val="24"/>
          <w:highlight w:val="none"/>
        </w:rPr>
        <w:t>一、项目基本情况</w:t>
      </w:r>
      <w:bookmarkEnd w:id="1"/>
      <w:bookmarkEnd w:id="2"/>
      <w:bookmarkEnd w:id="3"/>
      <w:bookmarkEnd w:id="4"/>
    </w:p>
    <w:p w14:paraId="6512E0D1">
      <w:pPr>
        <w:keepNext w:val="0"/>
        <w:keepLines w:val="0"/>
        <w:pageBreakBefore w:val="0"/>
        <w:tabs>
          <w:tab w:val="left" w:pos="315"/>
          <w:tab w:val="left" w:pos="8820"/>
        </w:tabs>
        <w:kinsoku/>
        <w:wordWrap/>
        <w:overflowPunct/>
        <w:topLinePunct w:val="0"/>
        <w:bidi w:val="0"/>
        <w:adjustRightInd/>
        <w:spacing w:line="600" w:lineRule="exact"/>
        <w:ind w:right="267" w:rightChars="127" w:firstLine="480" w:firstLineChars="200"/>
        <w:jc w:val="left"/>
        <w:textAlignment w:val="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1、项目编号：</w:t>
      </w:r>
      <w:r>
        <w:rPr>
          <w:rFonts w:hint="eastAsia" w:ascii="宋体" w:hAnsi="宋体" w:cs="宋体"/>
          <w:color w:val="auto"/>
          <w:sz w:val="24"/>
          <w:highlight w:val="none"/>
          <w:lang w:eastAsia="zh-CN"/>
        </w:rPr>
        <w:t>西华磋商采购-2026-26</w:t>
      </w:r>
    </w:p>
    <w:p w14:paraId="1BD68BA3">
      <w:pPr>
        <w:keepNext w:val="0"/>
        <w:keepLines w:val="0"/>
        <w:pageBreakBefore w:val="0"/>
        <w:kinsoku/>
        <w:wordWrap/>
        <w:overflowPunct/>
        <w:topLinePunct w:val="0"/>
        <w:autoSpaceDE w:val="0"/>
        <w:autoSpaceDN w:val="0"/>
        <w:bidi w:val="0"/>
        <w:adjustRightInd/>
        <w:spacing w:line="520" w:lineRule="exact"/>
        <w:ind w:firstLine="480" w:firstLineChars="200"/>
        <w:textAlignment w:val="auto"/>
        <w:rPr>
          <w:rFonts w:hint="eastAsia" w:ascii="宋体" w:hAnsi="宋体" w:eastAsia="宋体" w:cs="宋体"/>
          <w:color w:val="auto"/>
          <w:sz w:val="24"/>
          <w:highlight w:val="none"/>
          <w:u w:val="single"/>
          <w:lang w:eastAsia="zh-CN"/>
        </w:rPr>
      </w:pPr>
      <w:r>
        <w:rPr>
          <w:rFonts w:hint="eastAsia" w:ascii="宋体" w:hAnsi="宋体" w:eastAsia="宋体" w:cs="宋体"/>
          <w:color w:val="auto"/>
          <w:sz w:val="24"/>
          <w:highlight w:val="none"/>
        </w:rPr>
        <w:t>2、项目名称：</w:t>
      </w:r>
      <w:r>
        <w:rPr>
          <w:rFonts w:hint="eastAsia" w:ascii="宋体" w:hAnsi="宋体" w:cs="宋体"/>
          <w:color w:val="auto"/>
          <w:sz w:val="24"/>
          <w:highlight w:val="none"/>
          <w:lang w:eastAsia="zh-CN"/>
        </w:rPr>
        <w:t>周口市生态环境局西华分局周口市西华县红花集镇周边农村生活污水治理及黑臭水体整治项目勘察、测绘、设计、工程预算等项目</w:t>
      </w:r>
    </w:p>
    <w:p w14:paraId="5517CF7B">
      <w:pPr>
        <w:keepNext w:val="0"/>
        <w:keepLines w:val="0"/>
        <w:pageBreakBefore w:val="0"/>
        <w:kinsoku/>
        <w:wordWrap/>
        <w:overflowPunct/>
        <w:topLinePunct w:val="0"/>
        <w:autoSpaceDE w:val="0"/>
        <w:autoSpaceDN w:val="0"/>
        <w:bidi w:val="0"/>
        <w:adjustRightInd/>
        <w:spacing w:line="52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3、采购方式：竞争性磋商</w:t>
      </w:r>
    </w:p>
    <w:p w14:paraId="76F548D9">
      <w:pPr>
        <w:keepNext w:val="0"/>
        <w:keepLines w:val="0"/>
        <w:pageBreakBefore w:val="0"/>
        <w:kinsoku/>
        <w:wordWrap/>
        <w:overflowPunct/>
        <w:topLinePunct w:val="0"/>
        <w:autoSpaceDE w:val="0"/>
        <w:autoSpaceDN w:val="0"/>
        <w:bidi w:val="0"/>
        <w:adjustRightInd/>
        <w:spacing w:line="52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4、预算金额：</w:t>
      </w:r>
      <w:r>
        <w:rPr>
          <w:rFonts w:hint="eastAsia" w:ascii="宋体" w:hAnsi="宋体" w:cs="宋体"/>
          <w:color w:val="auto"/>
          <w:sz w:val="24"/>
          <w:highlight w:val="none"/>
          <w:lang w:val="en-US" w:eastAsia="zh-CN"/>
        </w:rPr>
        <w:t>56</w:t>
      </w:r>
      <w:r>
        <w:rPr>
          <w:rFonts w:hint="eastAsia" w:ascii="宋体" w:hAnsi="宋体" w:eastAsia="宋体" w:cs="宋体"/>
          <w:color w:val="auto"/>
          <w:sz w:val="24"/>
          <w:highlight w:val="none"/>
        </w:rPr>
        <w:t>万元</w:t>
      </w:r>
    </w:p>
    <w:p w14:paraId="6AEDCD08">
      <w:pPr>
        <w:keepNext w:val="0"/>
        <w:keepLines w:val="0"/>
        <w:pageBreakBefore w:val="0"/>
        <w:kinsoku/>
        <w:wordWrap/>
        <w:overflowPunct/>
        <w:topLinePunct w:val="0"/>
        <w:autoSpaceDE w:val="0"/>
        <w:autoSpaceDN w:val="0"/>
        <w:bidi w:val="0"/>
        <w:adjustRightInd/>
        <w:spacing w:line="52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最高限价：</w:t>
      </w:r>
      <w:r>
        <w:rPr>
          <w:rFonts w:hint="eastAsia" w:ascii="宋体" w:hAnsi="宋体" w:cs="宋体"/>
          <w:color w:val="auto"/>
          <w:sz w:val="24"/>
          <w:highlight w:val="none"/>
          <w:lang w:val="en-US" w:eastAsia="zh-CN"/>
        </w:rPr>
        <w:t>56</w:t>
      </w:r>
      <w:r>
        <w:rPr>
          <w:rFonts w:hint="eastAsia" w:ascii="宋体" w:hAnsi="宋体" w:eastAsia="宋体" w:cs="宋体"/>
          <w:color w:val="auto"/>
          <w:sz w:val="24"/>
          <w:highlight w:val="none"/>
        </w:rPr>
        <w:t>万元</w:t>
      </w:r>
    </w:p>
    <w:p w14:paraId="3233687D">
      <w:pPr>
        <w:pStyle w:val="24"/>
        <w:keepNext w:val="0"/>
        <w:keepLines w:val="0"/>
        <w:pageBreakBefore w:val="0"/>
        <w:kinsoku/>
        <w:wordWrap/>
        <w:overflowPunct/>
        <w:topLinePunct w:val="0"/>
        <w:bidi w:val="0"/>
        <w:adjustRightInd/>
        <w:snapToGrid w:val="0"/>
        <w:spacing w:before="0" w:beforeAutospacing="0" w:after="0" w:afterAutospacing="0" w:line="520" w:lineRule="exact"/>
        <w:ind w:firstLine="480" w:firstLineChars="200"/>
        <w:jc w:val="both"/>
        <w:textAlignment w:val="auto"/>
        <w:rPr>
          <w:rFonts w:hint="eastAsia" w:ascii="宋体" w:hAnsi="宋体" w:eastAsia="宋体" w:cs="宋体"/>
          <w:color w:val="auto"/>
          <w:highlight w:val="none"/>
        </w:rPr>
      </w:pPr>
      <w:r>
        <w:rPr>
          <w:rFonts w:hint="eastAsia" w:ascii="宋体" w:hAnsi="宋体" w:eastAsia="宋体" w:cs="宋体"/>
          <w:color w:val="auto"/>
          <w:highlight w:val="none"/>
        </w:rPr>
        <w:t>包划分：1个包</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6"/>
        <w:gridCol w:w="7302"/>
        <w:gridCol w:w="1929"/>
      </w:tblGrid>
      <w:tr w14:paraId="2572C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716" w:type="dxa"/>
            <w:vAlign w:val="center"/>
          </w:tcPr>
          <w:p w14:paraId="28E62E7C">
            <w:pPr>
              <w:autoSpaceDE w:val="0"/>
              <w:autoSpaceDN w:val="0"/>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包号</w:t>
            </w:r>
          </w:p>
        </w:tc>
        <w:tc>
          <w:tcPr>
            <w:tcW w:w="7302" w:type="dxa"/>
            <w:vAlign w:val="center"/>
          </w:tcPr>
          <w:p w14:paraId="3D02B12D">
            <w:pPr>
              <w:autoSpaceDE w:val="0"/>
              <w:autoSpaceDN w:val="0"/>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包名称</w:t>
            </w:r>
          </w:p>
        </w:tc>
        <w:tc>
          <w:tcPr>
            <w:tcW w:w="1929" w:type="dxa"/>
            <w:vAlign w:val="center"/>
          </w:tcPr>
          <w:p w14:paraId="6F03BDA4">
            <w:pPr>
              <w:autoSpaceDE w:val="0"/>
              <w:autoSpaceDN w:val="0"/>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包最高限价</w:t>
            </w:r>
          </w:p>
          <w:p w14:paraId="2DB719CA">
            <w:pPr>
              <w:autoSpaceDE w:val="0"/>
              <w:autoSpaceDN w:val="0"/>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万元</w:t>
            </w:r>
            <w:r>
              <w:rPr>
                <w:rFonts w:hint="eastAsia" w:ascii="宋体" w:hAnsi="宋体" w:eastAsia="宋体" w:cs="宋体"/>
                <w:color w:val="auto"/>
                <w:sz w:val="24"/>
                <w:highlight w:val="none"/>
                <w:lang w:eastAsia="zh-CN"/>
              </w:rPr>
              <w:t>）</w:t>
            </w:r>
          </w:p>
        </w:tc>
      </w:tr>
      <w:tr w14:paraId="79A19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716" w:type="dxa"/>
            <w:vAlign w:val="center"/>
          </w:tcPr>
          <w:p w14:paraId="0C436B66">
            <w:pPr>
              <w:autoSpaceDE w:val="0"/>
              <w:autoSpaceDN w:val="0"/>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p>
        </w:tc>
        <w:tc>
          <w:tcPr>
            <w:tcW w:w="7302" w:type="dxa"/>
            <w:vAlign w:val="center"/>
          </w:tcPr>
          <w:p w14:paraId="3E0C9E1E">
            <w:pPr>
              <w:autoSpaceDE w:val="0"/>
              <w:autoSpaceDN w:val="0"/>
              <w:spacing w:line="360" w:lineRule="auto"/>
              <w:jc w:val="center"/>
              <w:rPr>
                <w:rFonts w:hint="eastAsia" w:ascii="宋体" w:hAnsi="宋体" w:eastAsia="宋体" w:cs="宋体"/>
                <w:color w:val="auto"/>
                <w:sz w:val="24"/>
                <w:highlight w:val="none"/>
              </w:rPr>
            </w:pPr>
            <w:r>
              <w:rPr>
                <w:rFonts w:hint="eastAsia" w:ascii="宋体" w:hAnsi="宋体" w:cs="宋体"/>
                <w:color w:val="auto"/>
                <w:sz w:val="24"/>
                <w:highlight w:val="none"/>
                <w:lang w:eastAsia="zh-CN"/>
              </w:rPr>
              <w:t>周口市生态环境局西华分局周口市西华县红花集镇周边农村生活污水治理及黑臭水体整治项目勘察、测绘、设计、工程预算等项目</w:t>
            </w:r>
          </w:p>
        </w:tc>
        <w:tc>
          <w:tcPr>
            <w:tcW w:w="1929" w:type="dxa"/>
            <w:vAlign w:val="center"/>
          </w:tcPr>
          <w:p w14:paraId="1240052D">
            <w:pPr>
              <w:autoSpaceDE w:val="0"/>
              <w:autoSpaceDN w:val="0"/>
              <w:spacing w:line="360" w:lineRule="auto"/>
              <w:jc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56</w:t>
            </w:r>
          </w:p>
        </w:tc>
      </w:tr>
    </w:tbl>
    <w:p w14:paraId="3AE78A0C">
      <w:pPr>
        <w:autoSpaceDE w:val="0"/>
        <w:autoSpaceDN w:val="0"/>
        <w:spacing w:line="52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5、采购需求：</w:t>
      </w:r>
      <w:r>
        <w:rPr>
          <w:rFonts w:hint="eastAsia" w:ascii="宋体" w:hAnsi="宋体" w:cs="宋体"/>
          <w:color w:val="auto"/>
          <w:sz w:val="24"/>
          <w:highlight w:val="none"/>
          <w:lang w:eastAsia="zh-CN"/>
        </w:rPr>
        <w:t>周口市生态环境局西华分局周口市西华县红花集镇周边农村生活污水治理及黑臭水体整治项目勘察、测绘、设计、工程预算等项目</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具体内容详见竞争性磋商文件</w:t>
      </w:r>
      <w:r>
        <w:rPr>
          <w:rFonts w:hint="eastAsia" w:ascii="宋体" w:hAnsi="宋体" w:eastAsia="宋体" w:cs="宋体"/>
          <w:color w:val="auto"/>
          <w:sz w:val="24"/>
          <w:highlight w:val="none"/>
        </w:rPr>
        <w:t>（包括但不限于标的的名称、数量、简要技术需求或服务要求等）</w:t>
      </w:r>
    </w:p>
    <w:p w14:paraId="71169F5D">
      <w:pPr>
        <w:autoSpaceDE w:val="0"/>
        <w:autoSpaceDN w:val="0"/>
        <w:spacing w:line="52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6、合同履行期限：自合同签订之日起30日历天</w:t>
      </w:r>
    </w:p>
    <w:p w14:paraId="517D14B0">
      <w:pPr>
        <w:spacing w:line="520" w:lineRule="exact"/>
        <w:ind w:firstLine="480" w:firstLineChars="200"/>
        <w:jc w:val="left"/>
        <w:rPr>
          <w:rFonts w:hint="eastAsia" w:ascii="宋体" w:hAnsi="宋体" w:eastAsia="宋体" w:cs="宋体"/>
          <w:color w:val="auto"/>
          <w:sz w:val="24"/>
          <w:highlight w:val="none"/>
        </w:rPr>
      </w:pPr>
      <w:bookmarkStart w:id="5" w:name="_Toc28359090"/>
      <w:bookmarkStart w:id="6" w:name="_Toc35393630"/>
      <w:bookmarkStart w:id="7" w:name="_Toc28359013"/>
      <w:bookmarkStart w:id="8" w:name="_Toc35393799"/>
      <w:r>
        <w:rPr>
          <w:rFonts w:hint="eastAsia" w:ascii="宋体" w:hAnsi="宋体" w:eastAsia="宋体" w:cs="宋体"/>
          <w:color w:val="auto"/>
          <w:sz w:val="24"/>
          <w:highlight w:val="none"/>
        </w:rPr>
        <w:t>7、是否接受进口产品：否</w:t>
      </w:r>
    </w:p>
    <w:p w14:paraId="4B7D0251">
      <w:pPr>
        <w:spacing w:line="520" w:lineRule="exact"/>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8、本项目是否接受联合体投标：否</w:t>
      </w:r>
    </w:p>
    <w:p w14:paraId="51F3F2F6">
      <w:pPr>
        <w:spacing w:line="520" w:lineRule="exact"/>
        <w:ind w:firstLine="480" w:firstLineChars="200"/>
        <w:jc w:val="left"/>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rPr>
        <w:t>9、本项目是否为只面向中小企业采购：</w:t>
      </w:r>
      <w:r>
        <w:rPr>
          <w:rFonts w:hint="eastAsia" w:ascii="宋体" w:hAnsi="宋体" w:cs="宋体"/>
          <w:color w:val="auto"/>
          <w:sz w:val="24"/>
          <w:highlight w:val="none"/>
          <w:lang w:val="en-US" w:eastAsia="zh-CN"/>
        </w:rPr>
        <w:t>否</w:t>
      </w:r>
    </w:p>
    <w:p w14:paraId="7EE6AF00">
      <w:pPr>
        <w:autoSpaceDE w:val="0"/>
        <w:autoSpaceDN w:val="0"/>
        <w:spacing w:line="520" w:lineRule="exact"/>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二、申请人的资格要求：</w:t>
      </w:r>
      <w:bookmarkEnd w:id="5"/>
      <w:bookmarkEnd w:id="6"/>
      <w:bookmarkEnd w:id="7"/>
      <w:bookmarkEnd w:id="8"/>
    </w:p>
    <w:p w14:paraId="20589579">
      <w:pPr>
        <w:autoSpaceDE w:val="0"/>
        <w:autoSpaceDN w:val="0"/>
        <w:spacing w:line="520" w:lineRule="exact"/>
        <w:ind w:firstLine="540"/>
        <w:rPr>
          <w:rFonts w:hint="eastAsia" w:ascii="宋体" w:hAnsi="宋体" w:eastAsia="宋体" w:cs="宋体"/>
          <w:color w:val="auto"/>
          <w:sz w:val="24"/>
          <w:highlight w:val="none"/>
        </w:rPr>
      </w:pPr>
      <w:r>
        <w:rPr>
          <w:rFonts w:hint="eastAsia" w:ascii="宋体" w:hAnsi="宋体" w:eastAsia="宋体" w:cs="宋体"/>
          <w:color w:val="auto"/>
          <w:sz w:val="24"/>
          <w:highlight w:val="none"/>
        </w:rPr>
        <w:t>1.满足《中华人民共和国政府采购法》第二十二条规定；</w:t>
      </w:r>
    </w:p>
    <w:p w14:paraId="7FD832FE">
      <w:pPr>
        <w:adjustRightInd w:val="0"/>
        <w:snapToGrid w:val="0"/>
        <w:spacing w:line="52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（1）具有独立承担民事责任的能力；</w:t>
      </w:r>
    </w:p>
    <w:p w14:paraId="7158BD21">
      <w:pPr>
        <w:adjustRightInd w:val="0"/>
        <w:snapToGrid w:val="0"/>
        <w:spacing w:line="52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（2）具有良好的商业信誉和健全的财务会计制度；</w:t>
      </w:r>
    </w:p>
    <w:p w14:paraId="62F34885">
      <w:pPr>
        <w:adjustRightInd w:val="0"/>
        <w:snapToGrid w:val="0"/>
        <w:spacing w:line="52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（3）具有履行合同所必需的设备和专业技术能力；</w:t>
      </w:r>
    </w:p>
    <w:p w14:paraId="412FB72D">
      <w:pPr>
        <w:adjustRightInd w:val="0"/>
        <w:snapToGrid w:val="0"/>
        <w:spacing w:line="52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（4）有依法缴纳税收和社会保障资金的良好记录；</w:t>
      </w:r>
    </w:p>
    <w:p w14:paraId="500BD39E">
      <w:pPr>
        <w:adjustRightInd w:val="0"/>
        <w:snapToGrid w:val="0"/>
        <w:spacing w:line="52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（5）参加政府采购活动前三年内，在经营活动中没有重大违法记录；</w:t>
      </w:r>
    </w:p>
    <w:p w14:paraId="2005430E">
      <w:pPr>
        <w:adjustRightInd w:val="0"/>
        <w:snapToGrid w:val="0"/>
        <w:spacing w:line="520" w:lineRule="exact"/>
        <w:ind w:firstLine="480" w:firstLineChars="200"/>
        <w:rPr>
          <w:rFonts w:hint="eastAsia" w:ascii="宋体" w:hAnsi="宋体" w:eastAsia="宋体" w:cs="宋体"/>
          <w:color w:val="auto"/>
          <w:highlight w:val="none"/>
        </w:rPr>
      </w:pPr>
      <w:r>
        <w:rPr>
          <w:rFonts w:hint="eastAsia" w:ascii="宋体" w:hAnsi="宋体" w:eastAsia="宋体" w:cs="宋体"/>
          <w:color w:val="auto"/>
          <w:sz w:val="24"/>
          <w:highlight w:val="none"/>
        </w:rPr>
        <w:t>（6）法律、行政法规规定的其他条件。</w:t>
      </w:r>
    </w:p>
    <w:p w14:paraId="6EF2E796">
      <w:pPr>
        <w:autoSpaceDE w:val="0"/>
        <w:autoSpaceDN w:val="0"/>
        <w:spacing w:line="520" w:lineRule="exact"/>
        <w:ind w:firstLine="540"/>
        <w:rPr>
          <w:rFonts w:hint="eastAsia" w:ascii="宋体" w:hAnsi="宋体" w:eastAsia="宋体" w:cs="宋体"/>
          <w:color w:val="auto"/>
          <w:sz w:val="24"/>
          <w:highlight w:val="none"/>
        </w:rPr>
      </w:pPr>
      <w:bookmarkStart w:id="9" w:name="_Toc28359091"/>
      <w:bookmarkStart w:id="10" w:name="_Toc28359014"/>
      <w:r>
        <w:rPr>
          <w:rFonts w:hint="eastAsia" w:ascii="宋体" w:hAnsi="宋体" w:eastAsia="宋体" w:cs="宋体"/>
          <w:color w:val="auto"/>
          <w:sz w:val="24"/>
          <w:highlight w:val="none"/>
        </w:rPr>
        <w:t>2.落实政府采购政策需满足的资格要求：促进中小企业和监狱企业发展扶持政策、政府强制采购节能产品强制采购、节能产品及环境标志产品优先采购、促进残疾人就业政府采购政策。</w:t>
      </w:r>
    </w:p>
    <w:p w14:paraId="3253C976">
      <w:pPr>
        <w:spacing w:line="520" w:lineRule="exact"/>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3.本项目的特定资格要求：</w:t>
      </w:r>
    </w:p>
    <w:p w14:paraId="6969EE83">
      <w:pPr>
        <w:spacing w:line="520" w:lineRule="exact"/>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（1）根据《关于在政府采购活动中查询及使用信用记录有关问题的通知》(财库[2016]125号)和豫财购【2016】15号的规定，对列入“信用中国”网站（</w:t>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"http://www.creditchina.gov.cn/" </w:instrText>
      </w:r>
      <w:r>
        <w:rPr>
          <w:rFonts w:hint="eastAsia" w:ascii="宋体" w:hAnsi="宋体" w:eastAsia="宋体" w:cs="宋体"/>
          <w:color w:val="auto"/>
          <w:highlight w:val="none"/>
        </w:rPr>
        <w:fldChar w:fldCharType="separate"/>
      </w:r>
      <w:r>
        <w:rPr>
          <w:rFonts w:hint="eastAsia" w:ascii="宋体" w:hAnsi="宋体" w:eastAsia="宋体" w:cs="宋体"/>
          <w:color w:val="auto"/>
          <w:sz w:val="24"/>
          <w:highlight w:val="none"/>
        </w:rPr>
        <w:t>www.creditchina.gov.cn</w:t>
      </w:r>
      <w:r>
        <w:rPr>
          <w:rFonts w:hint="eastAsia" w:ascii="宋体" w:hAnsi="宋体" w:eastAsia="宋体" w:cs="宋体"/>
          <w:color w:val="auto"/>
          <w:sz w:val="24"/>
          <w:highlight w:val="none"/>
        </w:rPr>
        <w:fldChar w:fldCharType="end"/>
      </w:r>
      <w:r>
        <w:rPr>
          <w:rFonts w:hint="eastAsia" w:ascii="宋体" w:hAnsi="宋体" w:eastAsia="宋体" w:cs="宋体"/>
          <w:color w:val="auto"/>
          <w:sz w:val="24"/>
          <w:highlight w:val="none"/>
        </w:rPr>
        <w:t>）的“重大税收违法失信主体”、“失信被执行人”和“中国政府采购”网站(</w:t>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"http://www.ccgp.gov.cn/" </w:instrText>
      </w:r>
      <w:r>
        <w:rPr>
          <w:rFonts w:hint="eastAsia" w:ascii="宋体" w:hAnsi="宋体" w:eastAsia="宋体" w:cs="宋体"/>
          <w:color w:val="auto"/>
          <w:highlight w:val="none"/>
        </w:rPr>
        <w:fldChar w:fldCharType="separate"/>
      </w:r>
      <w:r>
        <w:rPr>
          <w:rFonts w:hint="eastAsia" w:ascii="宋体" w:hAnsi="宋体" w:eastAsia="宋体" w:cs="宋体"/>
          <w:color w:val="auto"/>
          <w:sz w:val="24"/>
          <w:highlight w:val="none"/>
        </w:rPr>
        <w:t>www.ccgp.gov.cn</w:t>
      </w:r>
      <w:r>
        <w:rPr>
          <w:rFonts w:hint="eastAsia" w:ascii="宋体" w:hAnsi="宋体" w:eastAsia="宋体" w:cs="宋体"/>
          <w:color w:val="auto"/>
          <w:sz w:val="24"/>
          <w:highlight w:val="none"/>
        </w:rPr>
        <w:fldChar w:fldCharType="end"/>
      </w:r>
      <w:r>
        <w:rPr>
          <w:rFonts w:hint="eastAsia" w:ascii="宋体" w:hAnsi="宋体" w:eastAsia="宋体" w:cs="宋体"/>
          <w:color w:val="auto"/>
          <w:sz w:val="24"/>
          <w:highlight w:val="none"/>
        </w:rPr>
        <w:t>)的“政府采购严重违法失信行为记录名单”的供应商，将拒绝其参加政府采购活动；在标书中附加盖公章的供应商及其法定代表人网页查询扫描件，查询日期为公告发布之日起至投标截止之日止。</w:t>
      </w:r>
    </w:p>
    <w:p w14:paraId="22ACB5F7">
      <w:pPr>
        <w:spacing w:line="520" w:lineRule="exact"/>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eastAsia="zh-CN"/>
        </w:rPr>
        <w:t>供应商须具备工程勘察专业(岩土工程或工程测量)乙级或工程勘察专业类岩土工程(勘察)乙级及以上资质</w:t>
      </w:r>
      <w:r>
        <w:rPr>
          <w:rFonts w:hint="eastAsia" w:ascii="宋体" w:hAnsi="宋体" w:cs="宋体"/>
          <w:color w:val="auto"/>
          <w:sz w:val="24"/>
          <w:highlight w:val="none"/>
          <w:lang w:eastAsia="zh-CN"/>
        </w:rPr>
        <w:t>，</w:t>
      </w:r>
      <w:r>
        <w:rPr>
          <w:rFonts w:hint="eastAsia" w:ascii="宋体" w:hAnsi="宋体" w:eastAsia="宋体" w:cs="宋体"/>
          <w:color w:val="auto"/>
          <w:sz w:val="24"/>
          <w:highlight w:val="none"/>
          <w:lang w:eastAsia="zh-CN"/>
        </w:rPr>
        <w:t>同时具备工程设计市政行业(排水工程)专业乙级及以上资质;拟派项目负责人具备注册公用设备工程师(给水排水)或相关专业高级工程师及以上职称，需有本单位的劳动合同和社保证明(须提供投标人2026年1月以来任意三个月为其缴纳的社保证明材料</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新成立企业从成立之日起算</w:t>
      </w:r>
      <w:r>
        <w:rPr>
          <w:rFonts w:hint="eastAsia" w:ascii="宋体" w:hAnsi="宋体" w:eastAsia="宋体" w:cs="宋体"/>
          <w:color w:val="auto"/>
          <w:sz w:val="24"/>
          <w:highlight w:val="none"/>
          <w:lang w:eastAsia="zh-CN"/>
        </w:rPr>
        <w:t>);</w:t>
      </w:r>
    </w:p>
    <w:p w14:paraId="58E0EA03">
      <w:pPr>
        <w:spacing w:line="520" w:lineRule="exact"/>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4.本次项目不接受联合体投标。</w:t>
      </w:r>
    </w:p>
    <w:p w14:paraId="304D0F85">
      <w:pPr>
        <w:autoSpaceDE w:val="0"/>
        <w:autoSpaceDN w:val="0"/>
        <w:spacing w:line="520" w:lineRule="exact"/>
        <w:jc w:val="left"/>
        <w:rPr>
          <w:rFonts w:hint="eastAsia" w:ascii="宋体" w:hAnsi="宋体" w:eastAsia="宋体" w:cs="宋体"/>
          <w:color w:val="auto"/>
          <w:sz w:val="24"/>
          <w:highlight w:val="none"/>
        </w:rPr>
      </w:pPr>
      <w:bookmarkStart w:id="11" w:name="_Toc35393631"/>
      <w:bookmarkStart w:id="12" w:name="_Toc35393800"/>
      <w:r>
        <w:rPr>
          <w:rFonts w:hint="eastAsia" w:ascii="宋体" w:hAnsi="宋体" w:eastAsia="宋体" w:cs="宋体"/>
          <w:color w:val="auto"/>
          <w:sz w:val="24"/>
          <w:highlight w:val="none"/>
        </w:rPr>
        <w:t>三、获取采购文件</w:t>
      </w:r>
      <w:bookmarkEnd w:id="9"/>
      <w:bookmarkEnd w:id="10"/>
      <w:bookmarkEnd w:id="11"/>
      <w:bookmarkEnd w:id="12"/>
    </w:p>
    <w:p w14:paraId="574E48ED">
      <w:pPr>
        <w:autoSpaceDE w:val="0"/>
        <w:autoSpaceDN w:val="0"/>
        <w:spacing w:line="52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1、时间：</w:t>
      </w:r>
      <w:r>
        <w:rPr>
          <w:rFonts w:hint="eastAsia" w:ascii="宋体" w:hAnsi="宋体" w:eastAsia="宋体" w:cs="宋体"/>
          <w:color w:val="auto"/>
          <w:sz w:val="24"/>
          <w:highlight w:val="none"/>
          <w:u w:val="single"/>
          <w:lang w:eastAsia="zh-CN"/>
        </w:rPr>
        <w:t>2026年</w:t>
      </w:r>
      <w:r>
        <w:rPr>
          <w:rFonts w:hint="eastAsia" w:ascii="宋体" w:hAnsi="宋体" w:eastAsia="宋体" w:cs="宋体"/>
          <w:color w:val="auto"/>
          <w:sz w:val="24"/>
          <w:highlight w:val="none"/>
          <w:u w:val="single"/>
          <w:lang w:val="en-US" w:eastAsia="zh-CN"/>
        </w:rPr>
        <w:t xml:space="preserve"> </w:t>
      </w:r>
      <w:r>
        <w:rPr>
          <w:rFonts w:hint="eastAsia" w:ascii="宋体" w:hAnsi="宋体" w:cs="宋体"/>
          <w:color w:val="auto"/>
          <w:sz w:val="24"/>
          <w:highlight w:val="none"/>
          <w:u w:val="single"/>
          <w:lang w:val="en-US" w:eastAsia="zh-CN"/>
        </w:rPr>
        <w:t>7</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lang w:eastAsia="zh-CN"/>
        </w:rPr>
        <w:t>月</w:t>
      </w:r>
      <w:r>
        <w:rPr>
          <w:rFonts w:hint="eastAsia" w:ascii="宋体" w:hAnsi="宋体" w:eastAsia="宋体" w:cs="宋体"/>
          <w:color w:val="auto"/>
          <w:sz w:val="24"/>
          <w:highlight w:val="none"/>
          <w:u w:val="single"/>
          <w:lang w:val="en-US" w:eastAsia="zh-CN"/>
        </w:rPr>
        <w:t xml:space="preserve"> </w:t>
      </w:r>
      <w:r>
        <w:rPr>
          <w:rFonts w:hint="eastAsia" w:ascii="宋体" w:hAnsi="宋体" w:cs="宋体"/>
          <w:color w:val="auto"/>
          <w:sz w:val="24"/>
          <w:highlight w:val="none"/>
          <w:u w:val="single"/>
          <w:lang w:val="en-US" w:eastAsia="zh-CN"/>
        </w:rPr>
        <w:t>28</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lang w:eastAsia="zh-CN"/>
        </w:rPr>
        <w:t>日</w:t>
      </w:r>
      <w:r>
        <w:rPr>
          <w:rFonts w:hint="eastAsia" w:ascii="宋体" w:hAnsi="宋体" w:eastAsia="宋体" w:cs="宋体"/>
          <w:color w:val="auto"/>
          <w:sz w:val="24"/>
          <w:highlight w:val="none"/>
        </w:rPr>
        <w:t>至</w:t>
      </w:r>
      <w:r>
        <w:rPr>
          <w:rFonts w:hint="eastAsia" w:ascii="宋体" w:hAnsi="宋体" w:eastAsia="宋体" w:cs="宋体"/>
          <w:color w:val="auto"/>
          <w:sz w:val="24"/>
          <w:highlight w:val="none"/>
          <w:u w:val="single"/>
        </w:rPr>
        <w:t>202</w:t>
      </w:r>
      <w:r>
        <w:rPr>
          <w:rFonts w:hint="eastAsia" w:ascii="宋体" w:hAnsi="宋体" w:eastAsia="宋体" w:cs="宋体"/>
          <w:color w:val="auto"/>
          <w:sz w:val="24"/>
          <w:highlight w:val="none"/>
          <w:u w:val="single"/>
          <w:lang w:val="en-US" w:eastAsia="zh-CN"/>
        </w:rPr>
        <w:t>6</w:t>
      </w:r>
      <w:r>
        <w:rPr>
          <w:rFonts w:hint="eastAsia" w:ascii="宋体" w:hAnsi="宋体" w:eastAsia="宋体" w:cs="宋体"/>
          <w:color w:val="auto"/>
          <w:sz w:val="24"/>
          <w:highlight w:val="none"/>
          <w:u w:val="single"/>
        </w:rPr>
        <w:t>年</w:t>
      </w:r>
      <w:r>
        <w:rPr>
          <w:rFonts w:hint="eastAsia" w:ascii="宋体" w:hAnsi="宋体" w:eastAsia="宋体" w:cs="宋体"/>
          <w:color w:val="auto"/>
          <w:sz w:val="24"/>
          <w:highlight w:val="none"/>
          <w:u w:val="single"/>
          <w:lang w:val="en-US" w:eastAsia="zh-CN"/>
        </w:rPr>
        <w:t xml:space="preserve"> </w:t>
      </w:r>
      <w:r>
        <w:rPr>
          <w:rFonts w:hint="eastAsia" w:ascii="宋体" w:hAnsi="宋体" w:cs="宋体"/>
          <w:color w:val="auto"/>
          <w:sz w:val="24"/>
          <w:highlight w:val="none"/>
          <w:u w:val="single"/>
          <w:lang w:val="en-US" w:eastAsia="zh-CN"/>
        </w:rPr>
        <w:t>8</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月</w:t>
      </w:r>
      <w:r>
        <w:rPr>
          <w:rFonts w:hint="eastAsia" w:ascii="宋体" w:hAnsi="宋体" w:eastAsia="宋体" w:cs="宋体"/>
          <w:color w:val="auto"/>
          <w:sz w:val="24"/>
          <w:highlight w:val="none"/>
          <w:u w:val="single"/>
          <w:lang w:val="en-US" w:eastAsia="zh-CN"/>
        </w:rPr>
        <w:t xml:space="preserve"> </w:t>
      </w:r>
      <w:r>
        <w:rPr>
          <w:rFonts w:hint="eastAsia" w:ascii="宋体" w:hAnsi="宋体" w:cs="宋体"/>
          <w:color w:val="auto"/>
          <w:sz w:val="24"/>
          <w:highlight w:val="none"/>
          <w:u w:val="single"/>
          <w:lang w:val="en-US" w:eastAsia="zh-CN"/>
        </w:rPr>
        <w:t>4</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日</w:t>
      </w:r>
      <w:r>
        <w:rPr>
          <w:rFonts w:hint="eastAsia" w:ascii="宋体" w:hAnsi="宋体" w:eastAsia="宋体" w:cs="宋体"/>
          <w:color w:val="auto"/>
          <w:sz w:val="24"/>
          <w:highlight w:val="none"/>
        </w:rPr>
        <w:t>（北京时间，法定节假日除外 ）</w:t>
      </w:r>
    </w:p>
    <w:p w14:paraId="6263C30F">
      <w:pPr>
        <w:spacing w:line="520" w:lineRule="exact"/>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2、地点：周口市公共资源交易中心网（http://jyzx.zhoukou.gov.cn）</w:t>
      </w:r>
    </w:p>
    <w:p w14:paraId="49B5573C">
      <w:pPr>
        <w:spacing w:line="520" w:lineRule="exact"/>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3、方式：供应商请在网站自主注册后下载采购文件（zkzf格式）及资料，需办理CA数字证书后方可提交响应文件，具体办理事宜请查阅周口市公共资源交易中心网站。</w:t>
      </w:r>
    </w:p>
    <w:p w14:paraId="3D2CC399">
      <w:pPr>
        <w:autoSpaceDE w:val="0"/>
        <w:autoSpaceDN w:val="0"/>
        <w:spacing w:line="460" w:lineRule="atLeast"/>
        <w:ind w:firstLine="540"/>
        <w:rPr>
          <w:rFonts w:hint="eastAsia" w:ascii="宋体" w:hAnsi="宋体" w:eastAsia="宋体" w:cs="宋体"/>
          <w:color w:val="auto"/>
          <w:sz w:val="24"/>
          <w:highlight w:val="none"/>
        </w:rPr>
      </w:pPr>
      <w:r>
        <w:rPr>
          <w:rFonts w:hint="eastAsia" w:ascii="宋体" w:hAnsi="宋体" w:eastAsia="宋体" w:cs="宋体"/>
          <w:color w:val="auto"/>
          <w:sz w:val="24"/>
          <w:highlight w:val="none"/>
        </w:rPr>
        <w:t>4、售价：0</w:t>
      </w:r>
    </w:p>
    <w:p w14:paraId="67570598">
      <w:pPr>
        <w:autoSpaceDE w:val="0"/>
        <w:autoSpaceDN w:val="0"/>
        <w:spacing w:line="460" w:lineRule="atLeast"/>
        <w:jc w:val="left"/>
        <w:rPr>
          <w:rFonts w:hint="eastAsia" w:ascii="宋体" w:hAnsi="宋体" w:eastAsia="宋体" w:cs="宋体"/>
          <w:color w:val="auto"/>
          <w:sz w:val="24"/>
          <w:highlight w:val="none"/>
        </w:rPr>
      </w:pPr>
      <w:bookmarkStart w:id="13" w:name="_Toc28359015"/>
      <w:bookmarkStart w:id="14" w:name="_Toc28359092"/>
      <w:bookmarkStart w:id="15" w:name="_Toc35393801"/>
      <w:bookmarkStart w:id="16" w:name="_Toc35393632"/>
      <w:r>
        <w:rPr>
          <w:rFonts w:hint="eastAsia" w:ascii="宋体" w:hAnsi="宋体" w:eastAsia="宋体" w:cs="宋体"/>
          <w:color w:val="auto"/>
          <w:sz w:val="24"/>
          <w:highlight w:val="none"/>
        </w:rPr>
        <w:t>四、响应文件提交</w:t>
      </w:r>
      <w:bookmarkEnd w:id="13"/>
      <w:bookmarkEnd w:id="14"/>
      <w:bookmarkEnd w:id="15"/>
      <w:bookmarkEnd w:id="16"/>
    </w:p>
    <w:p w14:paraId="3873F952">
      <w:pPr>
        <w:autoSpaceDE w:val="0"/>
        <w:autoSpaceDN w:val="0"/>
        <w:spacing w:line="460" w:lineRule="atLeast"/>
        <w:ind w:firstLine="480" w:firstLineChars="200"/>
        <w:rPr>
          <w:rFonts w:hint="eastAsia" w:ascii="宋体" w:hAnsi="宋体" w:eastAsia="宋体" w:cs="宋体"/>
          <w:bCs/>
          <w:color w:val="auto"/>
          <w:sz w:val="24"/>
          <w:highlight w:val="none"/>
          <w:u w:val="single"/>
        </w:rPr>
      </w:pPr>
      <w:r>
        <w:rPr>
          <w:rFonts w:hint="eastAsia" w:ascii="宋体" w:hAnsi="宋体" w:eastAsia="宋体" w:cs="宋体"/>
          <w:color w:val="auto"/>
          <w:sz w:val="24"/>
          <w:highlight w:val="none"/>
        </w:rPr>
        <w:t>1、截止时间：</w:t>
      </w:r>
      <w:r>
        <w:rPr>
          <w:rFonts w:hint="eastAsia" w:ascii="宋体" w:hAnsi="宋体" w:eastAsia="宋体" w:cs="宋体"/>
          <w:color w:val="auto"/>
          <w:sz w:val="24"/>
          <w:highlight w:val="none"/>
          <w:u w:val="single"/>
        </w:rPr>
        <w:t>202</w:t>
      </w:r>
      <w:r>
        <w:rPr>
          <w:rFonts w:hint="eastAsia" w:ascii="宋体" w:hAnsi="宋体" w:eastAsia="宋体" w:cs="宋体"/>
          <w:color w:val="auto"/>
          <w:sz w:val="24"/>
          <w:highlight w:val="none"/>
          <w:u w:val="single"/>
          <w:lang w:val="en-US" w:eastAsia="zh-CN"/>
        </w:rPr>
        <w:t>6</w:t>
      </w:r>
      <w:r>
        <w:rPr>
          <w:rFonts w:hint="eastAsia" w:ascii="宋体" w:hAnsi="宋体" w:eastAsia="宋体" w:cs="宋体"/>
          <w:bCs/>
          <w:color w:val="auto"/>
          <w:sz w:val="24"/>
          <w:highlight w:val="none"/>
          <w:u w:val="single"/>
        </w:rPr>
        <w:t>年</w:t>
      </w:r>
      <w:r>
        <w:rPr>
          <w:rFonts w:hint="eastAsia" w:ascii="宋体" w:hAnsi="宋体" w:eastAsia="宋体" w:cs="宋体"/>
          <w:bCs/>
          <w:color w:val="auto"/>
          <w:sz w:val="24"/>
          <w:highlight w:val="none"/>
          <w:u w:val="single"/>
          <w:lang w:val="en-US" w:eastAsia="zh-CN"/>
        </w:rPr>
        <w:t xml:space="preserve"> </w:t>
      </w:r>
      <w:r>
        <w:rPr>
          <w:rFonts w:hint="eastAsia" w:ascii="宋体" w:hAnsi="宋体" w:cs="宋体"/>
          <w:bCs/>
          <w:color w:val="auto"/>
          <w:sz w:val="24"/>
          <w:highlight w:val="none"/>
          <w:u w:val="single"/>
          <w:lang w:val="en-US" w:eastAsia="zh-CN"/>
        </w:rPr>
        <w:t>8</w:t>
      </w:r>
      <w:r>
        <w:rPr>
          <w:rFonts w:hint="eastAsia" w:ascii="宋体" w:hAnsi="宋体" w:eastAsia="宋体" w:cs="宋体"/>
          <w:bCs/>
          <w:color w:val="auto"/>
          <w:sz w:val="24"/>
          <w:highlight w:val="none"/>
          <w:u w:val="single"/>
          <w:lang w:val="en-US" w:eastAsia="zh-CN"/>
        </w:rPr>
        <w:t xml:space="preserve"> </w:t>
      </w:r>
      <w:r>
        <w:rPr>
          <w:rFonts w:hint="eastAsia" w:ascii="宋体" w:hAnsi="宋体" w:eastAsia="宋体" w:cs="宋体"/>
          <w:bCs/>
          <w:color w:val="auto"/>
          <w:sz w:val="24"/>
          <w:highlight w:val="none"/>
          <w:u w:val="single"/>
        </w:rPr>
        <w:t>月</w:t>
      </w:r>
      <w:r>
        <w:rPr>
          <w:rFonts w:hint="eastAsia" w:ascii="宋体" w:hAnsi="宋体" w:eastAsia="宋体" w:cs="宋体"/>
          <w:bCs/>
          <w:color w:val="auto"/>
          <w:sz w:val="24"/>
          <w:highlight w:val="none"/>
          <w:u w:val="single"/>
          <w:lang w:val="en-US" w:eastAsia="zh-CN"/>
        </w:rPr>
        <w:t xml:space="preserve"> </w:t>
      </w:r>
      <w:r>
        <w:rPr>
          <w:rFonts w:hint="eastAsia" w:ascii="宋体" w:hAnsi="宋体" w:cs="宋体"/>
          <w:bCs/>
          <w:color w:val="auto"/>
          <w:sz w:val="24"/>
          <w:highlight w:val="none"/>
          <w:u w:val="single"/>
          <w:lang w:val="en-US" w:eastAsia="zh-CN"/>
        </w:rPr>
        <w:t>10</w:t>
      </w:r>
      <w:r>
        <w:rPr>
          <w:rFonts w:hint="eastAsia" w:ascii="宋体" w:hAnsi="宋体" w:eastAsia="宋体" w:cs="宋体"/>
          <w:bCs/>
          <w:color w:val="auto"/>
          <w:sz w:val="24"/>
          <w:highlight w:val="none"/>
          <w:u w:val="single"/>
          <w:lang w:val="en-US" w:eastAsia="zh-CN"/>
        </w:rPr>
        <w:t xml:space="preserve"> </w:t>
      </w:r>
      <w:r>
        <w:rPr>
          <w:rFonts w:hint="eastAsia" w:ascii="宋体" w:hAnsi="宋体" w:eastAsia="宋体" w:cs="宋体"/>
          <w:bCs/>
          <w:color w:val="auto"/>
          <w:sz w:val="24"/>
          <w:highlight w:val="none"/>
          <w:u w:val="single"/>
        </w:rPr>
        <w:t>日10点00分</w:t>
      </w:r>
      <w:r>
        <w:rPr>
          <w:rFonts w:hint="eastAsia" w:ascii="宋体" w:hAnsi="宋体" w:eastAsia="宋体" w:cs="宋体"/>
          <w:bCs/>
          <w:color w:val="auto"/>
          <w:sz w:val="24"/>
          <w:highlight w:val="none"/>
        </w:rPr>
        <w:t>（北京时间）</w:t>
      </w:r>
    </w:p>
    <w:p w14:paraId="61B4050E">
      <w:pPr>
        <w:autoSpaceDE w:val="0"/>
        <w:autoSpaceDN w:val="0"/>
        <w:spacing w:line="460" w:lineRule="atLeast"/>
        <w:ind w:firstLine="480" w:firstLineChars="200"/>
        <w:rPr>
          <w:rFonts w:hint="eastAsia" w:ascii="宋体" w:hAnsi="宋体" w:eastAsia="宋体" w:cs="宋体"/>
          <w:bCs/>
          <w:color w:val="auto"/>
          <w:sz w:val="24"/>
          <w:highlight w:val="none"/>
          <w:u w:val="single"/>
        </w:rPr>
      </w:pPr>
      <w:r>
        <w:rPr>
          <w:rFonts w:hint="eastAsia" w:ascii="宋体" w:hAnsi="宋体" w:eastAsia="宋体" w:cs="宋体"/>
          <w:color w:val="auto"/>
          <w:sz w:val="24"/>
          <w:highlight w:val="none"/>
        </w:rPr>
        <w:t>2、地点：加密电子响应文件须在投标截止时间前通过</w:t>
      </w:r>
      <w:r>
        <w:rPr>
          <w:rFonts w:hint="eastAsia" w:ascii="宋体" w:hAnsi="宋体" w:eastAsia="宋体" w:cs="宋体"/>
          <w:color w:val="auto"/>
          <w:spacing w:val="-6"/>
          <w:sz w:val="24"/>
          <w:highlight w:val="none"/>
        </w:rPr>
        <w:t>周口市公共资源交易中心网</w:t>
      </w:r>
      <w:r>
        <w:rPr>
          <w:rFonts w:hint="eastAsia" w:ascii="宋体" w:hAnsi="宋体" w:eastAsia="宋体" w:cs="宋体"/>
          <w:color w:val="auto"/>
          <w:sz w:val="24"/>
          <w:highlight w:val="none"/>
        </w:rPr>
        <w:t>（网址http://jyzx.zhoukou.gov.cn）。</w:t>
      </w:r>
    </w:p>
    <w:p w14:paraId="73C8FE27">
      <w:pPr>
        <w:autoSpaceDE w:val="0"/>
        <w:autoSpaceDN w:val="0"/>
        <w:spacing w:line="460" w:lineRule="atLeast"/>
        <w:jc w:val="left"/>
        <w:rPr>
          <w:rFonts w:hint="eastAsia" w:ascii="宋体" w:hAnsi="宋体" w:eastAsia="宋体" w:cs="宋体"/>
          <w:color w:val="auto"/>
          <w:sz w:val="24"/>
          <w:highlight w:val="none"/>
        </w:rPr>
      </w:pPr>
      <w:bookmarkStart w:id="17" w:name="_Toc35393633"/>
      <w:bookmarkStart w:id="18" w:name="_Toc35393802"/>
      <w:bookmarkStart w:id="19" w:name="_Toc28359093"/>
      <w:bookmarkStart w:id="20" w:name="_Toc28359016"/>
      <w:r>
        <w:rPr>
          <w:rFonts w:hint="eastAsia" w:ascii="宋体" w:hAnsi="宋体" w:eastAsia="宋体" w:cs="宋体"/>
          <w:color w:val="auto"/>
          <w:sz w:val="24"/>
          <w:highlight w:val="none"/>
        </w:rPr>
        <w:t>五、开启（竞争性磋商方式必须填写）</w:t>
      </w:r>
      <w:bookmarkEnd w:id="17"/>
      <w:bookmarkEnd w:id="18"/>
      <w:bookmarkEnd w:id="19"/>
      <w:bookmarkEnd w:id="20"/>
    </w:p>
    <w:p w14:paraId="7C91C838">
      <w:pPr>
        <w:autoSpaceDE w:val="0"/>
        <w:autoSpaceDN w:val="0"/>
        <w:spacing w:line="460" w:lineRule="atLeast"/>
        <w:ind w:firstLine="480" w:firstLineChars="200"/>
        <w:rPr>
          <w:rFonts w:hint="eastAsia" w:ascii="宋体" w:hAnsi="宋体" w:eastAsia="宋体" w:cs="宋体"/>
          <w:bCs/>
          <w:color w:val="auto"/>
          <w:sz w:val="24"/>
          <w:highlight w:val="none"/>
          <w:u w:val="single"/>
        </w:rPr>
      </w:pPr>
      <w:r>
        <w:rPr>
          <w:rFonts w:hint="eastAsia" w:ascii="宋体" w:hAnsi="宋体" w:eastAsia="宋体" w:cs="宋体"/>
          <w:color w:val="auto"/>
          <w:sz w:val="24"/>
          <w:highlight w:val="none"/>
        </w:rPr>
        <w:t>1、时间：</w:t>
      </w:r>
      <w:r>
        <w:rPr>
          <w:rFonts w:hint="eastAsia" w:ascii="宋体" w:hAnsi="宋体" w:eastAsia="宋体" w:cs="宋体"/>
          <w:color w:val="auto"/>
          <w:sz w:val="24"/>
          <w:highlight w:val="none"/>
          <w:u w:val="single"/>
        </w:rPr>
        <w:t>202</w:t>
      </w:r>
      <w:r>
        <w:rPr>
          <w:rFonts w:hint="eastAsia" w:ascii="宋体" w:hAnsi="宋体" w:eastAsia="宋体" w:cs="宋体"/>
          <w:color w:val="auto"/>
          <w:sz w:val="24"/>
          <w:highlight w:val="none"/>
          <w:u w:val="single"/>
          <w:lang w:val="en-US" w:eastAsia="zh-CN"/>
        </w:rPr>
        <w:t>6</w:t>
      </w:r>
      <w:r>
        <w:rPr>
          <w:rFonts w:hint="eastAsia" w:ascii="宋体" w:hAnsi="宋体" w:eastAsia="宋体" w:cs="宋体"/>
          <w:bCs/>
          <w:color w:val="auto"/>
          <w:sz w:val="24"/>
          <w:highlight w:val="none"/>
          <w:u w:val="single"/>
        </w:rPr>
        <w:t>年</w:t>
      </w:r>
      <w:r>
        <w:rPr>
          <w:rFonts w:hint="eastAsia" w:ascii="宋体" w:hAnsi="宋体" w:eastAsia="宋体" w:cs="宋体"/>
          <w:bCs/>
          <w:color w:val="auto"/>
          <w:sz w:val="24"/>
          <w:highlight w:val="none"/>
          <w:u w:val="single"/>
          <w:lang w:val="en-US" w:eastAsia="zh-CN"/>
        </w:rPr>
        <w:t xml:space="preserve"> </w:t>
      </w:r>
      <w:r>
        <w:rPr>
          <w:rFonts w:hint="eastAsia" w:ascii="宋体" w:hAnsi="宋体" w:cs="宋体"/>
          <w:bCs/>
          <w:color w:val="auto"/>
          <w:sz w:val="24"/>
          <w:highlight w:val="none"/>
          <w:u w:val="single"/>
          <w:lang w:val="en-US" w:eastAsia="zh-CN"/>
        </w:rPr>
        <w:t>8</w:t>
      </w:r>
      <w:r>
        <w:rPr>
          <w:rFonts w:hint="eastAsia" w:ascii="宋体" w:hAnsi="宋体" w:eastAsia="宋体" w:cs="宋体"/>
          <w:bCs/>
          <w:color w:val="auto"/>
          <w:sz w:val="24"/>
          <w:highlight w:val="none"/>
          <w:u w:val="single"/>
          <w:lang w:val="en-US" w:eastAsia="zh-CN"/>
        </w:rPr>
        <w:t xml:space="preserve"> </w:t>
      </w:r>
      <w:r>
        <w:rPr>
          <w:rFonts w:hint="eastAsia" w:ascii="宋体" w:hAnsi="宋体" w:eastAsia="宋体" w:cs="宋体"/>
          <w:bCs/>
          <w:color w:val="auto"/>
          <w:sz w:val="24"/>
          <w:highlight w:val="none"/>
          <w:u w:val="single"/>
        </w:rPr>
        <w:t>月</w:t>
      </w:r>
      <w:r>
        <w:rPr>
          <w:rFonts w:hint="eastAsia" w:ascii="宋体" w:hAnsi="宋体" w:eastAsia="宋体" w:cs="宋体"/>
          <w:bCs/>
          <w:color w:val="auto"/>
          <w:sz w:val="24"/>
          <w:highlight w:val="none"/>
          <w:u w:val="single"/>
          <w:lang w:val="en-US" w:eastAsia="zh-CN"/>
        </w:rPr>
        <w:t xml:space="preserve"> </w:t>
      </w:r>
      <w:r>
        <w:rPr>
          <w:rFonts w:hint="eastAsia" w:ascii="宋体" w:hAnsi="宋体" w:cs="宋体"/>
          <w:bCs/>
          <w:color w:val="auto"/>
          <w:sz w:val="24"/>
          <w:highlight w:val="none"/>
          <w:u w:val="single"/>
          <w:lang w:val="en-US" w:eastAsia="zh-CN"/>
        </w:rPr>
        <w:t>10</w:t>
      </w:r>
      <w:r>
        <w:rPr>
          <w:rFonts w:hint="eastAsia" w:ascii="宋体" w:hAnsi="宋体" w:eastAsia="宋体" w:cs="宋体"/>
          <w:bCs/>
          <w:color w:val="auto"/>
          <w:sz w:val="24"/>
          <w:highlight w:val="none"/>
          <w:u w:val="single"/>
          <w:lang w:val="en-US" w:eastAsia="zh-CN"/>
        </w:rPr>
        <w:t xml:space="preserve"> </w:t>
      </w:r>
      <w:r>
        <w:rPr>
          <w:rFonts w:hint="eastAsia" w:ascii="宋体" w:hAnsi="宋体" w:eastAsia="宋体" w:cs="宋体"/>
          <w:bCs/>
          <w:color w:val="auto"/>
          <w:sz w:val="24"/>
          <w:highlight w:val="none"/>
          <w:u w:val="single"/>
        </w:rPr>
        <w:t>日10点00分</w:t>
      </w:r>
      <w:r>
        <w:rPr>
          <w:rFonts w:hint="eastAsia" w:ascii="宋体" w:hAnsi="宋体" w:eastAsia="宋体" w:cs="宋体"/>
          <w:bCs/>
          <w:color w:val="auto"/>
          <w:sz w:val="24"/>
          <w:highlight w:val="none"/>
        </w:rPr>
        <w:t>（北京时间）</w:t>
      </w:r>
    </w:p>
    <w:p w14:paraId="5C1F0105">
      <w:pPr>
        <w:autoSpaceDE w:val="0"/>
        <w:autoSpaceDN w:val="0"/>
        <w:spacing w:line="460" w:lineRule="atLeast"/>
        <w:ind w:firstLine="480" w:firstLineChars="200"/>
        <w:jc w:val="left"/>
        <w:rPr>
          <w:rFonts w:hint="eastAsia" w:ascii="宋体" w:hAnsi="宋体" w:eastAsia="宋体" w:cs="宋体"/>
          <w:bCs/>
          <w:color w:val="auto"/>
          <w:sz w:val="24"/>
          <w:highlight w:val="none"/>
          <w:u w:val="single"/>
        </w:rPr>
      </w:pPr>
      <w:r>
        <w:rPr>
          <w:rFonts w:hint="eastAsia" w:ascii="宋体" w:hAnsi="宋体" w:eastAsia="宋体" w:cs="宋体"/>
          <w:color w:val="auto"/>
          <w:sz w:val="24"/>
          <w:highlight w:val="none"/>
        </w:rPr>
        <w:t>2、地点：周口市公共资源交易中心开标室</w:t>
      </w:r>
    </w:p>
    <w:p w14:paraId="38860FA8">
      <w:pPr>
        <w:autoSpaceDE w:val="0"/>
        <w:autoSpaceDN w:val="0"/>
        <w:spacing w:line="460" w:lineRule="atLeast"/>
        <w:jc w:val="left"/>
        <w:rPr>
          <w:rFonts w:hint="eastAsia" w:ascii="宋体" w:hAnsi="宋体" w:eastAsia="宋体" w:cs="宋体"/>
          <w:color w:val="auto"/>
          <w:sz w:val="24"/>
          <w:highlight w:val="none"/>
        </w:rPr>
      </w:pPr>
      <w:bookmarkStart w:id="21" w:name="_Toc28359094"/>
      <w:bookmarkStart w:id="22" w:name="_Toc35393803"/>
      <w:bookmarkStart w:id="23" w:name="_Toc35393634"/>
      <w:bookmarkStart w:id="24" w:name="_Toc28359017"/>
      <w:r>
        <w:rPr>
          <w:rFonts w:hint="eastAsia" w:ascii="宋体" w:hAnsi="宋体" w:eastAsia="宋体" w:cs="宋体"/>
          <w:color w:val="auto"/>
          <w:sz w:val="24"/>
          <w:highlight w:val="none"/>
        </w:rPr>
        <w:t>六、公告期限</w:t>
      </w:r>
      <w:bookmarkEnd w:id="21"/>
      <w:bookmarkEnd w:id="22"/>
      <w:bookmarkEnd w:id="23"/>
      <w:bookmarkEnd w:id="24"/>
    </w:p>
    <w:p w14:paraId="4977E509">
      <w:pPr>
        <w:autoSpaceDE w:val="0"/>
        <w:autoSpaceDN w:val="0"/>
        <w:spacing w:line="460" w:lineRule="atLeast"/>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本次招标公告在《河南省政府采购网》《周口市公共资源交易中心网》上发布， 招标公告期限为五个工作日。</w:t>
      </w:r>
    </w:p>
    <w:p w14:paraId="0816E1F8">
      <w:pPr>
        <w:autoSpaceDE w:val="0"/>
        <w:autoSpaceDN w:val="0"/>
        <w:spacing w:line="460" w:lineRule="atLeast"/>
        <w:jc w:val="left"/>
        <w:rPr>
          <w:rFonts w:hint="eastAsia" w:ascii="宋体" w:hAnsi="宋体" w:eastAsia="宋体" w:cs="宋体"/>
          <w:color w:val="auto"/>
          <w:sz w:val="24"/>
          <w:highlight w:val="none"/>
        </w:rPr>
      </w:pPr>
      <w:bookmarkStart w:id="25" w:name="_Toc35393804"/>
      <w:bookmarkStart w:id="26" w:name="_Toc35393635"/>
      <w:r>
        <w:rPr>
          <w:rFonts w:hint="eastAsia" w:ascii="宋体" w:hAnsi="宋体" w:eastAsia="宋体" w:cs="宋体"/>
          <w:color w:val="auto"/>
          <w:sz w:val="24"/>
          <w:highlight w:val="none"/>
        </w:rPr>
        <w:t>七、其他补充事宜</w:t>
      </w:r>
      <w:bookmarkEnd w:id="25"/>
      <w:bookmarkEnd w:id="26"/>
    </w:p>
    <w:p w14:paraId="0FF3A2FF">
      <w:pPr>
        <w:pStyle w:val="35"/>
        <w:spacing w:line="460" w:lineRule="atLeast"/>
        <w:ind w:firstLine="480"/>
        <w:rPr>
          <w:rFonts w:hint="eastAsia" w:ascii="宋体" w:hAnsi="宋体" w:eastAsia="宋体" w:cs="宋体"/>
          <w:color w:val="auto"/>
          <w:highlight w:val="none"/>
        </w:rPr>
      </w:pPr>
      <w:r>
        <w:rPr>
          <w:rFonts w:hint="eastAsia" w:ascii="宋体" w:hAnsi="宋体" w:eastAsia="宋体" w:cs="宋体"/>
          <w:color w:val="auto"/>
          <w:highlight w:val="none"/>
        </w:rPr>
        <w:t>无</w:t>
      </w:r>
    </w:p>
    <w:p w14:paraId="42D75CF3">
      <w:pPr>
        <w:autoSpaceDE w:val="0"/>
        <w:autoSpaceDN w:val="0"/>
        <w:spacing w:line="480" w:lineRule="exact"/>
        <w:jc w:val="left"/>
        <w:rPr>
          <w:rFonts w:hint="eastAsia" w:ascii="宋体" w:hAnsi="宋体" w:eastAsia="宋体" w:cs="宋体"/>
          <w:color w:val="auto"/>
          <w:sz w:val="24"/>
          <w:highlight w:val="none"/>
        </w:rPr>
      </w:pPr>
      <w:bookmarkStart w:id="27" w:name="_Toc35393805"/>
      <w:bookmarkStart w:id="28" w:name="_Toc35393636"/>
      <w:bookmarkStart w:id="29" w:name="_Toc28359018"/>
      <w:bookmarkStart w:id="30" w:name="_Toc28359095"/>
      <w:r>
        <w:rPr>
          <w:rFonts w:hint="eastAsia" w:ascii="宋体" w:hAnsi="宋体" w:eastAsia="宋体" w:cs="宋体"/>
          <w:color w:val="auto"/>
          <w:sz w:val="24"/>
          <w:highlight w:val="none"/>
        </w:rPr>
        <w:t>八、凡对本次采购提出询问，请按以下方式联系。</w:t>
      </w:r>
      <w:bookmarkEnd w:id="27"/>
      <w:bookmarkEnd w:id="28"/>
      <w:bookmarkEnd w:id="29"/>
      <w:bookmarkEnd w:id="30"/>
    </w:p>
    <w:p w14:paraId="0A4189F0">
      <w:pPr>
        <w:spacing w:line="480" w:lineRule="exact"/>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1.采购人信息</w:t>
      </w:r>
    </w:p>
    <w:p w14:paraId="09CF96F5">
      <w:pPr>
        <w:spacing w:line="480" w:lineRule="exact"/>
        <w:ind w:firstLine="480" w:firstLineChars="200"/>
        <w:jc w:val="left"/>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名 称：</w:t>
      </w:r>
      <w:r>
        <w:rPr>
          <w:rFonts w:hint="eastAsia" w:ascii="宋体" w:hAnsi="宋体" w:cs="宋体"/>
          <w:color w:val="auto"/>
          <w:sz w:val="24"/>
          <w:highlight w:val="none"/>
          <w:lang w:eastAsia="zh-CN"/>
        </w:rPr>
        <w:t>周口市生态环境局西华分局</w:t>
      </w:r>
    </w:p>
    <w:p w14:paraId="645C2DF6">
      <w:pPr>
        <w:spacing w:line="480" w:lineRule="exact"/>
        <w:ind w:firstLine="480" w:firstLineChars="200"/>
        <w:jc w:val="left"/>
        <w:rPr>
          <w:rFonts w:hint="default" w:ascii="宋体" w:hAnsi="宋体" w:eastAsia="宋体" w:cs="宋体"/>
          <w:color w:val="auto"/>
          <w:sz w:val="24"/>
          <w:highlight w:val="none"/>
          <w:lang w:val="en-US"/>
        </w:rPr>
      </w:pPr>
      <w:r>
        <w:rPr>
          <w:rFonts w:hint="eastAsia" w:ascii="宋体" w:hAnsi="宋体" w:eastAsia="宋体" w:cs="宋体"/>
          <w:color w:val="auto"/>
          <w:sz w:val="24"/>
          <w:highlight w:val="none"/>
        </w:rPr>
        <w:t>地址：</w:t>
      </w:r>
      <w:r>
        <w:rPr>
          <w:rFonts w:hint="eastAsia" w:ascii="宋体" w:hAnsi="宋体" w:cs="宋体"/>
          <w:color w:val="auto"/>
          <w:sz w:val="24"/>
          <w:highlight w:val="none"/>
          <w:lang w:val="en-US" w:eastAsia="zh-CN"/>
        </w:rPr>
        <w:t>周口市西华县</w:t>
      </w:r>
    </w:p>
    <w:p w14:paraId="3518A81C">
      <w:pPr>
        <w:spacing w:line="480" w:lineRule="exact"/>
        <w:ind w:firstLine="480" w:firstLineChars="200"/>
        <w:jc w:val="left"/>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rPr>
        <w:t>项目联系人：</w:t>
      </w:r>
      <w:r>
        <w:rPr>
          <w:rFonts w:hint="eastAsia" w:ascii="宋体" w:hAnsi="宋体" w:cs="宋体"/>
          <w:color w:val="auto"/>
          <w:sz w:val="24"/>
          <w:highlight w:val="none"/>
          <w:lang w:val="en-US" w:eastAsia="zh-CN"/>
        </w:rPr>
        <w:t>宋科</w:t>
      </w:r>
      <w:r>
        <w:rPr>
          <w:rFonts w:hint="eastAsia" w:ascii="宋体" w:hAnsi="宋体" w:eastAsia="宋体" w:cs="宋体"/>
          <w:color w:val="auto"/>
          <w:sz w:val="24"/>
          <w:highlight w:val="none"/>
        </w:rPr>
        <w:t xml:space="preserve">    联系方式：</w:t>
      </w:r>
      <w:bookmarkStart w:id="31" w:name="_Toc28359009"/>
      <w:bookmarkStart w:id="32" w:name="_Toc28359086"/>
      <w:r>
        <w:rPr>
          <w:rFonts w:hint="eastAsia" w:ascii="宋体" w:hAnsi="宋体" w:eastAsia="宋体" w:cs="宋体"/>
          <w:color w:val="auto"/>
          <w:sz w:val="24"/>
          <w:highlight w:val="none"/>
          <w:lang w:val="en-US" w:eastAsia="zh-CN"/>
        </w:rPr>
        <w:t>13949968646</w:t>
      </w:r>
    </w:p>
    <w:p w14:paraId="2FB8BF2D">
      <w:pPr>
        <w:spacing w:line="480" w:lineRule="exact"/>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2.采购代理机构信息</w:t>
      </w:r>
      <w:bookmarkEnd w:id="31"/>
      <w:bookmarkEnd w:id="32"/>
    </w:p>
    <w:p w14:paraId="60D004C6">
      <w:pPr>
        <w:spacing w:line="480" w:lineRule="exact"/>
        <w:ind w:firstLine="480" w:firstLineChars="200"/>
        <w:jc w:val="left"/>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名 称：周口市公共资源交易中心政府采购中心</w:t>
      </w:r>
    </w:p>
    <w:p w14:paraId="391687D4">
      <w:pPr>
        <w:spacing w:line="480" w:lineRule="exact"/>
        <w:ind w:firstLine="480" w:firstLineChars="200"/>
        <w:jc w:val="left"/>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地　址：周口市光明路与政通路交叉口向北100米路东</w:t>
      </w:r>
    </w:p>
    <w:p w14:paraId="29CB7D7E">
      <w:pPr>
        <w:spacing w:line="480" w:lineRule="exact"/>
        <w:ind w:firstLine="480" w:firstLineChars="200"/>
        <w:jc w:val="left"/>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项目联系人：</w:t>
      </w:r>
      <w:r>
        <w:rPr>
          <w:rFonts w:hint="eastAsia" w:ascii="宋体" w:hAnsi="宋体" w:cs="宋体"/>
          <w:color w:val="auto"/>
          <w:sz w:val="24"/>
          <w:highlight w:val="none"/>
          <w:lang w:val="en-US" w:eastAsia="zh-CN"/>
        </w:rPr>
        <w:t>王园园</w:t>
      </w:r>
      <w:r>
        <w:rPr>
          <w:rFonts w:hint="eastAsia" w:ascii="宋体" w:hAnsi="宋体" w:eastAsia="宋体" w:cs="宋体"/>
          <w:color w:val="auto"/>
          <w:sz w:val="24"/>
          <w:highlight w:val="none"/>
          <w:lang w:val="en-US" w:eastAsia="zh-CN"/>
        </w:rPr>
        <w:t xml:space="preserve">     联系方式：0394-8106517、</w:t>
      </w:r>
      <w:r>
        <w:rPr>
          <w:rFonts w:hint="eastAsia" w:ascii="宋体" w:hAnsi="宋体" w:cs="宋体"/>
          <w:color w:val="auto"/>
          <w:sz w:val="24"/>
          <w:highlight w:val="none"/>
          <w:lang w:val="en-US" w:eastAsia="zh-CN"/>
        </w:rPr>
        <w:t>19913281180</w:t>
      </w:r>
      <w:bookmarkStart w:id="47" w:name="_GoBack"/>
      <w:bookmarkEnd w:id="47"/>
    </w:p>
    <w:p w14:paraId="1F6AF27E">
      <w:pPr>
        <w:spacing w:line="480" w:lineRule="exact"/>
        <w:ind w:firstLine="480" w:firstLineChars="200"/>
        <w:jc w:val="left"/>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3.监督单位：西华县财政局</w:t>
      </w:r>
    </w:p>
    <w:p w14:paraId="61E63778">
      <w:pPr>
        <w:spacing w:line="480" w:lineRule="exact"/>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 xml:space="preserve">联系方式：0394-2551650 </w:t>
      </w:r>
    </w:p>
    <w:p w14:paraId="7B49CF59">
      <w:pPr>
        <w:pStyle w:val="9"/>
        <w:adjustRightInd w:val="0"/>
        <w:snapToGrid w:val="0"/>
        <w:spacing w:line="480" w:lineRule="exact"/>
        <w:ind w:firstLine="3480" w:firstLineChars="1450"/>
        <w:jc w:val="right"/>
        <w:rPr>
          <w:rFonts w:hint="eastAsia" w:ascii="宋体" w:hAnsi="宋体" w:eastAsia="宋体" w:cs="宋体"/>
          <w:color w:val="auto"/>
          <w:sz w:val="24"/>
          <w:highlight w:val="none"/>
        </w:rPr>
      </w:pPr>
    </w:p>
    <w:p w14:paraId="59B4F725">
      <w:pPr>
        <w:pStyle w:val="9"/>
        <w:adjustRightInd w:val="0"/>
        <w:snapToGrid w:val="0"/>
        <w:spacing w:line="480" w:lineRule="exact"/>
        <w:ind w:firstLine="3480" w:firstLineChars="1450"/>
        <w:jc w:val="right"/>
        <w:rPr>
          <w:rFonts w:hint="eastAsia" w:ascii="宋体" w:hAnsi="宋体" w:eastAsia="宋体" w:cs="宋体"/>
          <w:color w:val="auto"/>
          <w:sz w:val="24"/>
          <w:highlight w:val="none"/>
        </w:rPr>
      </w:pPr>
      <w:r>
        <w:rPr>
          <w:rFonts w:hint="eastAsia" w:ascii="宋体" w:hAnsi="宋体" w:eastAsia="宋体" w:cs="宋体"/>
          <w:color w:val="auto"/>
          <w:sz w:val="24"/>
          <w:highlight w:val="none"/>
        </w:rPr>
        <w:t>周口市公共资源交易中心政府采购中心</w:t>
      </w:r>
    </w:p>
    <w:p w14:paraId="2D144313">
      <w:pPr>
        <w:pStyle w:val="20"/>
        <w:adjustRightInd w:val="0"/>
        <w:spacing w:line="480" w:lineRule="exact"/>
        <w:ind w:firstLine="6720" w:firstLineChars="280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2026年</w:t>
      </w:r>
      <w:r>
        <w:rPr>
          <w:rFonts w:hint="eastAsia" w:ascii="宋体" w:hAnsi="宋体" w:cs="宋体"/>
          <w:color w:val="auto"/>
          <w:kern w:val="2"/>
          <w:sz w:val="24"/>
          <w:szCs w:val="24"/>
          <w:highlight w:val="none"/>
          <w:lang w:val="en-US" w:eastAsia="zh-CN" w:bidi="ar-SA"/>
        </w:rPr>
        <w:t>7</w:t>
      </w:r>
      <w:r>
        <w:rPr>
          <w:rFonts w:hint="eastAsia" w:ascii="宋体" w:hAnsi="宋体" w:eastAsia="宋体" w:cs="宋体"/>
          <w:color w:val="auto"/>
          <w:kern w:val="2"/>
          <w:sz w:val="24"/>
          <w:szCs w:val="24"/>
          <w:highlight w:val="none"/>
          <w:lang w:val="en-US" w:eastAsia="zh-CN" w:bidi="ar-SA"/>
        </w:rPr>
        <w:t>月</w:t>
      </w:r>
      <w:r>
        <w:rPr>
          <w:rFonts w:hint="eastAsia" w:ascii="宋体" w:hAnsi="宋体" w:cs="宋体"/>
          <w:color w:val="auto"/>
          <w:kern w:val="2"/>
          <w:sz w:val="24"/>
          <w:szCs w:val="24"/>
          <w:highlight w:val="none"/>
          <w:lang w:val="en-US" w:eastAsia="zh-CN" w:bidi="ar-SA"/>
        </w:rPr>
        <w:t xml:space="preserve"> 28 </w:t>
      </w:r>
      <w:r>
        <w:rPr>
          <w:rFonts w:hint="eastAsia" w:ascii="宋体" w:hAnsi="宋体" w:eastAsia="宋体" w:cs="宋体"/>
          <w:color w:val="auto"/>
          <w:kern w:val="2"/>
          <w:sz w:val="24"/>
          <w:szCs w:val="24"/>
          <w:highlight w:val="none"/>
          <w:lang w:val="en-US" w:eastAsia="zh-CN" w:bidi="ar-SA"/>
        </w:rPr>
        <w:t>日</w:t>
      </w:r>
    </w:p>
    <w:p w14:paraId="338086BB">
      <w:pPr>
        <w:jc w:val="center"/>
        <w:outlineLvl w:val="0"/>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br w:type="page"/>
      </w:r>
      <w:bookmarkStart w:id="33" w:name="_Toc4395"/>
      <w:r>
        <w:rPr>
          <w:rFonts w:hint="eastAsia" w:ascii="宋体" w:hAnsi="宋体" w:eastAsia="宋体" w:cs="宋体"/>
          <w:b/>
          <w:color w:val="auto"/>
          <w:sz w:val="32"/>
          <w:szCs w:val="32"/>
          <w:highlight w:val="none"/>
        </w:rPr>
        <w:t>第二章 供应商须知</w:t>
      </w:r>
      <w:bookmarkEnd w:id="33"/>
    </w:p>
    <w:tbl>
      <w:tblPr>
        <w:tblStyle w:val="27"/>
        <w:tblW w:w="10229"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3058"/>
        <w:gridCol w:w="6436"/>
      </w:tblGrid>
      <w:tr w14:paraId="0885EA5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10229" w:type="dxa"/>
            <w:gridSpan w:val="3"/>
            <w:vAlign w:val="center"/>
          </w:tcPr>
          <w:p w14:paraId="7ACC6383">
            <w:pPr>
              <w:spacing w:line="460" w:lineRule="exact"/>
              <w:jc w:val="center"/>
              <w:rPr>
                <w:rFonts w:hint="eastAsia" w:ascii="宋体" w:hAnsi="宋体" w:eastAsia="宋体" w:cs="宋体"/>
                <w:color w:val="auto"/>
                <w:szCs w:val="21"/>
                <w:highlight w:val="none"/>
              </w:rPr>
            </w:pPr>
            <w:r>
              <w:rPr>
                <w:rFonts w:hint="eastAsia" w:ascii="宋体" w:hAnsi="宋体" w:eastAsia="宋体" w:cs="宋体"/>
                <w:color w:val="auto"/>
                <w:sz w:val="32"/>
                <w:szCs w:val="32"/>
                <w:highlight w:val="none"/>
              </w:rPr>
              <w:t>供应商须知前附表</w:t>
            </w:r>
          </w:p>
        </w:tc>
      </w:tr>
      <w:tr w14:paraId="669CCA1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735" w:type="dxa"/>
            <w:vAlign w:val="center"/>
          </w:tcPr>
          <w:p w14:paraId="360AFD26">
            <w:pPr>
              <w:spacing w:beforeLines="50" w:line="46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序号</w:t>
            </w:r>
          </w:p>
        </w:tc>
        <w:tc>
          <w:tcPr>
            <w:tcW w:w="3058" w:type="dxa"/>
            <w:vAlign w:val="center"/>
          </w:tcPr>
          <w:p w14:paraId="7AA291BD">
            <w:pPr>
              <w:spacing w:beforeLines="50" w:line="46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条款</w:t>
            </w:r>
          </w:p>
        </w:tc>
        <w:tc>
          <w:tcPr>
            <w:tcW w:w="6436" w:type="dxa"/>
            <w:vAlign w:val="center"/>
          </w:tcPr>
          <w:p w14:paraId="5A26E2EA">
            <w:pPr>
              <w:spacing w:line="46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内  容</w:t>
            </w:r>
          </w:p>
        </w:tc>
      </w:tr>
      <w:tr w14:paraId="48765AE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735" w:type="dxa"/>
            <w:vAlign w:val="center"/>
          </w:tcPr>
          <w:p w14:paraId="189E07D2">
            <w:pPr>
              <w:keepNext w:val="0"/>
              <w:keepLines w:val="0"/>
              <w:pageBreakBefore w:val="0"/>
              <w:widowControl w:val="0"/>
              <w:numPr>
                <w:ilvl w:val="0"/>
                <w:numId w:val="1"/>
              </w:numPr>
              <w:kinsoku/>
              <w:wordWrap/>
              <w:overflowPunct/>
              <w:topLinePunct w:val="0"/>
              <w:autoSpaceDE/>
              <w:autoSpaceDN/>
              <w:bidi w:val="0"/>
              <w:adjustRightInd/>
              <w:snapToGrid/>
              <w:spacing w:beforeLines="50" w:line="460" w:lineRule="exact"/>
              <w:ind w:left="227" w:firstLine="0"/>
              <w:jc w:val="center"/>
              <w:textAlignment w:val="auto"/>
              <w:rPr>
                <w:rFonts w:hint="eastAsia" w:ascii="宋体" w:hAnsi="宋体" w:eastAsia="宋体" w:cs="宋体"/>
                <w:color w:val="auto"/>
                <w:sz w:val="24"/>
                <w:highlight w:val="none"/>
              </w:rPr>
            </w:pPr>
          </w:p>
        </w:tc>
        <w:tc>
          <w:tcPr>
            <w:tcW w:w="3058" w:type="dxa"/>
            <w:vAlign w:val="center"/>
          </w:tcPr>
          <w:p w14:paraId="007433ED">
            <w:pPr>
              <w:spacing w:line="46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项目概况</w:t>
            </w:r>
          </w:p>
        </w:tc>
        <w:tc>
          <w:tcPr>
            <w:tcW w:w="6436" w:type="dxa"/>
            <w:vAlign w:val="center"/>
          </w:tcPr>
          <w:p w14:paraId="365C7774">
            <w:pPr>
              <w:keepNext w:val="0"/>
              <w:keepLines w:val="0"/>
              <w:pageBreakBefore w:val="0"/>
              <w:widowControl w:val="0"/>
              <w:kinsoku/>
              <w:wordWrap/>
              <w:overflowPunct/>
              <w:topLinePunct w:val="0"/>
              <w:autoSpaceDE/>
              <w:autoSpaceDN/>
              <w:bidi w:val="0"/>
              <w:adjustRightInd/>
              <w:snapToGrid/>
              <w:spacing w:line="460" w:lineRule="exact"/>
              <w:ind w:left="0"/>
              <w:jc w:val="left"/>
              <w:textAlignment w:val="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项目名称：</w:t>
            </w:r>
            <w:r>
              <w:rPr>
                <w:rFonts w:hint="eastAsia" w:ascii="宋体" w:hAnsi="宋体" w:cs="宋体"/>
                <w:color w:val="auto"/>
                <w:sz w:val="24"/>
                <w:highlight w:val="none"/>
                <w:lang w:eastAsia="zh-CN"/>
              </w:rPr>
              <w:t>周口市生态环境局西华分局周口市西华县红花集镇周边农村生活污水治理及黑臭水体整治项目勘察、测绘、设计、工程预算等项目</w:t>
            </w:r>
          </w:p>
          <w:p w14:paraId="17E6D770">
            <w:pPr>
              <w:keepNext w:val="0"/>
              <w:keepLines w:val="0"/>
              <w:pageBreakBefore w:val="0"/>
              <w:widowControl w:val="0"/>
              <w:kinsoku/>
              <w:wordWrap/>
              <w:overflowPunct/>
              <w:topLinePunct w:val="0"/>
              <w:autoSpaceDE/>
              <w:autoSpaceDN/>
              <w:bidi w:val="0"/>
              <w:adjustRightInd/>
              <w:snapToGrid/>
              <w:spacing w:line="460" w:lineRule="exact"/>
              <w:ind w:left="0"/>
              <w:jc w:val="left"/>
              <w:textAlignment w:val="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采购内容：</w:t>
            </w:r>
            <w:r>
              <w:rPr>
                <w:rFonts w:hint="eastAsia" w:ascii="宋体" w:hAnsi="宋体" w:cs="宋体"/>
                <w:color w:val="auto"/>
                <w:sz w:val="24"/>
                <w:highlight w:val="none"/>
                <w:lang w:eastAsia="zh-CN"/>
              </w:rPr>
              <w:t>周口市生态环境局西华分局周口市西华县红花集镇周边农村生活污水治理及黑臭水体整治项目勘察、测绘、设计、工程预算等项目</w:t>
            </w:r>
          </w:p>
          <w:p w14:paraId="346E4E0C">
            <w:pPr>
              <w:keepNext w:val="0"/>
              <w:keepLines w:val="0"/>
              <w:pageBreakBefore w:val="0"/>
              <w:widowControl w:val="0"/>
              <w:kinsoku/>
              <w:wordWrap/>
              <w:overflowPunct/>
              <w:topLinePunct w:val="0"/>
              <w:autoSpaceDE/>
              <w:autoSpaceDN/>
              <w:bidi w:val="0"/>
              <w:adjustRightInd/>
              <w:snapToGrid/>
              <w:spacing w:line="460" w:lineRule="exact"/>
              <w:ind w:left="0"/>
              <w:jc w:val="left"/>
              <w:textAlignment w:val="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采购人：</w:t>
            </w:r>
            <w:r>
              <w:rPr>
                <w:rFonts w:hint="eastAsia" w:ascii="宋体" w:hAnsi="宋体" w:cs="宋体"/>
                <w:color w:val="auto"/>
                <w:sz w:val="24"/>
                <w:highlight w:val="none"/>
                <w:lang w:eastAsia="zh-CN"/>
              </w:rPr>
              <w:t>周口市生态环境局西华分局</w:t>
            </w:r>
          </w:p>
          <w:p w14:paraId="06DDEC10">
            <w:pPr>
              <w:keepNext w:val="0"/>
              <w:keepLines w:val="0"/>
              <w:pageBreakBefore w:val="0"/>
              <w:widowControl w:val="0"/>
              <w:kinsoku/>
              <w:wordWrap/>
              <w:overflowPunct/>
              <w:topLinePunct w:val="0"/>
              <w:autoSpaceDE/>
              <w:autoSpaceDN/>
              <w:bidi w:val="0"/>
              <w:adjustRightInd/>
              <w:snapToGrid/>
              <w:spacing w:line="460" w:lineRule="exact"/>
              <w:ind w:left="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采购代理机构：周口市公共资源交易中心政府采购中心</w:t>
            </w:r>
          </w:p>
        </w:tc>
      </w:tr>
      <w:tr w14:paraId="2088375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jc w:val="center"/>
        </w:trPr>
        <w:tc>
          <w:tcPr>
            <w:tcW w:w="735" w:type="dxa"/>
            <w:vAlign w:val="center"/>
          </w:tcPr>
          <w:p w14:paraId="11330B09">
            <w:pPr>
              <w:keepNext w:val="0"/>
              <w:keepLines w:val="0"/>
              <w:pageBreakBefore w:val="0"/>
              <w:widowControl w:val="0"/>
              <w:numPr>
                <w:ilvl w:val="0"/>
                <w:numId w:val="1"/>
              </w:numPr>
              <w:kinsoku/>
              <w:wordWrap/>
              <w:overflowPunct/>
              <w:topLinePunct w:val="0"/>
              <w:autoSpaceDE/>
              <w:autoSpaceDN/>
              <w:bidi w:val="0"/>
              <w:adjustRightInd/>
              <w:snapToGrid/>
              <w:spacing w:beforeLines="50" w:line="460" w:lineRule="exact"/>
              <w:ind w:left="227" w:firstLine="0"/>
              <w:jc w:val="center"/>
              <w:textAlignment w:val="auto"/>
              <w:rPr>
                <w:rFonts w:hint="eastAsia" w:ascii="宋体" w:hAnsi="宋体" w:eastAsia="宋体" w:cs="宋体"/>
                <w:color w:val="auto"/>
                <w:sz w:val="24"/>
                <w:highlight w:val="none"/>
              </w:rPr>
            </w:pPr>
          </w:p>
        </w:tc>
        <w:tc>
          <w:tcPr>
            <w:tcW w:w="3058" w:type="dxa"/>
            <w:vAlign w:val="center"/>
          </w:tcPr>
          <w:p w14:paraId="313D262D">
            <w:pPr>
              <w:spacing w:beforeLines="50" w:line="460" w:lineRule="exact"/>
              <w:ind w:left="-8" w:leftChars="-4"/>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对供应商的资格要求</w:t>
            </w:r>
          </w:p>
        </w:tc>
        <w:tc>
          <w:tcPr>
            <w:tcW w:w="6436" w:type="dxa"/>
            <w:vAlign w:val="center"/>
          </w:tcPr>
          <w:p w14:paraId="54AE7564">
            <w:pPr>
              <w:spacing w:beforeLines="50" w:line="460" w:lineRule="exact"/>
              <w:ind w:left="-8" w:leftChars="-4"/>
              <w:rPr>
                <w:rFonts w:hint="eastAsia" w:ascii="宋体" w:hAnsi="宋体" w:eastAsia="宋体" w:cs="宋体"/>
                <w:color w:val="auto"/>
                <w:sz w:val="24"/>
                <w:highlight w:val="none"/>
              </w:rPr>
            </w:pPr>
            <w:r>
              <w:rPr>
                <w:rFonts w:hint="eastAsia" w:ascii="宋体" w:hAnsi="宋体" w:eastAsia="宋体" w:cs="宋体"/>
                <w:color w:val="auto"/>
                <w:sz w:val="24"/>
                <w:highlight w:val="none"/>
              </w:rPr>
              <w:t>见竞争性磋商邀请函</w:t>
            </w:r>
          </w:p>
        </w:tc>
      </w:tr>
      <w:tr w14:paraId="46C8096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35" w:type="dxa"/>
            <w:vAlign w:val="center"/>
          </w:tcPr>
          <w:p w14:paraId="2BA4EEEA">
            <w:pPr>
              <w:keepNext w:val="0"/>
              <w:keepLines w:val="0"/>
              <w:pageBreakBefore w:val="0"/>
              <w:widowControl w:val="0"/>
              <w:numPr>
                <w:ilvl w:val="0"/>
                <w:numId w:val="1"/>
              </w:numPr>
              <w:kinsoku/>
              <w:wordWrap/>
              <w:overflowPunct/>
              <w:topLinePunct w:val="0"/>
              <w:autoSpaceDE/>
              <w:autoSpaceDN/>
              <w:bidi w:val="0"/>
              <w:adjustRightInd/>
              <w:snapToGrid/>
              <w:spacing w:beforeLines="50" w:line="460" w:lineRule="exact"/>
              <w:ind w:left="227" w:firstLine="0"/>
              <w:jc w:val="center"/>
              <w:textAlignment w:val="auto"/>
              <w:rPr>
                <w:rFonts w:hint="eastAsia" w:ascii="宋体" w:hAnsi="宋体" w:eastAsia="宋体" w:cs="宋体"/>
                <w:color w:val="auto"/>
                <w:sz w:val="24"/>
                <w:highlight w:val="none"/>
              </w:rPr>
            </w:pPr>
          </w:p>
        </w:tc>
        <w:tc>
          <w:tcPr>
            <w:tcW w:w="3058" w:type="dxa"/>
            <w:vAlign w:val="center"/>
          </w:tcPr>
          <w:p w14:paraId="2D4881D5">
            <w:pPr>
              <w:spacing w:beforeLines="50" w:line="46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报价费用</w:t>
            </w:r>
          </w:p>
        </w:tc>
        <w:tc>
          <w:tcPr>
            <w:tcW w:w="6436" w:type="dxa"/>
            <w:vAlign w:val="center"/>
          </w:tcPr>
          <w:p w14:paraId="595EF87A">
            <w:pPr>
              <w:spacing w:line="4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无论报价和磋商的过程和结果如何，供应商自行承担所有与参加报价及磋商有关活动的全部费用。</w:t>
            </w:r>
          </w:p>
        </w:tc>
      </w:tr>
      <w:tr w14:paraId="405B197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735" w:type="dxa"/>
            <w:vAlign w:val="center"/>
          </w:tcPr>
          <w:p w14:paraId="5C3A1120">
            <w:pPr>
              <w:keepNext w:val="0"/>
              <w:keepLines w:val="0"/>
              <w:pageBreakBefore w:val="0"/>
              <w:widowControl w:val="0"/>
              <w:numPr>
                <w:ilvl w:val="0"/>
                <w:numId w:val="1"/>
              </w:numPr>
              <w:kinsoku/>
              <w:wordWrap/>
              <w:overflowPunct/>
              <w:topLinePunct w:val="0"/>
              <w:autoSpaceDE/>
              <w:autoSpaceDN/>
              <w:bidi w:val="0"/>
              <w:adjustRightInd/>
              <w:snapToGrid/>
              <w:spacing w:beforeLines="50" w:line="460" w:lineRule="exact"/>
              <w:ind w:left="227" w:firstLine="0"/>
              <w:jc w:val="center"/>
              <w:textAlignment w:val="auto"/>
              <w:rPr>
                <w:rFonts w:hint="eastAsia" w:ascii="宋体" w:hAnsi="宋体" w:eastAsia="宋体" w:cs="宋体"/>
                <w:color w:val="auto"/>
                <w:sz w:val="24"/>
                <w:highlight w:val="none"/>
              </w:rPr>
            </w:pPr>
          </w:p>
        </w:tc>
        <w:tc>
          <w:tcPr>
            <w:tcW w:w="3058" w:type="dxa"/>
            <w:vAlign w:val="center"/>
          </w:tcPr>
          <w:p w14:paraId="32AF30BF">
            <w:pPr>
              <w:spacing w:beforeLines="50" w:line="46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响应文件语言</w:t>
            </w:r>
          </w:p>
        </w:tc>
        <w:tc>
          <w:tcPr>
            <w:tcW w:w="6436" w:type="dxa"/>
            <w:vAlign w:val="center"/>
          </w:tcPr>
          <w:p w14:paraId="389E60EA">
            <w:pPr>
              <w:snapToGrid w:val="0"/>
              <w:spacing w:line="4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中文</w:t>
            </w:r>
          </w:p>
        </w:tc>
      </w:tr>
      <w:tr w14:paraId="5128667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735" w:type="dxa"/>
            <w:vAlign w:val="center"/>
          </w:tcPr>
          <w:p w14:paraId="1FBB9272">
            <w:pPr>
              <w:keepNext w:val="0"/>
              <w:keepLines w:val="0"/>
              <w:pageBreakBefore w:val="0"/>
              <w:widowControl w:val="0"/>
              <w:numPr>
                <w:ilvl w:val="0"/>
                <w:numId w:val="1"/>
              </w:numPr>
              <w:kinsoku/>
              <w:wordWrap/>
              <w:overflowPunct/>
              <w:topLinePunct w:val="0"/>
              <w:autoSpaceDE/>
              <w:autoSpaceDN/>
              <w:bidi w:val="0"/>
              <w:adjustRightInd/>
              <w:snapToGrid/>
              <w:spacing w:beforeLines="50" w:line="460" w:lineRule="exact"/>
              <w:ind w:left="227" w:firstLine="0"/>
              <w:jc w:val="center"/>
              <w:textAlignment w:val="auto"/>
              <w:rPr>
                <w:rFonts w:hint="eastAsia" w:ascii="宋体" w:hAnsi="宋体" w:eastAsia="宋体" w:cs="宋体"/>
                <w:color w:val="auto"/>
                <w:sz w:val="24"/>
                <w:highlight w:val="none"/>
              </w:rPr>
            </w:pPr>
          </w:p>
        </w:tc>
        <w:tc>
          <w:tcPr>
            <w:tcW w:w="3058" w:type="dxa"/>
            <w:vAlign w:val="center"/>
          </w:tcPr>
          <w:p w14:paraId="53AFECF9">
            <w:pPr>
              <w:spacing w:beforeLines="50" w:line="46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报价货币</w:t>
            </w:r>
          </w:p>
        </w:tc>
        <w:tc>
          <w:tcPr>
            <w:tcW w:w="6436" w:type="dxa"/>
            <w:vAlign w:val="center"/>
          </w:tcPr>
          <w:p w14:paraId="69A99B13">
            <w:pPr>
              <w:spacing w:line="4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人民币</w:t>
            </w:r>
          </w:p>
        </w:tc>
      </w:tr>
      <w:tr w14:paraId="71D4D3C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35" w:type="dxa"/>
            <w:vAlign w:val="center"/>
          </w:tcPr>
          <w:p w14:paraId="30D6DC85">
            <w:pPr>
              <w:keepNext w:val="0"/>
              <w:keepLines w:val="0"/>
              <w:pageBreakBefore w:val="0"/>
              <w:widowControl w:val="0"/>
              <w:numPr>
                <w:ilvl w:val="0"/>
                <w:numId w:val="1"/>
              </w:numPr>
              <w:kinsoku/>
              <w:wordWrap/>
              <w:overflowPunct/>
              <w:topLinePunct w:val="0"/>
              <w:autoSpaceDE/>
              <w:autoSpaceDN/>
              <w:bidi w:val="0"/>
              <w:adjustRightInd/>
              <w:snapToGrid/>
              <w:spacing w:beforeLines="50" w:line="460" w:lineRule="exact"/>
              <w:ind w:left="227" w:firstLine="0"/>
              <w:jc w:val="center"/>
              <w:textAlignment w:val="auto"/>
              <w:rPr>
                <w:rFonts w:hint="eastAsia" w:ascii="宋体" w:hAnsi="宋体" w:eastAsia="宋体" w:cs="宋体"/>
                <w:color w:val="auto"/>
                <w:sz w:val="24"/>
                <w:highlight w:val="none"/>
              </w:rPr>
            </w:pPr>
          </w:p>
        </w:tc>
        <w:tc>
          <w:tcPr>
            <w:tcW w:w="3058" w:type="dxa"/>
            <w:vAlign w:val="center"/>
          </w:tcPr>
          <w:p w14:paraId="7E0259A2">
            <w:pPr>
              <w:spacing w:beforeLines="50" w:line="46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报价范围及说明</w:t>
            </w:r>
          </w:p>
        </w:tc>
        <w:tc>
          <w:tcPr>
            <w:tcW w:w="6436" w:type="dxa"/>
            <w:vAlign w:val="center"/>
          </w:tcPr>
          <w:p w14:paraId="776CE7C7">
            <w:pPr>
              <w:spacing w:line="4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报价包括本项目所招标的服务、保险、税费、验收等</w:t>
            </w:r>
          </w:p>
        </w:tc>
      </w:tr>
      <w:tr w14:paraId="2F5A3A9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735" w:type="dxa"/>
            <w:vAlign w:val="center"/>
          </w:tcPr>
          <w:p w14:paraId="5E9A81C1">
            <w:pPr>
              <w:keepNext w:val="0"/>
              <w:keepLines w:val="0"/>
              <w:pageBreakBefore w:val="0"/>
              <w:widowControl w:val="0"/>
              <w:numPr>
                <w:ilvl w:val="0"/>
                <w:numId w:val="1"/>
              </w:numPr>
              <w:kinsoku/>
              <w:wordWrap/>
              <w:overflowPunct/>
              <w:topLinePunct w:val="0"/>
              <w:autoSpaceDE/>
              <w:autoSpaceDN/>
              <w:bidi w:val="0"/>
              <w:adjustRightInd/>
              <w:snapToGrid/>
              <w:spacing w:beforeLines="50" w:line="460" w:lineRule="exact"/>
              <w:ind w:left="227" w:firstLine="0"/>
              <w:jc w:val="center"/>
              <w:textAlignment w:val="auto"/>
              <w:rPr>
                <w:rFonts w:hint="eastAsia" w:ascii="宋体" w:hAnsi="宋体" w:eastAsia="宋体" w:cs="宋体"/>
                <w:color w:val="auto"/>
                <w:sz w:val="24"/>
                <w:highlight w:val="none"/>
              </w:rPr>
            </w:pPr>
          </w:p>
        </w:tc>
        <w:tc>
          <w:tcPr>
            <w:tcW w:w="3058" w:type="dxa"/>
            <w:vAlign w:val="center"/>
          </w:tcPr>
          <w:p w14:paraId="19E8C1EA">
            <w:pPr>
              <w:spacing w:beforeLines="50" w:line="46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响应文件有效期</w:t>
            </w:r>
          </w:p>
        </w:tc>
        <w:tc>
          <w:tcPr>
            <w:tcW w:w="6436" w:type="dxa"/>
            <w:vAlign w:val="center"/>
          </w:tcPr>
          <w:p w14:paraId="6120C4DB">
            <w:pPr>
              <w:spacing w:line="4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响应文件递交截止期后60日内有效</w:t>
            </w:r>
          </w:p>
        </w:tc>
      </w:tr>
      <w:tr w14:paraId="5F745E0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jc w:val="center"/>
        </w:trPr>
        <w:tc>
          <w:tcPr>
            <w:tcW w:w="735" w:type="dxa"/>
            <w:vAlign w:val="center"/>
          </w:tcPr>
          <w:p w14:paraId="24B63F07">
            <w:pPr>
              <w:keepNext w:val="0"/>
              <w:keepLines w:val="0"/>
              <w:pageBreakBefore w:val="0"/>
              <w:widowControl w:val="0"/>
              <w:numPr>
                <w:ilvl w:val="0"/>
                <w:numId w:val="1"/>
              </w:numPr>
              <w:kinsoku/>
              <w:wordWrap/>
              <w:overflowPunct/>
              <w:topLinePunct w:val="0"/>
              <w:autoSpaceDE/>
              <w:autoSpaceDN/>
              <w:bidi w:val="0"/>
              <w:adjustRightInd/>
              <w:snapToGrid/>
              <w:spacing w:beforeLines="50" w:line="460" w:lineRule="exact"/>
              <w:ind w:left="227" w:firstLine="0"/>
              <w:jc w:val="center"/>
              <w:textAlignment w:val="auto"/>
              <w:rPr>
                <w:rFonts w:hint="eastAsia" w:ascii="宋体" w:hAnsi="宋体" w:eastAsia="宋体" w:cs="宋体"/>
                <w:color w:val="auto"/>
                <w:sz w:val="24"/>
                <w:highlight w:val="none"/>
              </w:rPr>
            </w:pPr>
          </w:p>
        </w:tc>
        <w:tc>
          <w:tcPr>
            <w:tcW w:w="3058" w:type="dxa"/>
            <w:vAlign w:val="center"/>
          </w:tcPr>
          <w:p w14:paraId="73635081">
            <w:pPr>
              <w:tabs>
                <w:tab w:val="left" w:pos="8640"/>
              </w:tabs>
              <w:spacing w:beforeLines="50" w:line="460" w:lineRule="exact"/>
              <w:ind w:left="-2" w:leftChars="-1"/>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响应文件的组成</w:t>
            </w:r>
          </w:p>
        </w:tc>
        <w:tc>
          <w:tcPr>
            <w:tcW w:w="6436" w:type="dxa"/>
            <w:vAlign w:val="center"/>
          </w:tcPr>
          <w:p w14:paraId="08E4D9C8">
            <w:pPr>
              <w:spacing w:line="4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414BDF5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jc w:val="center"/>
        </w:trPr>
        <w:tc>
          <w:tcPr>
            <w:tcW w:w="735" w:type="dxa"/>
            <w:vAlign w:val="center"/>
          </w:tcPr>
          <w:p w14:paraId="4C0ED3B1">
            <w:pPr>
              <w:keepNext w:val="0"/>
              <w:keepLines w:val="0"/>
              <w:pageBreakBefore w:val="0"/>
              <w:widowControl w:val="0"/>
              <w:numPr>
                <w:ilvl w:val="0"/>
                <w:numId w:val="1"/>
              </w:numPr>
              <w:kinsoku/>
              <w:wordWrap/>
              <w:overflowPunct/>
              <w:topLinePunct w:val="0"/>
              <w:autoSpaceDE/>
              <w:autoSpaceDN/>
              <w:bidi w:val="0"/>
              <w:adjustRightInd/>
              <w:snapToGrid/>
              <w:spacing w:beforeLines="50" w:line="460" w:lineRule="exact"/>
              <w:ind w:left="227" w:firstLine="0"/>
              <w:jc w:val="center"/>
              <w:textAlignment w:val="auto"/>
              <w:rPr>
                <w:rFonts w:hint="eastAsia" w:ascii="宋体" w:hAnsi="宋体" w:eastAsia="宋体" w:cs="宋体"/>
                <w:color w:val="auto"/>
                <w:sz w:val="24"/>
                <w:highlight w:val="none"/>
              </w:rPr>
            </w:pPr>
          </w:p>
        </w:tc>
        <w:tc>
          <w:tcPr>
            <w:tcW w:w="3058" w:type="dxa"/>
            <w:vAlign w:val="center"/>
          </w:tcPr>
          <w:p w14:paraId="23FFEC50">
            <w:pPr>
              <w:tabs>
                <w:tab w:val="left" w:pos="8640"/>
              </w:tabs>
              <w:spacing w:beforeLines="50" w:line="460" w:lineRule="exact"/>
              <w:ind w:left="-2" w:leftChars="-1"/>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响应文件封面要求</w:t>
            </w:r>
          </w:p>
        </w:tc>
        <w:tc>
          <w:tcPr>
            <w:tcW w:w="6436" w:type="dxa"/>
            <w:vAlign w:val="center"/>
          </w:tcPr>
          <w:p w14:paraId="39B18DF0">
            <w:pPr>
              <w:tabs>
                <w:tab w:val="left" w:pos="8640"/>
              </w:tabs>
              <w:spacing w:line="4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封面要求</w:t>
            </w:r>
            <w:r>
              <w:rPr>
                <w:rFonts w:hint="eastAsia" w:ascii="宋体" w:hAnsi="宋体" w:cs="宋体"/>
                <w:color w:val="auto"/>
                <w:sz w:val="24"/>
                <w:highlight w:val="none"/>
                <w:lang w:val="en-US" w:eastAsia="zh-CN"/>
              </w:rPr>
              <w:t>供应商加盖CA章，法定代表人或委托代理人</w:t>
            </w:r>
            <w:r>
              <w:rPr>
                <w:rFonts w:hint="eastAsia" w:ascii="宋体" w:hAnsi="宋体" w:eastAsia="宋体" w:cs="宋体"/>
                <w:color w:val="auto"/>
                <w:sz w:val="24"/>
                <w:highlight w:val="none"/>
              </w:rPr>
              <w:t>签字并列明项目名称、采购编号、供应商名称、地址、及电话。</w:t>
            </w:r>
          </w:p>
        </w:tc>
      </w:tr>
      <w:tr w14:paraId="6358B4A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735" w:type="dxa"/>
            <w:vAlign w:val="center"/>
          </w:tcPr>
          <w:p w14:paraId="48658A61">
            <w:pPr>
              <w:keepNext w:val="0"/>
              <w:keepLines w:val="0"/>
              <w:pageBreakBefore w:val="0"/>
              <w:widowControl w:val="0"/>
              <w:numPr>
                <w:ilvl w:val="0"/>
                <w:numId w:val="1"/>
              </w:numPr>
              <w:kinsoku/>
              <w:wordWrap/>
              <w:overflowPunct/>
              <w:topLinePunct w:val="0"/>
              <w:autoSpaceDE/>
              <w:autoSpaceDN/>
              <w:bidi w:val="0"/>
              <w:adjustRightInd/>
              <w:snapToGrid/>
              <w:spacing w:beforeLines="50" w:line="460" w:lineRule="exact"/>
              <w:ind w:left="227" w:firstLine="0"/>
              <w:jc w:val="center"/>
              <w:textAlignment w:val="auto"/>
              <w:rPr>
                <w:rFonts w:hint="eastAsia" w:ascii="宋体" w:hAnsi="宋体" w:eastAsia="宋体" w:cs="宋体"/>
                <w:color w:val="auto"/>
                <w:sz w:val="24"/>
                <w:highlight w:val="none"/>
              </w:rPr>
            </w:pPr>
          </w:p>
        </w:tc>
        <w:tc>
          <w:tcPr>
            <w:tcW w:w="3058" w:type="dxa"/>
            <w:vAlign w:val="center"/>
          </w:tcPr>
          <w:p w14:paraId="6DB3CB34">
            <w:pPr>
              <w:spacing w:beforeLines="50" w:line="46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响应文件份数要求</w:t>
            </w:r>
          </w:p>
        </w:tc>
        <w:tc>
          <w:tcPr>
            <w:tcW w:w="6436" w:type="dxa"/>
            <w:vAlign w:val="center"/>
          </w:tcPr>
          <w:p w14:paraId="622FF283">
            <w:pPr>
              <w:tabs>
                <w:tab w:val="left" w:pos="8640"/>
              </w:tabs>
              <w:spacing w:line="460" w:lineRule="exact"/>
              <w:ind w:left="-2" w:leftChars="-1"/>
              <w:rPr>
                <w:rFonts w:hint="eastAsia" w:ascii="宋体" w:hAnsi="宋体" w:eastAsia="宋体" w:cs="宋体"/>
                <w:color w:val="auto"/>
                <w:sz w:val="24"/>
                <w:highlight w:val="none"/>
              </w:rPr>
            </w:pPr>
            <w:r>
              <w:rPr>
                <w:rFonts w:hint="eastAsia" w:ascii="宋体" w:hAnsi="宋体" w:eastAsia="宋体" w:cs="宋体"/>
                <w:color w:val="auto"/>
                <w:sz w:val="24"/>
                <w:highlight w:val="none"/>
              </w:rPr>
              <w:t>加密的电子投标文件须在投标截止时间前成功上传</w:t>
            </w:r>
          </w:p>
        </w:tc>
      </w:tr>
      <w:tr w14:paraId="42D6F95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735" w:type="dxa"/>
            <w:vAlign w:val="center"/>
          </w:tcPr>
          <w:p w14:paraId="71C22244">
            <w:pPr>
              <w:keepNext w:val="0"/>
              <w:keepLines w:val="0"/>
              <w:pageBreakBefore w:val="0"/>
              <w:widowControl w:val="0"/>
              <w:numPr>
                <w:ilvl w:val="0"/>
                <w:numId w:val="1"/>
              </w:numPr>
              <w:kinsoku/>
              <w:wordWrap/>
              <w:overflowPunct/>
              <w:topLinePunct w:val="0"/>
              <w:autoSpaceDE/>
              <w:autoSpaceDN/>
              <w:bidi w:val="0"/>
              <w:adjustRightInd/>
              <w:snapToGrid/>
              <w:spacing w:beforeLines="50" w:line="460" w:lineRule="exact"/>
              <w:ind w:left="227" w:firstLine="0"/>
              <w:jc w:val="center"/>
              <w:textAlignment w:val="auto"/>
              <w:rPr>
                <w:rFonts w:hint="eastAsia" w:ascii="宋体" w:hAnsi="宋体" w:eastAsia="宋体" w:cs="宋体"/>
                <w:color w:val="auto"/>
                <w:sz w:val="24"/>
                <w:highlight w:val="none"/>
              </w:rPr>
            </w:pPr>
          </w:p>
        </w:tc>
        <w:tc>
          <w:tcPr>
            <w:tcW w:w="3058" w:type="dxa"/>
            <w:vAlign w:val="center"/>
          </w:tcPr>
          <w:p w14:paraId="43C759E6">
            <w:pPr>
              <w:spacing w:beforeLines="50" w:line="46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响应文件装订和密封要求</w:t>
            </w:r>
          </w:p>
        </w:tc>
        <w:tc>
          <w:tcPr>
            <w:tcW w:w="6436" w:type="dxa"/>
            <w:vAlign w:val="center"/>
          </w:tcPr>
          <w:p w14:paraId="2242D2F8">
            <w:pPr>
              <w:spacing w:line="4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无</w:t>
            </w:r>
          </w:p>
        </w:tc>
      </w:tr>
      <w:tr w14:paraId="22D1551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735" w:type="dxa"/>
            <w:vAlign w:val="center"/>
          </w:tcPr>
          <w:p w14:paraId="4EDAF4A3">
            <w:pPr>
              <w:keepNext w:val="0"/>
              <w:keepLines w:val="0"/>
              <w:pageBreakBefore w:val="0"/>
              <w:widowControl w:val="0"/>
              <w:numPr>
                <w:ilvl w:val="0"/>
                <w:numId w:val="1"/>
              </w:numPr>
              <w:kinsoku/>
              <w:wordWrap/>
              <w:overflowPunct/>
              <w:topLinePunct w:val="0"/>
              <w:autoSpaceDE/>
              <w:autoSpaceDN/>
              <w:bidi w:val="0"/>
              <w:adjustRightInd/>
              <w:snapToGrid/>
              <w:spacing w:beforeLines="50" w:line="460" w:lineRule="exact"/>
              <w:ind w:left="227" w:firstLine="0"/>
              <w:jc w:val="center"/>
              <w:textAlignment w:val="auto"/>
              <w:rPr>
                <w:rFonts w:hint="eastAsia" w:ascii="宋体" w:hAnsi="宋体" w:eastAsia="宋体" w:cs="宋体"/>
                <w:color w:val="auto"/>
                <w:sz w:val="24"/>
                <w:highlight w:val="none"/>
              </w:rPr>
            </w:pPr>
          </w:p>
        </w:tc>
        <w:tc>
          <w:tcPr>
            <w:tcW w:w="3058" w:type="dxa"/>
            <w:vAlign w:val="center"/>
          </w:tcPr>
          <w:p w14:paraId="18D47860">
            <w:pPr>
              <w:spacing w:beforeLines="50" w:line="46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竞争性磋商文件的澄清</w:t>
            </w:r>
          </w:p>
        </w:tc>
        <w:tc>
          <w:tcPr>
            <w:tcW w:w="6436" w:type="dxa"/>
            <w:vAlign w:val="center"/>
          </w:tcPr>
          <w:p w14:paraId="5A8B1A76">
            <w:pPr>
              <w:spacing w:line="4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对竞争性磋商文件进行的澄清，以网上公告的方式通知供应商。澄清或修改的内容可能影响响应文件编制的，采购人、采购代理机构应当在提交响应文件截止时间至少5日前。</w:t>
            </w:r>
          </w:p>
        </w:tc>
      </w:tr>
      <w:tr w14:paraId="03C73DC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85" w:hRule="atLeast"/>
          <w:jc w:val="center"/>
        </w:trPr>
        <w:tc>
          <w:tcPr>
            <w:tcW w:w="735" w:type="dxa"/>
            <w:vAlign w:val="center"/>
          </w:tcPr>
          <w:p w14:paraId="048F537C">
            <w:pPr>
              <w:keepNext w:val="0"/>
              <w:keepLines w:val="0"/>
              <w:pageBreakBefore w:val="0"/>
              <w:widowControl w:val="0"/>
              <w:numPr>
                <w:ilvl w:val="0"/>
                <w:numId w:val="1"/>
              </w:numPr>
              <w:kinsoku/>
              <w:wordWrap/>
              <w:overflowPunct/>
              <w:topLinePunct w:val="0"/>
              <w:autoSpaceDE/>
              <w:autoSpaceDN/>
              <w:bidi w:val="0"/>
              <w:adjustRightInd/>
              <w:snapToGrid/>
              <w:spacing w:beforeLines="50" w:line="460" w:lineRule="exact"/>
              <w:ind w:left="227" w:firstLine="0"/>
              <w:jc w:val="center"/>
              <w:textAlignment w:val="auto"/>
              <w:rPr>
                <w:rFonts w:hint="eastAsia" w:ascii="宋体" w:hAnsi="宋体" w:eastAsia="宋体" w:cs="宋体"/>
                <w:color w:val="auto"/>
                <w:sz w:val="24"/>
                <w:highlight w:val="none"/>
              </w:rPr>
            </w:pPr>
          </w:p>
        </w:tc>
        <w:tc>
          <w:tcPr>
            <w:tcW w:w="3058" w:type="dxa"/>
            <w:vAlign w:val="center"/>
          </w:tcPr>
          <w:p w14:paraId="71913E3C">
            <w:pPr>
              <w:spacing w:beforeLines="50" w:line="46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响应文件递交截止时间</w:t>
            </w:r>
          </w:p>
        </w:tc>
        <w:tc>
          <w:tcPr>
            <w:tcW w:w="6436" w:type="dxa"/>
            <w:vAlign w:val="center"/>
          </w:tcPr>
          <w:p w14:paraId="45F8DC3F">
            <w:pPr>
              <w:spacing w:line="4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u w:val="single"/>
              </w:rPr>
              <w:t>202</w:t>
            </w:r>
            <w:r>
              <w:rPr>
                <w:rFonts w:hint="eastAsia" w:ascii="宋体" w:hAnsi="宋体" w:eastAsia="宋体" w:cs="宋体"/>
                <w:color w:val="auto"/>
                <w:sz w:val="24"/>
                <w:highlight w:val="none"/>
                <w:u w:val="single"/>
                <w:lang w:val="en-US" w:eastAsia="zh-CN"/>
              </w:rPr>
              <w:t>6</w:t>
            </w:r>
            <w:r>
              <w:rPr>
                <w:rFonts w:hint="eastAsia" w:ascii="宋体" w:hAnsi="宋体" w:eastAsia="宋体" w:cs="宋体"/>
                <w:bCs/>
                <w:color w:val="auto"/>
                <w:sz w:val="24"/>
                <w:highlight w:val="none"/>
                <w:u w:val="single"/>
              </w:rPr>
              <w:t>年</w:t>
            </w:r>
            <w:r>
              <w:rPr>
                <w:rFonts w:hint="eastAsia" w:ascii="宋体" w:hAnsi="宋体" w:eastAsia="宋体" w:cs="宋体"/>
                <w:bCs/>
                <w:color w:val="auto"/>
                <w:sz w:val="24"/>
                <w:highlight w:val="none"/>
                <w:u w:val="single"/>
                <w:lang w:val="en-US" w:eastAsia="zh-CN"/>
              </w:rPr>
              <w:t xml:space="preserve">  </w:t>
            </w:r>
            <w:r>
              <w:rPr>
                <w:rFonts w:hint="eastAsia" w:ascii="宋体" w:hAnsi="宋体" w:eastAsia="宋体" w:cs="宋体"/>
                <w:bCs/>
                <w:color w:val="auto"/>
                <w:sz w:val="24"/>
                <w:highlight w:val="none"/>
                <w:u w:val="single"/>
              </w:rPr>
              <w:t>月</w:t>
            </w:r>
            <w:r>
              <w:rPr>
                <w:rFonts w:hint="eastAsia" w:ascii="宋体" w:hAnsi="宋体" w:eastAsia="宋体" w:cs="宋体"/>
                <w:bCs/>
                <w:color w:val="auto"/>
                <w:sz w:val="24"/>
                <w:highlight w:val="none"/>
                <w:u w:val="single"/>
                <w:lang w:val="en-US" w:eastAsia="zh-CN"/>
              </w:rPr>
              <w:t xml:space="preserve">  </w:t>
            </w:r>
            <w:r>
              <w:rPr>
                <w:rFonts w:hint="eastAsia" w:ascii="宋体" w:hAnsi="宋体" w:eastAsia="宋体" w:cs="宋体"/>
                <w:bCs/>
                <w:color w:val="auto"/>
                <w:sz w:val="24"/>
                <w:highlight w:val="none"/>
                <w:u w:val="single"/>
              </w:rPr>
              <w:t>日10点00分</w:t>
            </w:r>
            <w:r>
              <w:rPr>
                <w:rFonts w:hint="eastAsia" w:ascii="宋体" w:hAnsi="宋体" w:eastAsia="宋体" w:cs="宋体"/>
                <w:bCs/>
                <w:color w:val="auto"/>
                <w:sz w:val="24"/>
                <w:highlight w:val="none"/>
              </w:rPr>
              <w:t>（北京时间）</w:t>
            </w:r>
            <w:r>
              <w:rPr>
                <w:rFonts w:hint="eastAsia" w:ascii="宋体" w:hAnsi="宋体" w:eastAsia="宋体" w:cs="宋体"/>
                <w:color w:val="auto"/>
                <w:sz w:val="24"/>
                <w:highlight w:val="none"/>
              </w:rPr>
              <w:t xml:space="preserve"> </w:t>
            </w:r>
          </w:p>
        </w:tc>
      </w:tr>
      <w:tr w14:paraId="7E23158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735" w:type="dxa"/>
            <w:vAlign w:val="center"/>
          </w:tcPr>
          <w:p w14:paraId="2E6454D3">
            <w:pPr>
              <w:keepNext w:val="0"/>
              <w:keepLines w:val="0"/>
              <w:pageBreakBefore w:val="0"/>
              <w:widowControl w:val="0"/>
              <w:numPr>
                <w:ilvl w:val="0"/>
                <w:numId w:val="1"/>
              </w:numPr>
              <w:kinsoku/>
              <w:wordWrap/>
              <w:overflowPunct/>
              <w:topLinePunct w:val="0"/>
              <w:autoSpaceDE/>
              <w:autoSpaceDN/>
              <w:bidi w:val="0"/>
              <w:adjustRightInd/>
              <w:snapToGrid/>
              <w:spacing w:beforeLines="50" w:line="460" w:lineRule="exact"/>
              <w:ind w:left="227" w:firstLine="0"/>
              <w:jc w:val="center"/>
              <w:textAlignment w:val="auto"/>
              <w:rPr>
                <w:rFonts w:hint="eastAsia" w:ascii="宋体" w:hAnsi="宋体" w:eastAsia="宋体" w:cs="宋体"/>
                <w:color w:val="auto"/>
                <w:sz w:val="24"/>
                <w:highlight w:val="none"/>
              </w:rPr>
            </w:pPr>
          </w:p>
        </w:tc>
        <w:tc>
          <w:tcPr>
            <w:tcW w:w="3058" w:type="dxa"/>
            <w:vAlign w:val="center"/>
          </w:tcPr>
          <w:p w14:paraId="3AB4BC45">
            <w:pPr>
              <w:spacing w:beforeLines="50" w:line="46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响应文件递交地点</w:t>
            </w:r>
          </w:p>
        </w:tc>
        <w:tc>
          <w:tcPr>
            <w:tcW w:w="6436" w:type="dxa"/>
            <w:vAlign w:val="center"/>
          </w:tcPr>
          <w:p w14:paraId="1BEFFB79">
            <w:pPr>
              <w:spacing w:line="4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周口市公共资源交易中心网</w:t>
            </w:r>
          </w:p>
          <w:p w14:paraId="5442EB17">
            <w:pPr>
              <w:spacing w:line="4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网址：周口市公共资源电子交易服务平台会员系统（网址</w:t>
            </w:r>
            <w:r>
              <w:rPr>
                <w:rFonts w:hint="eastAsia" w:ascii="宋体" w:hAnsi="宋体" w:eastAsia="宋体" w:cs="宋体"/>
                <w:color w:val="auto"/>
                <w:highlight w:val="none"/>
              </w:rPr>
              <w:t>http://jyzx.zhoukou.gov.cn）</w:t>
            </w:r>
          </w:p>
          <w:p w14:paraId="6EC289CE">
            <w:pPr>
              <w:spacing w:line="4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（本项目实行网上远程开标无须到现场提交响应文件）</w:t>
            </w:r>
          </w:p>
        </w:tc>
      </w:tr>
      <w:tr w14:paraId="789823A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735" w:type="dxa"/>
            <w:vAlign w:val="center"/>
          </w:tcPr>
          <w:p w14:paraId="04FAF47A">
            <w:pPr>
              <w:keepNext w:val="0"/>
              <w:keepLines w:val="0"/>
              <w:pageBreakBefore w:val="0"/>
              <w:widowControl w:val="0"/>
              <w:numPr>
                <w:ilvl w:val="0"/>
                <w:numId w:val="1"/>
              </w:numPr>
              <w:kinsoku/>
              <w:wordWrap/>
              <w:overflowPunct/>
              <w:topLinePunct w:val="0"/>
              <w:autoSpaceDE/>
              <w:autoSpaceDN/>
              <w:bidi w:val="0"/>
              <w:adjustRightInd/>
              <w:snapToGrid/>
              <w:spacing w:beforeLines="50" w:line="460" w:lineRule="exact"/>
              <w:ind w:left="227" w:firstLine="0"/>
              <w:jc w:val="center"/>
              <w:textAlignment w:val="auto"/>
              <w:rPr>
                <w:rFonts w:hint="eastAsia" w:ascii="宋体" w:hAnsi="宋体" w:eastAsia="宋体" w:cs="宋体"/>
                <w:color w:val="auto"/>
                <w:sz w:val="24"/>
                <w:highlight w:val="none"/>
              </w:rPr>
            </w:pPr>
          </w:p>
        </w:tc>
        <w:tc>
          <w:tcPr>
            <w:tcW w:w="3058" w:type="dxa"/>
            <w:vAlign w:val="center"/>
          </w:tcPr>
          <w:p w14:paraId="471F7E19">
            <w:pPr>
              <w:spacing w:beforeLines="50" w:line="46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磋商时间</w:t>
            </w:r>
          </w:p>
        </w:tc>
        <w:tc>
          <w:tcPr>
            <w:tcW w:w="6436" w:type="dxa"/>
            <w:vAlign w:val="center"/>
          </w:tcPr>
          <w:p w14:paraId="1A890A9F">
            <w:pPr>
              <w:tabs>
                <w:tab w:val="left" w:pos="8640"/>
              </w:tabs>
              <w:spacing w:line="4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u w:val="single"/>
              </w:rPr>
              <w:t>202</w:t>
            </w:r>
            <w:r>
              <w:rPr>
                <w:rFonts w:hint="eastAsia" w:ascii="宋体" w:hAnsi="宋体" w:eastAsia="宋体" w:cs="宋体"/>
                <w:color w:val="auto"/>
                <w:sz w:val="24"/>
                <w:highlight w:val="none"/>
                <w:u w:val="single"/>
                <w:lang w:val="en-US" w:eastAsia="zh-CN"/>
              </w:rPr>
              <w:t>6</w:t>
            </w:r>
            <w:r>
              <w:rPr>
                <w:rFonts w:hint="eastAsia" w:ascii="宋体" w:hAnsi="宋体" w:eastAsia="宋体" w:cs="宋体"/>
                <w:bCs/>
                <w:color w:val="auto"/>
                <w:sz w:val="24"/>
                <w:highlight w:val="none"/>
                <w:u w:val="single"/>
              </w:rPr>
              <w:t>年</w:t>
            </w:r>
            <w:r>
              <w:rPr>
                <w:rFonts w:hint="eastAsia" w:ascii="宋体" w:hAnsi="宋体" w:eastAsia="宋体" w:cs="宋体"/>
                <w:bCs/>
                <w:color w:val="auto"/>
                <w:sz w:val="24"/>
                <w:highlight w:val="none"/>
                <w:u w:val="single"/>
                <w:lang w:val="en-US" w:eastAsia="zh-CN"/>
              </w:rPr>
              <w:t xml:space="preserve">  </w:t>
            </w:r>
            <w:r>
              <w:rPr>
                <w:rFonts w:hint="eastAsia" w:ascii="宋体" w:hAnsi="宋体" w:eastAsia="宋体" w:cs="宋体"/>
                <w:bCs/>
                <w:color w:val="auto"/>
                <w:sz w:val="24"/>
                <w:highlight w:val="none"/>
                <w:u w:val="single"/>
              </w:rPr>
              <w:t>月</w:t>
            </w:r>
            <w:r>
              <w:rPr>
                <w:rFonts w:hint="eastAsia" w:ascii="宋体" w:hAnsi="宋体" w:eastAsia="宋体" w:cs="宋体"/>
                <w:bCs/>
                <w:color w:val="auto"/>
                <w:sz w:val="24"/>
                <w:highlight w:val="none"/>
                <w:u w:val="single"/>
                <w:lang w:val="en-US" w:eastAsia="zh-CN"/>
              </w:rPr>
              <w:t xml:space="preserve">  </w:t>
            </w:r>
            <w:r>
              <w:rPr>
                <w:rFonts w:hint="eastAsia" w:ascii="宋体" w:hAnsi="宋体" w:eastAsia="宋体" w:cs="宋体"/>
                <w:bCs/>
                <w:color w:val="auto"/>
                <w:sz w:val="24"/>
                <w:highlight w:val="none"/>
                <w:u w:val="single"/>
              </w:rPr>
              <w:t>日10点00分</w:t>
            </w:r>
            <w:r>
              <w:rPr>
                <w:rFonts w:hint="eastAsia" w:ascii="宋体" w:hAnsi="宋体" w:eastAsia="宋体" w:cs="宋体"/>
                <w:bCs/>
                <w:color w:val="auto"/>
                <w:sz w:val="24"/>
                <w:highlight w:val="none"/>
              </w:rPr>
              <w:t>（北京时间）</w:t>
            </w:r>
          </w:p>
        </w:tc>
      </w:tr>
      <w:tr w14:paraId="4EA4CD9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735" w:type="dxa"/>
            <w:vAlign w:val="center"/>
          </w:tcPr>
          <w:p w14:paraId="090033D2">
            <w:pPr>
              <w:keepNext w:val="0"/>
              <w:keepLines w:val="0"/>
              <w:pageBreakBefore w:val="0"/>
              <w:widowControl w:val="0"/>
              <w:numPr>
                <w:ilvl w:val="0"/>
                <w:numId w:val="1"/>
              </w:numPr>
              <w:kinsoku/>
              <w:wordWrap/>
              <w:overflowPunct/>
              <w:topLinePunct w:val="0"/>
              <w:autoSpaceDE/>
              <w:autoSpaceDN/>
              <w:bidi w:val="0"/>
              <w:adjustRightInd/>
              <w:snapToGrid/>
              <w:spacing w:beforeLines="50" w:line="460" w:lineRule="exact"/>
              <w:ind w:left="227" w:firstLine="0"/>
              <w:jc w:val="center"/>
              <w:textAlignment w:val="auto"/>
              <w:rPr>
                <w:rFonts w:hint="eastAsia" w:ascii="宋体" w:hAnsi="宋体" w:eastAsia="宋体" w:cs="宋体"/>
                <w:color w:val="auto"/>
                <w:sz w:val="24"/>
                <w:highlight w:val="none"/>
              </w:rPr>
            </w:pPr>
          </w:p>
        </w:tc>
        <w:tc>
          <w:tcPr>
            <w:tcW w:w="3058" w:type="dxa"/>
            <w:vAlign w:val="center"/>
          </w:tcPr>
          <w:p w14:paraId="68C148A4">
            <w:pPr>
              <w:spacing w:beforeLines="50" w:line="46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磋商程序和内容</w:t>
            </w:r>
          </w:p>
        </w:tc>
        <w:tc>
          <w:tcPr>
            <w:tcW w:w="6436" w:type="dxa"/>
            <w:vAlign w:val="center"/>
          </w:tcPr>
          <w:p w14:paraId="0E953E50">
            <w:pPr>
              <w:tabs>
                <w:tab w:val="left" w:pos="8640"/>
              </w:tabs>
              <w:spacing w:line="4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详见磋商文件第二章</w:t>
            </w:r>
          </w:p>
        </w:tc>
      </w:tr>
      <w:tr w14:paraId="6D6C782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jc w:val="center"/>
        </w:trPr>
        <w:tc>
          <w:tcPr>
            <w:tcW w:w="735" w:type="dxa"/>
            <w:vAlign w:val="center"/>
          </w:tcPr>
          <w:p w14:paraId="00DD9588">
            <w:pPr>
              <w:keepNext w:val="0"/>
              <w:keepLines w:val="0"/>
              <w:pageBreakBefore w:val="0"/>
              <w:widowControl w:val="0"/>
              <w:numPr>
                <w:ilvl w:val="0"/>
                <w:numId w:val="1"/>
              </w:numPr>
              <w:kinsoku/>
              <w:wordWrap/>
              <w:overflowPunct/>
              <w:topLinePunct w:val="0"/>
              <w:autoSpaceDE/>
              <w:autoSpaceDN/>
              <w:bidi w:val="0"/>
              <w:adjustRightInd/>
              <w:snapToGrid/>
              <w:spacing w:beforeLines="50" w:line="460" w:lineRule="exact"/>
              <w:ind w:left="227" w:firstLine="0"/>
              <w:jc w:val="center"/>
              <w:textAlignment w:val="auto"/>
              <w:rPr>
                <w:rFonts w:hint="eastAsia" w:ascii="宋体" w:hAnsi="宋体" w:eastAsia="宋体" w:cs="宋体"/>
                <w:color w:val="auto"/>
                <w:sz w:val="24"/>
                <w:highlight w:val="none"/>
              </w:rPr>
            </w:pPr>
          </w:p>
        </w:tc>
        <w:tc>
          <w:tcPr>
            <w:tcW w:w="3058" w:type="dxa"/>
            <w:vAlign w:val="center"/>
          </w:tcPr>
          <w:p w14:paraId="399881FE">
            <w:pPr>
              <w:spacing w:beforeLines="50" w:line="46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授予合同</w:t>
            </w:r>
          </w:p>
        </w:tc>
        <w:tc>
          <w:tcPr>
            <w:tcW w:w="6436" w:type="dxa"/>
            <w:vAlign w:val="center"/>
          </w:tcPr>
          <w:p w14:paraId="739E03B3">
            <w:pPr>
              <w:tabs>
                <w:tab w:val="left" w:pos="8640"/>
              </w:tabs>
              <w:spacing w:line="460" w:lineRule="exact"/>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采购人根据磋商小组的推荐意见，确定成交供应商。采购代理机构向成交供应商发出成交通知书。</w:t>
            </w:r>
          </w:p>
        </w:tc>
      </w:tr>
      <w:tr w14:paraId="30A4BDB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jc w:val="center"/>
        </w:trPr>
        <w:tc>
          <w:tcPr>
            <w:tcW w:w="735" w:type="dxa"/>
            <w:vAlign w:val="center"/>
          </w:tcPr>
          <w:p w14:paraId="4B5B1518">
            <w:pPr>
              <w:keepNext w:val="0"/>
              <w:keepLines w:val="0"/>
              <w:pageBreakBefore w:val="0"/>
              <w:widowControl w:val="0"/>
              <w:numPr>
                <w:ilvl w:val="0"/>
                <w:numId w:val="1"/>
              </w:numPr>
              <w:kinsoku/>
              <w:wordWrap/>
              <w:overflowPunct/>
              <w:topLinePunct w:val="0"/>
              <w:autoSpaceDE/>
              <w:autoSpaceDN/>
              <w:bidi w:val="0"/>
              <w:adjustRightInd/>
              <w:snapToGrid/>
              <w:spacing w:beforeLines="50" w:line="460" w:lineRule="exact"/>
              <w:ind w:left="227" w:firstLine="0"/>
              <w:jc w:val="center"/>
              <w:textAlignment w:val="auto"/>
              <w:rPr>
                <w:rFonts w:hint="eastAsia" w:ascii="宋体" w:hAnsi="宋体" w:eastAsia="宋体" w:cs="宋体"/>
                <w:color w:val="auto"/>
                <w:sz w:val="24"/>
                <w:highlight w:val="none"/>
              </w:rPr>
            </w:pPr>
          </w:p>
        </w:tc>
        <w:tc>
          <w:tcPr>
            <w:tcW w:w="3058" w:type="dxa"/>
            <w:vAlign w:val="center"/>
          </w:tcPr>
          <w:p w14:paraId="339BF00C">
            <w:pPr>
              <w:spacing w:beforeLines="50" w:line="46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签订合同</w:t>
            </w:r>
          </w:p>
        </w:tc>
        <w:tc>
          <w:tcPr>
            <w:tcW w:w="6436" w:type="dxa"/>
            <w:vAlign w:val="center"/>
          </w:tcPr>
          <w:p w14:paraId="4A182A74">
            <w:pPr>
              <w:tabs>
                <w:tab w:val="left" w:pos="8640"/>
              </w:tabs>
              <w:spacing w:line="460" w:lineRule="exact"/>
              <w:ind w:left="-2" w:leftChars="-1"/>
              <w:rPr>
                <w:rFonts w:hint="eastAsia" w:ascii="宋体" w:hAnsi="宋体" w:eastAsia="宋体" w:cs="宋体"/>
                <w:color w:val="auto"/>
                <w:sz w:val="24"/>
                <w:highlight w:val="none"/>
              </w:rPr>
            </w:pPr>
            <w:r>
              <w:rPr>
                <w:rFonts w:hint="eastAsia" w:ascii="宋体" w:hAnsi="宋体" w:eastAsia="宋体" w:cs="宋体"/>
                <w:color w:val="auto"/>
                <w:sz w:val="24"/>
                <w:highlight w:val="none"/>
              </w:rPr>
              <w:t>1）接到成交通知书30天内，成交供应商应与采购人签订采购合同。</w:t>
            </w:r>
          </w:p>
          <w:p w14:paraId="2D83B9EB">
            <w:pPr>
              <w:tabs>
                <w:tab w:val="left" w:pos="8640"/>
              </w:tabs>
              <w:spacing w:line="460" w:lineRule="exact"/>
              <w:ind w:left="-2" w:leftChars="-1"/>
              <w:rPr>
                <w:rFonts w:hint="eastAsia" w:ascii="宋体" w:hAnsi="宋体" w:eastAsia="宋体" w:cs="宋体"/>
                <w:color w:val="auto"/>
                <w:sz w:val="24"/>
                <w:highlight w:val="none"/>
              </w:rPr>
            </w:pPr>
            <w:r>
              <w:rPr>
                <w:rFonts w:hint="eastAsia" w:ascii="宋体" w:hAnsi="宋体" w:eastAsia="宋体" w:cs="宋体"/>
                <w:color w:val="auto"/>
                <w:sz w:val="24"/>
                <w:highlight w:val="none"/>
              </w:rPr>
              <w:t>2）本磋商文件、响应文件及磋商、评审过程中有关澄清、承诺文件的内容，将作为签订合同的主要内容。</w:t>
            </w:r>
          </w:p>
        </w:tc>
      </w:tr>
      <w:tr w14:paraId="7AB2B6C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735" w:type="dxa"/>
            <w:vAlign w:val="center"/>
          </w:tcPr>
          <w:p w14:paraId="564DE413">
            <w:pPr>
              <w:keepNext w:val="0"/>
              <w:keepLines w:val="0"/>
              <w:pageBreakBefore w:val="0"/>
              <w:widowControl w:val="0"/>
              <w:numPr>
                <w:ilvl w:val="0"/>
                <w:numId w:val="1"/>
              </w:numPr>
              <w:kinsoku/>
              <w:wordWrap/>
              <w:overflowPunct/>
              <w:topLinePunct w:val="0"/>
              <w:autoSpaceDE/>
              <w:autoSpaceDN/>
              <w:bidi w:val="0"/>
              <w:adjustRightInd/>
              <w:snapToGrid/>
              <w:spacing w:beforeLines="50" w:line="460" w:lineRule="exact"/>
              <w:ind w:left="227" w:firstLine="0"/>
              <w:jc w:val="center"/>
              <w:textAlignment w:val="auto"/>
              <w:rPr>
                <w:rFonts w:hint="eastAsia" w:ascii="宋体" w:hAnsi="宋体" w:eastAsia="宋体" w:cs="宋体"/>
                <w:color w:val="auto"/>
                <w:sz w:val="24"/>
                <w:highlight w:val="none"/>
              </w:rPr>
            </w:pPr>
          </w:p>
        </w:tc>
        <w:tc>
          <w:tcPr>
            <w:tcW w:w="3058" w:type="dxa"/>
            <w:vAlign w:val="center"/>
          </w:tcPr>
          <w:p w14:paraId="73F610D6">
            <w:pPr>
              <w:spacing w:beforeLines="50" w:line="46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投标保证金</w:t>
            </w:r>
          </w:p>
        </w:tc>
        <w:tc>
          <w:tcPr>
            <w:tcW w:w="6436" w:type="dxa"/>
            <w:vAlign w:val="center"/>
          </w:tcPr>
          <w:p w14:paraId="4D750DBC">
            <w:pPr>
              <w:tabs>
                <w:tab w:val="left" w:pos="8640"/>
              </w:tabs>
              <w:spacing w:line="460" w:lineRule="exact"/>
              <w:ind w:left="-2" w:leftChars="-1"/>
              <w:rPr>
                <w:rFonts w:hint="eastAsia" w:ascii="宋体" w:hAnsi="宋体" w:eastAsia="宋体" w:cs="宋体"/>
                <w:color w:val="auto"/>
                <w:sz w:val="24"/>
                <w:highlight w:val="none"/>
              </w:rPr>
            </w:pPr>
            <w:r>
              <w:rPr>
                <w:rFonts w:hint="eastAsia" w:ascii="宋体" w:hAnsi="宋体" w:eastAsia="宋体" w:cs="宋体"/>
                <w:color w:val="auto"/>
                <w:sz w:val="24"/>
                <w:highlight w:val="none"/>
              </w:rPr>
              <w:t>本项目不需要交纳投标保证金</w:t>
            </w:r>
          </w:p>
        </w:tc>
      </w:tr>
      <w:tr w14:paraId="78F857C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35" w:type="dxa"/>
            <w:vAlign w:val="center"/>
          </w:tcPr>
          <w:p w14:paraId="5EA35B4C">
            <w:pPr>
              <w:keepNext w:val="0"/>
              <w:keepLines w:val="0"/>
              <w:pageBreakBefore w:val="0"/>
              <w:widowControl w:val="0"/>
              <w:numPr>
                <w:ilvl w:val="0"/>
                <w:numId w:val="1"/>
              </w:numPr>
              <w:kinsoku/>
              <w:wordWrap/>
              <w:overflowPunct/>
              <w:topLinePunct w:val="0"/>
              <w:autoSpaceDE/>
              <w:autoSpaceDN/>
              <w:bidi w:val="0"/>
              <w:adjustRightInd/>
              <w:snapToGrid/>
              <w:spacing w:beforeLines="50" w:line="460" w:lineRule="exact"/>
              <w:ind w:left="227" w:firstLine="0"/>
              <w:jc w:val="center"/>
              <w:textAlignment w:val="auto"/>
              <w:rPr>
                <w:rFonts w:hint="eastAsia" w:ascii="宋体" w:hAnsi="宋体" w:eastAsia="宋体" w:cs="宋体"/>
                <w:color w:val="auto"/>
                <w:sz w:val="24"/>
                <w:highlight w:val="none"/>
              </w:rPr>
            </w:pPr>
          </w:p>
        </w:tc>
        <w:tc>
          <w:tcPr>
            <w:tcW w:w="3058" w:type="dxa"/>
            <w:vAlign w:val="center"/>
          </w:tcPr>
          <w:p w14:paraId="0277D9C4">
            <w:pPr>
              <w:spacing w:line="46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服务期限</w:t>
            </w:r>
          </w:p>
        </w:tc>
        <w:tc>
          <w:tcPr>
            <w:tcW w:w="6436" w:type="dxa"/>
            <w:vAlign w:val="center"/>
          </w:tcPr>
          <w:p w14:paraId="0251F080">
            <w:pPr>
              <w:tabs>
                <w:tab w:val="left" w:pos="8640"/>
              </w:tabs>
              <w:spacing w:line="460" w:lineRule="exact"/>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自合同签订之日起30日历天</w:t>
            </w:r>
          </w:p>
        </w:tc>
      </w:tr>
      <w:tr w14:paraId="35C4D2A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735" w:type="dxa"/>
            <w:vAlign w:val="center"/>
          </w:tcPr>
          <w:p w14:paraId="1ECEF3FC">
            <w:pPr>
              <w:keepNext w:val="0"/>
              <w:keepLines w:val="0"/>
              <w:pageBreakBefore w:val="0"/>
              <w:widowControl w:val="0"/>
              <w:numPr>
                <w:ilvl w:val="0"/>
                <w:numId w:val="1"/>
              </w:numPr>
              <w:kinsoku/>
              <w:wordWrap/>
              <w:overflowPunct/>
              <w:topLinePunct w:val="0"/>
              <w:autoSpaceDE/>
              <w:autoSpaceDN/>
              <w:bidi w:val="0"/>
              <w:adjustRightInd/>
              <w:snapToGrid/>
              <w:spacing w:beforeLines="50" w:line="460" w:lineRule="exact"/>
              <w:ind w:left="227" w:firstLine="0"/>
              <w:jc w:val="center"/>
              <w:textAlignment w:val="auto"/>
              <w:rPr>
                <w:rFonts w:hint="eastAsia" w:ascii="宋体" w:hAnsi="宋体" w:eastAsia="宋体" w:cs="宋体"/>
                <w:color w:val="auto"/>
                <w:sz w:val="24"/>
                <w:highlight w:val="none"/>
              </w:rPr>
            </w:pPr>
          </w:p>
        </w:tc>
        <w:tc>
          <w:tcPr>
            <w:tcW w:w="3058" w:type="dxa"/>
            <w:vAlign w:val="center"/>
          </w:tcPr>
          <w:p w14:paraId="70C203C1">
            <w:pPr>
              <w:spacing w:beforeLines="50" w:line="46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付款方式</w:t>
            </w:r>
          </w:p>
        </w:tc>
        <w:tc>
          <w:tcPr>
            <w:tcW w:w="6436" w:type="dxa"/>
            <w:vAlign w:val="center"/>
          </w:tcPr>
          <w:p w14:paraId="69734797">
            <w:pPr>
              <w:tabs>
                <w:tab w:val="left" w:pos="8640"/>
              </w:tabs>
              <w:spacing w:line="460" w:lineRule="exact"/>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分两次支付。（1）第一期款：合同签订后二十个工作日内支付合同总额的50%；（2）第二期款：余款等乙方完成勘察设计的编制并提交成果后，支付合同总额的50%。</w:t>
            </w:r>
          </w:p>
        </w:tc>
      </w:tr>
      <w:tr w14:paraId="0AA49AB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735" w:type="dxa"/>
            <w:vAlign w:val="center"/>
          </w:tcPr>
          <w:p w14:paraId="2FF0FA22">
            <w:pPr>
              <w:keepNext w:val="0"/>
              <w:keepLines w:val="0"/>
              <w:pageBreakBefore w:val="0"/>
              <w:widowControl w:val="0"/>
              <w:numPr>
                <w:ilvl w:val="0"/>
                <w:numId w:val="1"/>
              </w:numPr>
              <w:kinsoku/>
              <w:wordWrap/>
              <w:overflowPunct/>
              <w:topLinePunct w:val="0"/>
              <w:autoSpaceDE/>
              <w:autoSpaceDN/>
              <w:bidi w:val="0"/>
              <w:adjustRightInd/>
              <w:snapToGrid/>
              <w:spacing w:beforeLines="50" w:line="460" w:lineRule="exact"/>
              <w:ind w:left="227" w:firstLine="0"/>
              <w:jc w:val="center"/>
              <w:textAlignment w:val="auto"/>
              <w:rPr>
                <w:rFonts w:hint="eastAsia" w:ascii="宋体" w:hAnsi="宋体" w:eastAsia="宋体" w:cs="宋体"/>
                <w:color w:val="auto"/>
                <w:sz w:val="24"/>
                <w:highlight w:val="none"/>
              </w:rPr>
            </w:pPr>
          </w:p>
        </w:tc>
        <w:tc>
          <w:tcPr>
            <w:tcW w:w="3058" w:type="dxa"/>
            <w:vAlign w:val="center"/>
          </w:tcPr>
          <w:p w14:paraId="07E3FC15">
            <w:pPr>
              <w:spacing w:beforeLines="50" w:line="46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勘察现场</w:t>
            </w:r>
          </w:p>
        </w:tc>
        <w:tc>
          <w:tcPr>
            <w:tcW w:w="6436" w:type="dxa"/>
            <w:vAlign w:val="center"/>
          </w:tcPr>
          <w:p w14:paraId="10AA7ADA">
            <w:pPr>
              <w:tabs>
                <w:tab w:val="left" w:pos="8640"/>
              </w:tabs>
              <w:spacing w:line="460" w:lineRule="exact"/>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不组织</w:t>
            </w:r>
          </w:p>
        </w:tc>
      </w:tr>
      <w:tr w14:paraId="1840A57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jc w:val="center"/>
        </w:trPr>
        <w:tc>
          <w:tcPr>
            <w:tcW w:w="735" w:type="dxa"/>
            <w:vAlign w:val="center"/>
          </w:tcPr>
          <w:p w14:paraId="12242CAE">
            <w:pPr>
              <w:keepNext w:val="0"/>
              <w:keepLines w:val="0"/>
              <w:pageBreakBefore w:val="0"/>
              <w:widowControl w:val="0"/>
              <w:numPr>
                <w:ilvl w:val="0"/>
                <w:numId w:val="1"/>
              </w:numPr>
              <w:kinsoku/>
              <w:wordWrap/>
              <w:overflowPunct/>
              <w:topLinePunct w:val="0"/>
              <w:autoSpaceDE/>
              <w:autoSpaceDN/>
              <w:bidi w:val="0"/>
              <w:adjustRightInd/>
              <w:snapToGrid/>
              <w:spacing w:beforeLines="50" w:line="460" w:lineRule="exact"/>
              <w:ind w:left="227" w:firstLine="0"/>
              <w:jc w:val="center"/>
              <w:textAlignment w:val="auto"/>
              <w:rPr>
                <w:rFonts w:hint="eastAsia" w:ascii="宋体" w:hAnsi="宋体" w:eastAsia="宋体" w:cs="宋体"/>
                <w:color w:val="auto"/>
                <w:sz w:val="24"/>
                <w:highlight w:val="none"/>
              </w:rPr>
            </w:pPr>
          </w:p>
        </w:tc>
        <w:tc>
          <w:tcPr>
            <w:tcW w:w="3058" w:type="dxa"/>
            <w:vAlign w:val="center"/>
          </w:tcPr>
          <w:p w14:paraId="45A4B3F7">
            <w:pPr>
              <w:spacing w:beforeLines="50" w:line="460" w:lineRule="exact"/>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报价</w:t>
            </w:r>
          </w:p>
        </w:tc>
        <w:tc>
          <w:tcPr>
            <w:tcW w:w="6436" w:type="dxa"/>
            <w:vAlign w:val="center"/>
          </w:tcPr>
          <w:p w14:paraId="47BD4AA2">
            <w:pPr>
              <w:tabs>
                <w:tab w:val="left" w:pos="8640"/>
              </w:tabs>
              <w:spacing w:line="460" w:lineRule="exact"/>
              <w:jc w:val="left"/>
              <w:rPr>
                <w:rFonts w:hint="eastAsia" w:ascii="宋体" w:hAnsi="宋体" w:eastAsia="宋体" w:cs="宋体"/>
                <w:bCs/>
                <w:color w:val="auto"/>
                <w:sz w:val="24"/>
                <w:highlight w:val="none"/>
                <w:u w:val="single"/>
              </w:rPr>
            </w:pPr>
            <w:r>
              <w:rPr>
                <w:rFonts w:hint="eastAsia" w:ascii="宋体" w:hAnsi="宋体" w:eastAsia="宋体" w:cs="宋体"/>
                <w:bCs/>
                <w:color w:val="auto"/>
                <w:sz w:val="24"/>
                <w:highlight w:val="none"/>
              </w:rPr>
              <w:t>一次报价</w:t>
            </w:r>
          </w:p>
        </w:tc>
      </w:tr>
      <w:tr w14:paraId="3FF6CCA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jc w:val="center"/>
        </w:trPr>
        <w:tc>
          <w:tcPr>
            <w:tcW w:w="735" w:type="dxa"/>
            <w:vAlign w:val="center"/>
          </w:tcPr>
          <w:p w14:paraId="386AA73E">
            <w:pPr>
              <w:keepNext w:val="0"/>
              <w:keepLines w:val="0"/>
              <w:pageBreakBefore w:val="0"/>
              <w:widowControl w:val="0"/>
              <w:numPr>
                <w:ilvl w:val="0"/>
                <w:numId w:val="1"/>
              </w:numPr>
              <w:kinsoku/>
              <w:wordWrap/>
              <w:overflowPunct/>
              <w:topLinePunct w:val="0"/>
              <w:autoSpaceDE/>
              <w:autoSpaceDN/>
              <w:bidi w:val="0"/>
              <w:adjustRightInd/>
              <w:snapToGrid/>
              <w:spacing w:beforeLines="50" w:line="460" w:lineRule="exact"/>
              <w:ind w:left="227" w:firstLine="0"/>
              <w:jc w:val="center"/>
              <w:textAlignment w:val="auto"/>
              <w:rPr>
                <w:rFonts w:hint="eastAsia" w:ascii="宋体" w:hAnsi="宋体" w:eastAsia="宋体" w:cs="宋体"/>
                <w:color w:val="auto"/>
                <w:sz w:val="24"/>
                <w:highlight w:val="none"/>
              </w:rPr>
            </w:pPr>
          </w:p>
        </w:tc>
        <w:tc>
          <w:tcPr>
            <w:tcW w:w="3058" w:type="dxa"/>
            <w:vAlign w:val="center"/>
          </w:tcPr>
          <w:p w14:paraId="497D5A9C">
            <w:pPr>
              <w:spacing w:beforeLines="50" w:line="460" w:lineRule="exact"/>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行业分类</w:t>
            </w:r>
          </w:p>
        </w:tc>
        <w:tc>
          <w:tcPr>
            <w:tcW w:w="6436" w:type="dxa"/>
            <w:vAlign w:val="center"/>
          </w:tcPr>
          <w:p w14:paraId="5083D22C">
            <w:pPr>
              <w:tabs>
                <w:tab w:val="left" w:pos="8640"/>
              </w:tabs>
              <w:spacing w:line="460" w:lineRule="exact"/>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其他未列明行业</w:t>
            </w:r>
          </w:p>
        </w:tc>
      </w:tr>
    </w:tbl>
    <w:p w14:paraId="471B94AF">
      <w:pPr>
        <w:spacing w:line="720" w:lineRule="auto"/>
        <w:jc w:val="center"/>
        <w:outlineLvl w:val="1"/>
        <w:rPr>
          <w:rFonts w:hint="eastAsia" w:ascii="宋体" w:hAnsi="宋体" w:eastAsia="宋体" w:cs="宋体"/>
          <w:b/>
          <w:color w:val="auto"/>
          <w:sz w:val="30"/>
          <w:szCs w:val="30"/>
          <w:highlight w:val="none"/>
        </w:rPr>
      </w:pPr>
      <w:bookmarkStart w:id="34" w:name="_Toc32362"/>
    </w:p>
    <w:p w14:paraId="0F136CB9">
      <w:pPr>
        <w:spacing w:line="720" w:lineRule="auto"/>
        <w:jc w:val="center"/>
        <w:outlineLvl w:val="1"/>
        <w:rPr>
          <w:rFonts w:hint="eastAsia" w:ascii="宋体" w:hAnsi="宋体" w:eastAsia="宋体" w:cs="宋体"/>
          <w:b/>
          <w:color w:val="auto"/>
          <w:sz w:val="30"/>
          <w:szCs w:val="30"/>
          <w:highlight w:val="none"/>
        </w:rPr>
      </w:pPr>
      <w:r>
        <w:rPr>
          <w:rFonts w:hint="eastAsia" w:ascii="宋体" w:hAnsi="宋体" w:eastAsia="宋体" w:cs="宋体"/>
          <w:b/>
          <w:color w:val="auto"/>
          <w:sz w:val="30"/>
          <w:szCs w:val="30"/>
          <w:highlight w:val="none"/>
        </w:rPr>
        <w:t>一、总则</w:t>
      </w:r>
      <w:bookmarkEnd w:id="34"/>
    </w:p>
    <w:p w14:paraId="4873BA9F">
      <w:pPr>
        <w:spacing w:line="520" w:lineRule="exact"/>
        <w:ind w:firstLine="482" w:firstLineChars="200"/>
        <w:rPr>
          <w:rFonts w:hint="eastAsia" w:ascii="宋体" w:hAnsi="宋体" w:eastAsia="宋体" w:cs="宋体"/>
          <w:color w:val="auto"/>
          <w:sz w:val="24"/>
          <w:highlight w:val="none"/>
        </w:rPr>
      </w:pPr>
      <w:r>
        <w:rPr>
          <w:rFonts w:hint="eastAsia" w:ascii="宋体" w:hAnsi="宋体" w:eastAsia="宋体" w:cs="宋体"/>
          <w:b/>
          <w:color w:val="auto"/>
          <w:sz w:val="24"/>
          <w:highlight w:val="none"/>
        </w:rPr>
        <w:t>1．适用范围</w:t>
      </w:r>
    </w:p>
    <w:p w14:paraId="1D81C2CD">
      <w:pPr>
        <w:spacing w:line="520" w:lineRule="exact"/>
        <w:ind w:firstLine="480" w:firstLineChars="200"/>
        <w:rPr>
          <w:rFonts w:hint="eastAsia" w:ascii="宋体" w:hAnsi="宋体" w:eastAsia="宋体" w:cs="宋体"/>
          <w:bCs/>
          <w:color w:val="auto"/>
          <w:sz w:val="24"/>
          <w:highlight w:val="none"/>
        </w:rPr>
      </w:pPr>
      <w:r>
        <w:rPr>
          <w:rFonts w:hint="eastAsia" w:ascii="宋体" w:hAnsi="宋体" w:eastAsia="宋体" w:cs="宋体"/>
          <w:color w:val="auto"/>
          <w:sz w:val="24"/>
          <w:highlight w:val="none"/>
        </w:rPr>
        <w:t>1.1本竞争性磋商文件仅适用于本次竞争性磋商邀请函中所述</w:t>
      </w:r>
      <w:r>
        <w:rPr>
          <w:rFonts w:hint="eastAsia" w:ascii="宋体" w:hAnsi="宋体" w:eastAsia="宋体" w:cs="宋体"/>
          <w:bCs/>
          <w:color w:val="auto"/>
          <w:sz w:val="24"/>
          <w:highlight w:val="none"/>
        </w:rPr>
        <w:t>项目。</w:t>
      </w:r>
    </w:p>
    <w:p w14:paraId="2E866EBD">
      <w:pPr>
        <w:spacing w:line="520" w:lineRule="exact"/>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2．定义</w:t>
      </w:r>
    </w:p>
    <w:p w14:paraId="14D4293D">
      <w:pPr>
        <w:spacing w:line="52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2.1“采购代理机构”：周口市公共资源交易中心政府采购中心。</w:t>
      </w:r>
    </w:p>
    <w:p w14:paraId="3630D489">
      <w:pPr>
        <w:tabs>
          <w:tab w:val="left" w:pos="0"/>
        </w:tabs>
        <w:spacing w:line="520" w:lineRule="exact"/>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2.2“采购人”：</w:t>
      </w:r>
      <w:r>
        <w:rPr>
          <w:rFonts w:hint="eastAsia" w:ascii="宋体" w:hAnsi="宋体" w:cs="宋体"/>
          <w:color w:val="auto"/>
          <w:sz w:val="24"/>
          <w:highlight w:val="none"/>
          <w:lang w:eastAsia="zh-CN"/>
        </w:rPr>
        <w:t>周口市生态环境局西华分局</w:t>
      </w:r>
    </w:p>
    <w:p w14:paraId="0AC4D459">
      <w:pPr>
        <w:spacing w:line="52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2.3“供应商”系指按竞争性磋商文件规定取得竞争性磋商文件并参加竞争性磋商活动的法人、其他组织或者自然人。</w:t>
      </w:r>
    </w:p>
    <w:p w14:paraId="6042489F">
      <w:pPr>
        <w:spacing w:line="52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2.4“供应商代表”：系指代表供应商参加本次竞争性磋商活动的供应商的法定代表人或其委托代理人。</w:t>
      </w:r>
    </w:p>
    <w:p w14:paraId="2EAF5152">
      <w:pPr>
        <w:spacing w:line="52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2.5“服务”：系指本项目所采购的服务及其他要求等。</w:t>
      </w:r>
    </w:p>
    <w:p w14:paraId="7C983A03">
      <w:pPr>
        <w:spacing w:line="52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2.6“法定代表人”系指法人单位（企业）法人营业执照（或事业法人登记证书上）上注明的法定代表人；如为其他组织或个体经营者参加竞争性磋商会的，指营业执照上注明的负责人或经营者。 </w:t>
      </w:r>
    </w:p>
    <w:p w14:paraId="5AF5D547">
      <w:pPr>
        <w:spacing w:line="52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2.7供应商应在响应文件中承诺未被纳入重大税收违法失信主体名单且未存在不诚信记录，如若实际情况与供应商承诺内容不一致，一经查实将取消其中标资格,不提供视为无效投标。</w:t>
      </w:r>
    </w:p>
    <w:p w14:paraId="0B116308">
      <w:pPr>
        <w:spacing w:line="52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2.8“不具备良好的商业信誉”是指：</w:t>
      </w:r>
    </w:p>
    <w:p w14:paraId="2AC06A46">
      <w:pPr>
        <w:spacing w:line="52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（1）有重大违法记录的（满三年的除外）；</w:t>
      </w:r>
    </w:p>
    <w:p w14:paraId="42179169">
      <w:pPr>
        <w:spacing w:line="52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（2）被各级财政部门列入政府采购严重违法失信行为信息记录的（期限已满的除外）；</w:t>
      </w:r>
    </w:p>
    <w:p w14:paraId="3117D0AC">
      <w:pPr>
        <w:spacing w:line="52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（3）被各级政府采购监督管理部门禁止在一定期限内参加政府采购活动等处罚的（期限已满的除外）；</w:t>
      </w:r>
    </w:p>
    <w:p w14:paraId="32128B1B">
      <w:pPr>
        <w:spacing w:line="52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（4）被各级法院列入失信名单的（已依法解除的除外）；</w:t>
      </w:r>
    </w:p>
    <w:p w14:paraId="2DDC8088">
      <w:pPr>
        <w:spacing w:line="52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（5）法律法规规定的其他情形。</w:t>
      </w:r>
    </w:p>
    <w:p w14:paraId="2FAFCE18">
      <w:pPr>
        <w:spacing w:line="520" w:lineRule="exact"/>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3.采购预算</w:t>
      </w:r>
    </w:p>
    <w:p w14:paraId="14718617">
      <w:pPr>
        <w:spacing w:line="52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3.1本次采购预算：见公告。</w:t>
      </w:r>
    </w:p>
    <w:p w14:paraId="46D56ED3">
      <w:pPr>
        <w:spacing w:line="520" w:lineRule="exact"/>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4.合格的供应商</w:t>
      </w:r>
    </w:p>
    <w:p w14:paraId="3CEBF91C">
      <w:pPr>
        <w:spacing w:line="52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4.1.1符合供应商资格条件（详见第一部分供应商资格条件）</w:t>
      </w:r>
    </w:p>
    <w:p w14:paraId="2CE7CAA8">
      <w:pPr>
        <w:widowControl/>
        <w:spacing w:line="520" w:lineRule="exact"/>
        <w:ind w:firstLine="480" w:firstLineChars="200"/>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4.1.2参加政府采购活动前三年内，在经营活动中没有重大违法记录的声明函；</w:t>
      </w:r>
    </w:p>
    <w:p w14:paraId="011AA922">
      <w:pPr>
        <w:widowControl/>
        <w:spacing w:line="520" w:lineRule="exact"/>
        <w:ind w:firstLine="480" w:firstLineChars="200"/>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4.1.3 政府采购供应商诚信承诺书；</w:t>
      </w:r>
    </w:p>
    <w:p w14:paraId="320D0DAD">
      <w:pPr>
        <w:pStyle w:val="75"/>
        <w:spacing w:line="52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w:t>
      </w:r>
      <w:r>
        <w:rPr>
          <w:rFonts w:hint="eastAsia" w:ascii="宋体" w:hAnsi="宋体" w:eastAsia="宋体" w:cs="宋体"/>
          <w:color w:val="auto"/>
          <w:sz w:val="24"/>
          <w:highlight w:val="none"/>
          <w:lang w:val="en-US"/>
        </w:rPr>
        <w:t>1.4 供应商</w:t>
      </w:r>
      <w:r>
        <w:rPr>
          <w:rFonts w:hint="eastAsia" w:ascii="宋体" w:hAnsi="宋体" w:eastAsia="宋体" w:cs="宋体"/>
          <w:color w:val="auto"/>
          <w:sz w:val="24"/>
          <w:highlight w:val="none"/>
        </w:rPr>
        <w:t>自觉抵制政府采购领域商业贿赂行为承诺书；</w:t>
      </w:r>
    </w:p>
    <w:p w14:paraId="634A0BD7">
      <w:pPr>
        <w:spacing w:line="520" w:lineRule="exact"/>
        <w:ind w:firstLine="480" w:firstLineChars="200"/>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 xml:space="preserve">4.2 </w:t>
      </w:r>
      <w:r>
        <w:rPr>
          <w:rFonts w:hint="eastAsia" w:ascii="宋体" w:hAnsi="宋体" w:eastAsia="宋体" w:cs="宋体"/>
          <w:color w:val="auto"/>
          <w:kern w:val="0"/>
          <w:sz w:val="24"/>
          <w:highlight w:val="none"/>
        </w:rPr>
        <w:t>供应商需提供售后服务体系与承诺</w:t>
      </w:r>
      <w:r>
        <w:rPr>
          <w:rFonts w:hint="eastAsia" w:ascii="宋体" w:hAnsi="宋体" w:eastAsia="宋体" w:cs="宋体"/>
          <w:color w:val="auto"/>
          <w:kern w:val="0"/>
          <w:sz w:val="24"/>
          <w:highlight w:val="none"/>
          <w:lang w:val="zh-CN"/>
        </w:rPr>
        <w:t>。</w:t>
      </w:r>
    </w:p>
    <w:p w14:paraId="413DAA82">
      <w:pPr>
        <w:pStyle w:val="75"/>
        <w:spacing w:line="52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w:t>
      </w:r>
      <w:r>
        <w:rPr>
          <w:rFonts w:hint="eastAsia" w:ascii="宋体" w:hAnsi="宋体" w:eastAsia="宋体" w:cs="宋体"/>
          <w:color w:val="auto"/>
          <w:sz w:val="24"/>
          <w:highlight w:val="none"/>
          <w:lang w:val="en-US"/>
        </w:rPr>
        <w:t>3</w:t>
      </w:r>
      <w:r>
        <w:rPr>
          <w:rFonts w:hint="eastAsia" w:ascii="宋体" w:hAnsi="宋体" w:eastAsia="宋体" w:cs="宋体"/>
          <w:color w:val="auto"/>
          <w:sz w:val="24"/>
          <w:highlight w:val="none"/>
        </w:rPr>
        <w:t>符合本竞争性磋商文件规定的供应商资格要求及项目要求的其它条件，并按照要求提供相关证明材料。</w:t>
      </w:r>
    </w:p>
    <w:p w14:paraId="29C8304B">
      <w:pPr>
        <w:spacing w:line="520" w:lineRule="exact"/>
        <w:ind w:firstLine="480" w:firstLineChars="200"/>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4.4供应商应遵守国家法律、法规有关竞争性磋商的规定。</w:t>
      </w:r>
    </w:p>
    <w:p w14:paraId="2E2955F6">
      <w:pPr>
        <w:autoSpaceDE w:val="0"/>
        <w:autoSpaceDN w:val="0"/>
        <w:adjustRightInd w:val="0"/>
        <w:snapToGrid w:val="0"/>
        <w:spacing w:line="520" w:lineRule="exact"/>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lang w:val="zh-CN"/>
        </w:rPr>
        <w:t>4.5 凡通过磋商小组符合性审查的供应商均为合格供应商。</w:t>
      </w:r>
      <w:r>
        <w:rPr>
          <w:rFonts w:hint="eastAsia" w:ascii="宋体" w:hAnsi="宋体" w:eastAsia="宋体" w:cs="宋体"/>
          <w:color w:val="auto"/>
          <w:kern w:val="0"/>
          <w:sz w:val="24"/>
          <w:highlight w:val="none"/>
        </w:rPr>
        <w:t>未通过符合性审查的供应商为不合格供应商。</w:t>
      </w:r>
    </w:p>
    <w:p w14:paraId="6910088D">
      <w:pPr>
        <w:spacing w:line="52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kern w:val="0"/>
          <w:sz w:val="24"/>
          <w:highlight w:val="none"/>
          <w:lang w:val="zh-CN"/>
        </w:rPr>
        <w:t>注：</w:t>
      </w:r>
      <w:r>
        <w:rPr>
          <w:rFonts w:hint="eastAsia" w:ascii="宋体" w:hAnsi="宋体" w:eastAsia="宋体" w:cs="宋体"/>
          <w:color w:val="auto"/>
          <w:sz w:val="24"/>
          <w:highlight w:val="none"/>
        </w:rPr>
        <w:t>单位负责人为同一人或者存在直接控股、管理关系的不同供应商，不得参加同一合同项下的政府采购活动。</w:t>
      </w:r>
    </w:p>
    <w:p w14:paraId="6DA51E20">
      <w:pPr>
        <w:spacing w:line="520" w:lineRule="exact"/>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 xml:space="preserve">5.竞争性磋商文件的约束力 </w:t>
      </w:r>
    </w:p>
    <w:p w14:paraId="25FE4F23">
      <w:pPr>
        <w:spacing w:line="52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5.l供应商一旦参加竞争性磋商，即被认为接受了本竞争性磋商文件中的所有条款和规定。</w:t>
      </w:r>
    </w:p>
    <w:p w14:paraId="6D583003">
      <w:pPr>
        <w:spacing w:line="52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5.2供应商如认为本竞争性磋商文件含有倾向性或排斥潜在供应商的条款而使自己的权益受到损害的，请以书面形式向采购人提出，否则，将视为对本竞争性磋商文件要求无任何异议，出具无异议承诺书附在响应文件中，不提供视为无效投标，并不得因此在竞争性磋商会开始后提出任何异议。</w:t>
      </w:r>
    </w:p>
    <w:p w14:paraId="6E1B50ED">
      <w:pPr>
        <w:spacing w:line="52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5.3本磋商文件由采购人负责解释。</w:t>
      </w:r>
    </w:p>
    <w:p w14:paraId="23154B5F">
      <w:pPr>
        <w:spacing w:line="520" w:lineRule="exact"/>
        <w:jc w:val="center"/>
        <w:outlineLvl w:val="1"/>
        <w:rPr>
          <w:rFonts w:hint="eastAsia" w:ascii="宋体" w:hAnsi="宋体" w:eastAsia="宋体" w:cs="宋体"/>
          <w:b/>
          <w:color w:val="auto"/>
          <w:sz w:val="24"/>
          <w:highlight w:val="none"/>
        </w:rPr>
      </w:pPr>
      <w:bookmarkStart w:id="35" w:name="_Toc5748"/>
      <w:r>
        <w:rPr>
          <w:rFonts w:hint="eastAsia" w:ascii="宋体" w:hAnsi="宋体" w:eastAsia="宋体" w:cs="宋体"/>
          <w:b/>
          <w:color w:val="auto"/>
          <w:sz w:val="24"/>
          <w:highlight w:val="none"/>
        </w:rPr>
        <w:t>二、竞争性磋商文件</w:t>
      </w:r>
      <w:bookmarkEnd w:id="35"/>
    </w:p>
    <w:p w14:paraId="0BB2D573">
      <w:pPr>
        <w:tabs>
          <w:tab w:val="left" w:pos="632"/>
          <w:tab w:val="left" w:pos="790"/>
        </w:tabs>
        <w:spacing w:line="520" w:lineRule="exact"/>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6．竞争性磋商文件的组成</w:t>
      </w:r>
    </w:p>
    <w:p w14:paraId="4AF1C9C9">
      <w:pPr>
        <w:autoSpaceDE w:val="0"/>
        <w:autoSpaceDN w:val="0"/>
        <w:adjustRightInd w:val="0"/>
        <w:spacing w:line="52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6.1竞争性磋商</w:t>
      </w:r>
      <w:r>
        <w:rPr>
          <w:rFonts w:hint="eastAsia" w:ascii="宋体" w:hAnsi="宋体" w:eastAsia="宋体" w:cs="宋体"/>
          <w:color w:val="auto"/>
          <w:sz w:val="24"/>
          <w:highlight w:val="none"/>
          <w:lang w:val="zh-CN"/>
        </w:rPr>
        <w:t>文件是用以阐明的采购需求、采购程序和合同格式等的规范性文件。竞争性磋商文件主要由以下部分组成：</w:t>
      </w:r>
    </w:p>
    <w:p w14:paraId="40B9D6CF">
      <w:pPr>
        <w:spacing w:line="52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（1）竞争性磋商邀请函；</w:t>
      </w:r>
    </w:p>
    <w:p w14:paraId="2FE6ADC2">
      <w:pPr>
        <w:spacing w:line="52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（2）供应商须知；</w:t>
      </w:r>
    </w:p>
    <w:p w14:paraId="2E502FBD">
      <w:pPr>
        <w:spacing w:line="52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（3）采购需求；</w:t>
      </w:r>
    </w:p>
    <w:p w14:paraId="010BB4F3">
      <w:pPr>
        <w:spacing w:line="52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（4）响应性文件内容及格式；</w:t>
      </w:r>
    </w:p>
    <w:p w14:paraId="1A269CEA">
      <w:pPr>
        <w:spacing w:line="52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（5）合同主要条款。</w:t>
      </w:r>
    </w:p>
    <w:p w14:paraId="7892BB90">
      <w:pPr>
        <w:spacing w:line="52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21763A68">
      <w:pPr>
        <w:spacing w:line="52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6.3供应商被视为充分熟悉本采购项目所在地的与履行合同有关的各种情况，包括自然环境、气候条件、劳动力及公用设施等，本竞争性磋商文件不再对上述情况进行描述。</w:t>
      </w:r>
    </w:p>
    <w:p w14:paraId="5738B717">
      <w:pPr>
        <w:spacing w:line="52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624242E8">
      <w:pPr>
        <w:widowControl/>
        <w:spacing w:line="520" w:lineRule="exact"/>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7.竞争性磋商文件的澄清与修改</w:t>
      </w:r>
    </w:p>
    <w:p w14:paraId="24F042EE">
      <w:pPr>
        <w:autoSpaceDE w:val="0"/>
        <w:autoSpaceDN w:val="0"/>
        <w:adjustRightInd w:val="0"/>
        <w:spacing w:line="52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170CF9EA">
      <w:pPr>
        <w:spacing w:line="520" w:lineRule="exact"/>
        <w:jc w:val="center"/>
        <w:outlineLvl w:val="1"/>
        <w:rPr>
          <w:rFonts w:hint="eastAsia" w:ascii="宋体" w:hAnsi="宋体" w:eastAsia="宋体" w:cs="宋体"/>
          <w:b/>
          <w:color w:val="auto"/>
          <w:sz w:val="24"/>
          <w:highlight w:val="none"/>
        </w:rPr>
      </w:pPr>
      <w:bookmarkStart w:id="36" w:name="_Toc14193"/>
      <w:r>
        <w:rPr>
          <w:rFonts w:hint="eastAsia" w:ascii="宋体" w:hAnsi="宋体" w:eastAsia="宋体" w:cs="宋体"/>
          <w:b/>
          <w:color w:val="auto"/>
          <w:sz w:val="24"/>
          <w:highlight w:val="none"/>
        </w:rPr>
        <w:t>三、响应性文件的编制</w:t>
      </w:r>
      <w:bookmarkEnd w:id="36"/>
    </w:p>
    <w:p w14:paraId="025D65E5">
      <w:pPr>
        <w:spacing w:line="520" w:lineRule="exact"/>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8.要求</w:t>
      </w:r>
    </w:p>
    <w:p w14:paraId="2DB8B875">
      <w:pPr>
        <w:spacing w:line="52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1428EFE5">
      <w:pPr>
        <w:spacing w:line="52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8.2任何对竞争性磋商文件的忽略或误解不能作为响应性文件没有完全响应竞争性磋商文件的有效理由。</w:t>
      </w:r>
    </w:p>
    <w:p w14:paraId="5DA70E69">
      <w:pPr>
        <w:spacing w:line="52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8.3供应商没有按照竞争性磋商文件要求提供全部资料，或者供应商没有对竞争性磋商文件在各方面都作出实质性响应是供应商的风险，并可能导致其响应性文件被拒绝。</w:t>
      </w:r>
    </w:p>
    <w:p w14:paraId="37F51E4B">
      <w:pPr>
        <w:pStyle w:val="35"/>
        <w:spacing w:line="520" w:lineRule="exact"/>
        <w:ind w:firstLine="480"/>
        <w:rPr>
          <w:rFonts w:hint="eastAsia" w:ascii="宋体" w:hAnsi="宋体" w:eastAsia="宋体" w:cs="宋体"/>
          <w:color w:val="auto"/>
          <w:kern w:val="2"/>
          <w:szCs w:val="24"/>
          <w:highlight w:val="none"/>
        </w:rPr>
      </w:pPr>
      <w:r>
        <w:rPr>
          <w:rFonts w:hint="eastAsia" w:ascii="宋体" w:hAnsi="宋体" w:eastAsia="宋体" w:cs="宋体"/>
          <w:color w:val="auto"/>
          <w:kern w:val="2"/>
          <w:szCs w:val="24"/>
          <w:highlight w:val="none"/>
        </w:rPr>
        <w:t>8.4 供应商应在响应文件中书面保证准备和参加投标活动发生的费用自理，招标组织人在任何情况下均无义务和责任承担上述费用，否则按照无效投标处理。</w:t>
      </w:r>
    </w:p>
    <w:p w14:paraId="15347B8C">
      <w:pPr>
        <w:pStyle w:val="35"/>
        <w:spacing w:line="520" w:lineRule="exact"/>
        <w:ind w:firstLine="480"/>
        <w:rPr>
          <w:rFonts w:hint="eastAsia" w:ascii="宋体" w:hAnsi="宋体" w:eastAsia="宋体" w:cs="宋体"/>
          <w:color w:val="auto"/>
          <w:kern w:val="2"/>
          <w:szCs w:val="24"/>
          <w:highlight w:val="none"/>
        </w:rPr>
      </w:pPr>
      <w:r>
        <w:rPr>
          <w:rFonts w:hint="eastAsia" w:ascii="宋体" w:hAnsi="宋体" w:eastAsia="宋体" w:cs="宋体"/>
          <w:color w:val="auto"/>
          <w:kern w:val="2"/>
          <w:szCs w:val="24"/>
          <w:highlight w:val="none"/>
        </w:rPr>
        <w:t>8.5 参与本次采购活动的各方应在响应文件中承诺对采购文件中的商业和技术等秘密保密，违者应对由此造成的后果承担法律责任，否则按照无效投标处理。</w:t>
      </w:r>
    </w:p>
    <w:p w14:paraId="67C41BEC">
      <w:pPr>
        <w:widowControl/>
        <w:spacing w:line="520" w:lineRule="exact"/>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 xml:space="preserve">9.响应性文件的语言及度量衡 </w:t>
      </w:r>
    </w:p>
    <w:p w14:paraId="3E6BAFF5">
      <w:pPr>
        <w:spacing w:line="52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9.1响应性文件以及供应商与采购代理机构之间的所有书面往来都应用简体中文书写。 </w:t>
      </w:r>
    </w:p>
    <w:p w14:paraId="131DFF9F">
      <w:pPr>
        <w:spacing w:line="52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9.2供应商使用其他语言的，以中文翻译为准。 </w:t>
      </w:r>
    </w:p>
    <w:p w14:paraId="267AF777">
      <w:pPr>
        <w:spacing w:line="52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9.3关于计量单位，竞争性磋商文件已有明确规定的，使用竞争性磋商文件规定的计量单位；竞争性磋商文件没有规定的，应采用中华人民共和国法定计量单位。</w:t>
      </w:r>
    </w:p>
    <w:p w14:paraId="183638E4">
      <w:pPr>
        <w:spacing w:line="52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9.4本竞争性磋商文件所表述的时间均为北京时间。</w:t>
      </w:r>
    </w:p>
    <w:p w14:paraId="016722B8">
      <w:pPr>
        <w:spacing w:line="520" w:lineRule="exact"/>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10.响应性文件的组成</w:t>
      </w:r>
    </w:p>
    <w:p w14:paraId="37C796E2">
      <w:pPr>
        <w:widowControl/>
        <w:spacing w:line="52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10.1响应性文件由</w:t>
      </w:r>
      <w:r>
        <w:rPr>
          <w:rFonts w:hint="eastAsia" w:ascii="宋体" w:hAnsi="宋体" w:eastAsia="宋体" w:cs="宋体"/>
          <w:bCs/>
          <w:color w:val="auto"/>
          <w:sz w:val="24"/>
          <w:highlight w:val="none"/>
          <w:u w:val="single"/>
        </w:rPr>
        <w:t>资格性证明材料</w:t>
      </w:r>
      <w:r>
        <w:rPr>
          <w:rFonts w:hint="eastAsia" w:ascii="宋体" w:hAnsi="宋体" w:eastAsia="宋体" w:cs="宋体"/>
          <w:bCs/>
          <w:color w:val="auto"/>
          <w:sz w:val="24"/>
          <w:highlight w:val="none"/>
        </w:rPr>
        <w:t>、</w:t>
      </w:r>
      <w:r>
        <w:rPr>
          <w:rFonts w:hint="eastAsia" w:ascii="宋体" w:hAnsi="宋体" w:eastAsia="宋体" w:cs="宋体"/>
          <w:bCs/>
          <w:color w:val="auto"/>
          <w:sz w:val="24"/>
          <w:highlight w:val="none"/>
          <w:u w:val="single"/>
        </w:rPr>
        <w:t>符合性证明材料</w:t>
      </w:r>
      <w:r>
        <w:rPr>
          <w:rFonts w:hint="eastAsia" w:ascii="宋体" w:hAnsi="宋体" w:eastAsia="宋体" w:cs="宋体"/>
          <w:bCs/>
          <w:color w:val="auto"/>
          <w:sz w:val="24"/>
          <w:highlight w:val="none"/>
        </w:rPr>
        <w:t>、</w:t>
      </w:r>
      <w:r>
        <w:rPr>
          <w:rFonts w:hint="eastAsia" w:ascii="宋体" w:hAnsi="宋体" w:eastAsia="宋体" w:cs="宋体"/>
          <w:bCs/>
          <w:color w:val="auto"/>
          <w:sz w:val="24"/>
          <w:highlight w:val="none"/>
          <w:u w:val="single"/>
        </w:rPr>
        <w:t>其他材料</w:t>
      </w:r>
      <w:r>
        <w:rPr>
          <w:rFonts w:hint="eastAsia" w:ascii="宋体" w:hAnsi="宋体" w:eastAsia="宋体" w:cs="宋体"/>
          <w:color w:val="auto"/>
          <w:sz w:val="24"/>
          <w:highlight w:val="none"/>
        </w:rPr>
        <w:t>三部分组成。具体内容和格式见竞争性磋商文件</w:t>
      </w:r>
      <w:r>
        <w:rPr>
          <w:rFonts w:hint="eastAsia" w:ascii="宋体" w:hAnsi="宋体" w:eastAsia="宋体" w:cs="宋体"/>
          <w:bCs/>
          <w:color w:val="auto"/>
          <w:sz w:val="24"/>
          <w:highlight w:val="none"/>
        </w:rPr>
        <w:t>第四章</w:t>
      </w:r>
      <w:r>
        <w:rPr>
          <w:rFonts w:hint="eastAsia" w:ascii="宋体" w:hAnsi="宋体" w:eastAsia="宋体" w:cs="宋体"/>
          <w:color w:val="auto"/>
          <w:sz w:val="24"/>
          <w:highlight w:val="none"/>
        </w:rPr>
        <w:t>。</w:t>
      </w:r>
    </w:p>
    <w:p w14:paraId="630DB4A7">
      <w:pPr>
        <w:spacing w:line="520" w:lineRule="exact"/>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11.响应性文件格式</w:t>
      </w:r>
    </w:p>
    <w:p w14:paraId="535909E8">
      <w:pPr>
        <w:spacing w:line="520" w:lineRule="exact"/>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11.1供应商应按照竞争性磋商文件提供的格式编写响应性文件，不得缺少、留空或私自更改任何竞争性磋商文件要求填写的表格或提交的资料。竞争性磋商文件提供格式的按格式填列，未提供格式的可自行拟定。除特殊规格的图纸或方案、图片资料等外，均应按A4规格制作，供应商</w:t>
      </w:r>
      <w:r>
        <w:rPr>
          <w:rFonts w:hint="eastAsia" w:ascii="宋体" w:hAnsi="宋体" w:eastAsia="宋体" w:cs="宋体"/>
          <w:color w:val="auto"/>
          <w:sz w:val="24"/>
          <w:highlight w:val="none"/>
          <w:lang w:eastAsia="zh-CN"/>
        </w:rPr>
        <w:t>应在投标文件中</w:t>
      </w:r>
      <w:r>
        <w:rPr>
          <w:rFonts w:hint="eastAsia" w:ascii="宋体" w:hAnsi="宋体" w:eastAsia="宋体" w:cs="宋体"/>
          <w:color w:val="auto"/>
          <w:sz w:val="24"/>
          <w:highlight w:val="none"/>
        </w:rPr>
        <w:t>提交</w:t>
      </w:r>
      <w:r>
        <w:rPr>
          <w:rFonts w:hint="eastAsia" w:ascii="宋体" w:hAnsi="宋体" w:eastAsia="宋体" w:cs="宋体"/>
          <w:color w:val="auto"/>
          <w:sz w:val="24"/>
          <w:highlight w:val="none"/>
          <w:lang w:eastAsia="zh-CN"/>
        </w:rPr>
        <w:t>招标文件要求</w:t>
      </w:r>
      <w:r>
        <w:rPr>
          <w:rFonts w:hint="eastAsia" w:ascii="宋体" w:hAnsi="宋体" w:eastAsia="宋体" w:cs="宋体"/>
          <w:color w:val="auto"/>
          <w:sz w:val="24"/>
          <w:highlight w:val="none"/>
        </w:rPr>
        <w:t>的</w:t>
      </w:r>
      <w:r>
        <w:rPr>
          <w:rFonts w:hint="eastAsia" w:ascii="宋体" w:hAnsi="宋体" w:eastAsia="宋体" w:cs="宋体"/>
          <w:color w:val="auto"/>
          <w:sz w:val="24"/>
          <w:highlight w:val="none"/>
          <w:lang w:eastAsia="zh-CN"/>
        </w:rPr>
        <w:t>有关证明文件（扫描或影印件上传）标注</w:t>
      </w:r>
      <w:r>
        <w:rPr>
          <w:rFonts w:hint="eastAsia" w:ascii="宋体" w:hAnsi="宋体" w:eastAsia="宋体" w:cs="宋体"/>
          <w:color w:val="auto"/>
          <w:sz w:val="24"/>
          <w:highlight w:val="none"/>
        </w:rPr>
        <w:t>“与原件一致”字样，否则视为无效投标。</w:t>
      </w:r>
    </w:p>
    <w:p w14:paraId="0E7AAA0E">
      <w:pPr>
        <w:widowControl/>
        <w:spacing w:line="520" w:lineRule="exact"/>
        <w:ind w:firstLine="482" w:firstLineChars="200"/>
        <w:rPr>
          <w:rFonts w:hint="eastAsia" w:ascii="宋体" w:hAnsi="宋体" w:eastAsia="宋体" w:cs="宋体"/>
          <w:b/>
          <w:bCs/>
          <w:color w:val="auto"/>
          <w:kern w:val="0"/>
          <w:sz w:val="24"/>
          <w:highlight w:val="none"/>
        </w:rPr>
      </w:pPr>
      <w:r>
        <w:rPr>
          <w:rFonts w:hint="eastAsia" w:ascii="宋体" w:hAnsi="宋体" w:eastAsia="宋体" w:cs="宋体"/>
          <w:b/>
          <w:bCs/>
          <w:color w:val="auto"/>
          <w:kern w:val="0"/>
          <w:sz w:val="24"/>
          <w:highlight w:val="none"/>
        </w:rPr>
        <w:t>12.竞争性磋商报价</w:t>
      </w:r>
    </w:p>
    <w:p w14:paraId="2EF2E378">
      <w:pPr>
        <w:spacing w:line="52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12.1报价包括所投服务、保险、税费、检测、验收和交付后约定期限内免费维保等工作所发生的一切应有费用。</w:t>
      </w:r>
    </w:p>
    <w:p w14:paraId="78777046">
      <w:pPr>
        <w:spacing w:line="52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12.2经过磋商后进行的报价为供应商的最终报价.</w:t>
      </w:r>
    </w:p>
    <w:p w14:paraId="185010A9">
      <w:pPr>
        <w:spacing w:line="52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12.3采购人不接受有选择的报价。</w:t>
      </w:r>
    </w:p>
    <w:p w14:paraId="0D6F4DB2">
      <w:pPr>
        <w:spacing w:line="52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12.4最终报价不得超过采购预算。</w:t>
      </w:r>
    </w:p>
    <w:p w14:paraId="1A5F577E">
      <w:pPr>
        <w:spacing w:line="52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12.5报价均须以人民币为计算单位。</w:t>
      </w:r>
    </w:p>
    <w:p w14:paraId="5BDA749D">
      <w:pPr>
        <w:pStyle w:val="35"/>
        <w:spacing w:line="520" w:lineRule="exact"/>
        <w:ind w:firstLine="480"/>
        <w:rPr>
          <w:rFonts w:hint="eastAsia" w:ascii="宋体" w:hAnsi="宋体" w:eastAsia="宋体" w:cs="宋体"/>
          <w:color w:val="auto"/>
          <w:kern w:val="2"/>
          <w:szCs w:val="24"/>
          <w:highlight w:val="none"/>
        </w:rPr>
      </w:pPr>
      <w:r>
        <w:rPr>
          <w:rFonts w:hint="eastAsia" w:ascii="宋体" w:hAnsi="宋体" w:eastAsia="宋体" w:cs="宋体"/>
          <w:color w:val="auto"/>
          <w:kern w:val="2"/>
          <w:szCs w:val="24"/>
          <w:highlight w:val="none"/>
        </w:rPr>
        <w:t>12.6最终报价不得超过采购预算，供应商需在报价一览表总报价处加盖公章和</w:t>
      </w:r>
      <w:r>
        <w:rPr>
          <w:rFonts w:hint="eastAsia" w:hAnsi="宋体" w:cs="宋体"/>
          <w:color w:val="auto"/>
          <w:kern w:val="2"/>
          <w:szCs w:val="24"/>
          <w:highlight w:val="none"/>
          <w:lang w:val="en-US" w:eastAsia="zh-CN"/>
        </w:rPr>
        <w:t>委托代理人</w:t>
      </w:r>
      <w:r>
        <w:rPr>
          <w:rFonts w:hint="eastAsia" w:ascii="宋体" w:hAnsi="宋体" w:eastAsia="宋体" w:cs="宋体"/>
          <w:color w:val="auto"/>
          <w:kern w:val="2"/>
          <w:szCs w:val="24"/>
          <w:highlight w:val="none"/>
        </w:rPr>
        <w:t>签字，否则按照无效投标处理。</w:t>
      </w:r>
    </w:p>
    <w:p w14:paraId="68A2C326">
      <w:pPr>
        <w:spacing w:line="520" w:lineRule="exact"/>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 xml:space="preserve">13．响应性文件有效期 </w:t>
      </w:r>
    </w:p>
    <w:p w14:paraId="6DF9B6AE">
      <w:pPr>
        <w:spacing w:line="52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13.l响应性文件有效期为自竞争性磋商开始之日起60天，有效期短于此规定的响应性文件将被视为无效。</w:t>
      </w:r>
    </w:p>
    <w:p w14:paraId="0BF1F644">
      <w:pPr>
        <w:spacing w:line="52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23963E92">
      <w:pPr>
        <w:spacing w:line="520" w:lineRule="exact"/>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14.响应性文件的签署、盖章</w:t>
      </w:r>
    </w:p>
    <w:p w14:paraId="738094E7">
      <w:pPr>
        <w:spacing w:line="52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14.1</w:t>
      </w:r>
      <w:r>
        <w:rPr>
          <w:rFonts w:hint="eastAsia" w:ascii="宋体" w:hAnsi="宋体" w:eastAsia="宋体" w:cs="宋体"/>
          <w:color w:val="auto"/>
          <w:sz w:val="24"/>
          <w:highlight w:val="none"/>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548AB0BC">
      <w:pPr>
        <w:spacing w:line="52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463D6AC5">
      <w:pPr>
        <w:spacing w:line="52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14.3供应商提交的资料应证明其满足竞争性磋商文件要求，该文件可以是文字资料、图纸和数据等详细描述的资料。</w:t>
      </w:r>
    </w:p>
    <w:p w14:paraId="529D9D20">
      <w:pPr>
        <w:spacing w:line="52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15电子投标文件制作，见周口市公共资源交易中心网站下载中心版块《投标单位-电子投标文件视频制作手册》的相关规定。</w:t>
      </w:r>
    </w:p>
    <w:p w14:paraId="70DE2427">
      <w:pPr>
        <w:numPr>
          <w:ilvl w:val="0"/>
          <w:numId w:val="2"/>
        </w:numPr>
        <w:spacing w:line="520" w:lineRule="exact"/>
        <w:jc w:val="center"/>
        <w:outlineLvl w:val="1"/>
        <w:rPr>
          <w:rFonts w:hint="eastAsia" w:ascii="宋体" w:hAnsi="宋体" w:eastAsia="宋体" w:cs="宋体"/>
          <w:b/>
          <w:color w:val="auto"/>
          <w:sz w:val="24"/>
          <w:highlight w:val="none"/>
        </w:rPr>
      </w:pPr>
      <w:bookmarkStart w:id="37" w:name="_Toc16349"/>
      <w:r>
        <w:rPr>
          <w:rFonts w:hint="eastAsia" w:ascii="宋体" w:hAnsi="宋体" w:eastAsia="宋体" w:cs="宋体"/>
          <w:b/>
          <w:color w:val="auto"/>
          <w:sz w:val="24"/>
          <w:highlight w:val="none"/>
        </w:rPr>
        <w:t>响应性文件的递交</w:t>
      </w:r>
      <w:bookmarkEnd w:id="37"/>
    </w:p>
    <w:p w14:paraId="223CBD1B">
      <w:pPr>
        <w:autoSpaceDE w:val="0"/>
        <w:autoSpaceDN w:val="0"/>
        <w:adjustRightInd w:val="0"/>
        <w:spacing w:line="52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3E3B896F">
      <w:pPr>
        <w:spacing w:line="520" w:lineRule="exact"/>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注：加密的电子投标文件的递交，见周口市公共资源交易中心网站下载中心版块《投标单位-电子投标文件视频制作手册》的相关规定。如未在招标文件规定的投标时间截止前上传网上响应文件，投标无效。</w:t>
      </w:r>
    </w:p>
    <w:p w14:paraId="3795DE99">
      <w:pPr>
        <w:autoSpaceDE w:val="0"/>
        <w:autoSpaceDN w:val="0"/>
        <w:adjustRightInd w:val="0"/>
        <w:spacing w:line="520" w:lineRule="exact"/>
        <w:ind w:firstLine="240" w:firstLineChars="100"/>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供应商须使用单位CA证书进行电子响应文件远程解密，详见周口市公共资源电子交易中心网站（网址：http://jyzx.zhoukou.gov.cn）办事指南</w:t>
      </w:r>
      <w:r>
        <w:rPr>
          <w:rFonts w:hint="eastAsia" w:ascii="宋体" w:hAnsi="宋体" w:eastAsia="宋体" w:cs="宋体"/>
          <w:bCs/>
          <w:color w:val="auto"/>
          <w:sz w:val="24"/>
          <w:highlight w:val="none"/>
        </w:rPr>
        <w:t>《不见面开标远程在线解密会员端操作手册操作指南》</w:t>
      </w:r>
      <w:r>
        <w:rPr>
          <w:rFonts w:hint="eastAsia" w:ascii="宋体" w:hAnsi="宋体" w:eastAsia="宋体" w:cs="宋体"/>
          <w:color w:val="auto"/>
          <w:sz w:val="24"/>
          <w:highlight w:val="none"/>
        </w:rPr>
        <w:t>。</w:t>
      </w:r>
    </w:p>
    <w:p w14:paraId="75490AA9">
      <w:pPr>
        <w:spacing w:line="520" w:lineRule="exac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16.响应性文件的递交</w:t>
      </w:r>
    </w:p>
    <w:p w14:paraId="1B4D1C70">
      <w:pPr>
        <w:spacing w:line="52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16.1供应商应在竞争性磋商邀请函中规定的截止日期和时间前，将响应性文件在会员系统成功上传，递交（接收）地点为竞争性磋商邀请函中规定的地址。</w:t>
      </w:r>
    </w:p>
    <w:p w14:paraId="1D3F436C">
      <w:pPr>
        <w:spacing w:line="52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16.2若采购人推迟了响应性文件接收截止时间，采购人和供应商受响应性文件接收截止时间制约的所有权利和义务均应以新的截止时间为准。 </w:t>
      </w:r>
    </w:p>
    <w:p w14:paraId="1683AEEA">
      <w:pPr>
        <w:pStyle w:val="59"/>
        <w:spacing w:line="520" w:lineRule="exact"/>
        <w:ind w:firstLine="482" w:firstLineChars="200"/>
        <w:rPr>
          <w:rFonts w:hint="eastAsia" w:ascii="宋体" w:hAnsi="宋体" w:eastAsia="宋体" w:cs="宋体"/>
          <w:b/>
          <w:color w:val="auto"/>
          <w:sz w:val="24"/>
          <w:szCs w:val="24"/>
          <w:highlight w:val="none"/>
        </w:rPr>
      </w:pPr>
      <w:r>
        <w:rPr>
          <w:rFonts w:hint="eastAsia" w:ascii="宋体" w:hAnsi="宋体" w:eastAsia="宋体" w:cs="宋体"/>
          <w:b/>
          <w:bCs/>
          <w:color w:val="auto"/>
          <w:sz w:val="24"/>
          <w:szCs w:val="24"/>
          <w:highlight w:val="none"/>
        </w:rPr>
        <w:t>17</w:t>
      </w:r>
      <w:r>
        <w:rPr>
          <w:rFonts w:hint="eastAsia" w:ascii="宋体" w:hAnsi="宋体" w:eastAsia="宋体" w:cs="宋体"/>
          <w:b/>
          <w:color w:val="auto"/>
          <w:sz w:val="24"/>
          <w:szCs w:val="24"/>
          <w:highlight w:val="none"/>
        </w:rPr>
        <w:t>.响应性文件的修改和撤回</w:t>
      </w:r>
    </w:p>
    <w:p w14:paraId="6F032DE3">
      <w:pPr>
        <w:pStyle w:val="59"/>
        <w:spacing w:line="520" w:lineRule="exact"/>
        <w:ind w:left="279" w:leftChars="133" w:firstLine="240" w:firstLineChars="100"/>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17.1供应商在提交响应性文件截止时间前，可以对已上传的响应文件进行撤回补充、修改或撤回，补充、修改之后进行再次上传，再次上传内容作为响应性文件的组成部分。</w:t>
      </w:r>
    </w:p>
    <w:p w14:paraId="40E87B18">
      <w:pPr>
        <w:pStyle w:val="59"/>
        <w:spacing w:line="52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17.2响应性文件的补充、修改文件应按照本竞争性磋商文件有关规定进行密封、签署，修改后的加密的电子投标文件须在投标截止时间前成功上传。 </w:t>
      </w:r>
    </w:p>
    <w:p w14:paraId="37ED947C">
      <w:pPr>
        <w:pStyle w:val="59"/>
        <w:spacing w:line="52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17.3供应商在响应性文件接收截止时间后不得修改、撤回响应性文件。供应商在响应性文件接收截止时间后修改响应性文件的，将被拒绝接受。</w:t>
      </w:r>
    </w:p>
    <w:p w14:paraId="22334860">
      <w:pPr>
        <w:pStyle w:val="59"/>
        <w:spacing w:line="52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17.4供应商有下列情形之一的，采购人将拒绝接受其响应性文件：</w:t>
      </w:r>
    </w:p>
    <w:p w14:paraId="7C3E09B8">
      <w:pPr>
        <w:pStyle w:val="59"/>
        <w:spacing w:line="52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17.4.1在竞争性磋商文件规定的响应性文件接收截止时间之后递交响应性文件的；</w:t>
      </w:r>
    </w:p>
    <w:p w14:paraId="63B93FB7">
      <w:pPr>
        <w:pStyle w:val="59"/>
        <w:spacing w:line="52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17.4.2响应性文件未按竞争性磋商文件规定密封、签署、盖章的；</w:t>
      </w:r>
    </w:p>
    <w:p w14:paraId="06A93140">
      <w:pPr>
        <w:pStyle w:val="59"/>
        <w:spacing w:line="520" w:lineRule="exact"/>
        <w:ind w:firstLine="480" w:firstLineChars="200"/>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17.4.3一个供应商不止递交一套响应性文件的。</w:t>
      </w:r>
    </w:p>
    <w:p w14:paraId="0F547CF2">
      <w:pPr>
        <w:spacing w:line="520" w:lineRule="exact"/>
        <w:jc w:val="center"/>
        <w:outlineLvl w:val="1"/>
        <w:rPr>
          <w:rFonts w:hint="eastAsia" w:ascii="宋体" w:hAnsi="宋体" w:eastAsia="宋体" w:cs="宋体"/>
          <w:b/>
          <w:color w:val="auto"/>
          <w:sz w:val="24"/>
          <w:highlight w:val="none"/>
        </w:rPr>
      </w:pPr>
      <w:bookmarkStart w:id="38" w:name="_Toc12385"/>
      <w:r>
        <w:rPr>
          <w:rFonts w:hint="eastAsia" w:ascii="宋体" w:hAnsi="宋体" w:eastAsia="宋体" w:cs="宋体"/>
          <w:b/>
          <w:color w:val="auto"/>
          <w:sz w:val="24"/>
          <w:highlight w:val="none"/>
        </w:rPr>
        <w:t>五、竞争性磋商</w:t>
      </w:r>
      <w:bookmarkEnd w:id="38"/>
    </w:p>
    <w:p w14:paraId="0C7E355F">
      <w:pPr>
        <w:spacing w:line="520" w:lineRule="exact"/>
        <w:ind w:firstLine="482" w:firstLineChars="200"/>
        <w:rPr>
          <w:rFonts w:hint="eastAsia" w:ascii="宋体" w:hAnsi="宋体" w:eastAsia="宋体" w:cs="宋体"/>
          <w:b/>
          <w:color w:val="auto"/>
          <w:sz w:val="24"/>
          <w:highlight w:val="none"/>
          <w:lang w:val="zh-CN"/>
        </w:rPr>
      </w:pPr>
      <w:r>
        <w:rPr>
          <w:rFonts w:hint="eastAsia" w:ascii="宋体" w:hAnsi="宋体" w:eastAsia="宋体" w:cs="宋体"/>
          <w:b/>
          <w:color w:val="auto"/>
          <w:sz w:val="24"/>
          <w:highlight w:val="none"/>
        </w:rPr>
        <w:t>18.组建</w:t>
      </w:r>
      <w:r>
        <w:rPr>
          <w:rFonts w:hint="eastAsia" w:ascii="宋体" w:hAnsi="宋体" w:eastAsia="宋体" w:cs="宋体"/>
          <w:b/>
          <w:color w:val="auto"/>
          <w:sz w:val="24"/>
          <w:highlight w:val="none"/>
          <w:lang w:val="zh-CN"/>
        </w:rPr>
        <w:t>竞争性磋商小组</w:t>
      </w:r>
    </w:p>
    <w:p w14:paraId="54FAE912">
      <w:pPr>
        <w:spacing w:line="520" w:lineRule="exact"/>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18.1采购人根据采购项目的特点依法组建竞争性磋商小组。</w:t>
      </w:r>
    </w:p>
    <w:p w14:paraId="309A6AA8">
      <w:pPr>
        <w:spacing w:line="520" w:lineRule="exact"/>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18.2竞争性磋商小组</w:t>
      </w:r>
      <w:r>
        <w:rPr>
          <w:rFonts w:hint="eastAsia" w:ascii="宋体" w:hAnsi="宋体" w:eastAsia="宋体" w:cs="宋体"/>
          <w:bCs/>
          <w:color w:val="auto"/>
          <w:kern w:val="0"/>
          <w:sz w:val="24"/>
          <w:highlight w:val="none"/>
        </w:rPr>
        <w:t>确认竞争性磋商文件，并</w:t>
      </w:r>
      <w:r>
        <w:rPr>
          <w:rFonts w:hint="eastAsia" w:ascii="宋体" w:hAnsi="宋体" w:eastAsia="宋体" w:cs="宋体"/>
          <w:color w:val="auto"/>
          <w:kern w:val="0"/>
          <w:sz w:val="24"/>
          <w:highlight w:val="none"/>
        </w:rPr>
        <w:t>负责具体评审事务，根据有关法律法规和竞争性磋商文件规定的评审程序，按照评审方法及评审标准独立履行竞争性磋商小组职责。</w:t>
      </w:r>
    </w:p>
    <w:p w14:paraId="2804DD70">
      <w:pPr>
        <w:pStyle w:val="35"/>
        <w:spacing w:line="520" w:lineRule="exact"/>
        <w:ind w:firstLine="480"/>
        <w:rPr>
          <w:rFonts w:hint="eastAsia" w:ascii="宋体" w:hAnsi="宋体" w:eastAsia="宋体" w:cs="宋体"/>
          <w:bCs/>
          <w:color w:val="auto"/>
          <w:szCs w:val="24"/>
          <w:highlight w:val="none"/>
        </w:rPr>
      </w:pPr>
      <w:r>
        <w:rPr>
          <w:rFonts w:hint="eastAsia" w:ascii="宋体" w:hAnsi="宋体" w:eastAsia="宋体" w:cs="宋体"/>
          <w:bCs/>
          <w:color w:val="auto"/>
          <w:szCs w:val="24"/>
          <w:highlight w:val="none"/>
        </w:rPr>
        <w:t>18.3 供应商应在响应文件中承诺不得相互串通投标或者与采购人串通投标，不得向采购人或者评标委员会成员行贿谋取中标，不得以他人名义投标或者以其他方式弄虚作假骗取中标；投标人不得以任何方式干扰、影响评标工作，不提供承诺视为无效投标。</w:t>
      </w:r>
    </w:p>
    <w:p w14:paraId="4727710E">
      <w:pPr>
        <w:spacing w:line="520" w:lineRule="exact"/>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19.资格性和符合性审查</w:t>
      </w:r>
    </w:p>
    <w:p w14:paraId="4E7DAB4D">
      <w:pPr>
        <w:spacing w:line="52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6B28A71C">
      <w:pPr>
        <w:spacing w:line="520" w:lineRule="exact"/>
        <w:ind w:firstLine="480" w:firstLineChars="200"/>
        <w:rPr>
          <w:rFonts w:hint="eastAsia" w:ascii="宋体" w:hAnsi="宋体" w:eastAsia="宋体" w:cs="宋体"/>
          <w:b/>
          <w:bCs/>
          <w:color w:val="auto"/>
          <w:sz w:val="24"/>
          <w:highlight w:val="none"/>
        </w:rPr>
      </w:pPr>
      <w:r>
        <w:rPr>
          <w:rFonts w:hint="eastAsia" w:ascii="宋体" w:hAnsi="宋体" w:eastAsia="宋体" w:cs="宋体"/>
          <w:color w:val="auto"/>
          <w:sz w:val="24"/>
          <w:highlight w:val="none"/>
        </w:rPr>
        <w:t>19.1.1资格性审查的内容包括：竞争性磋商文件规定的供应商资格条件；</w:t>
      </w:r>
    </w:p>
    <w:p w14:paraId="4D7EC5D6">
      <w:pPr>
        <w:spacing w:line="52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0DF21DEE">
      <w:pPr>
        <w:spacing w:line="52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19.2.1符合性审查的内容包括：</w:t>
      </w:r>
    </w:p>
    <w:p w14:paraId="6414EA6C">
      <w:pPr>
        <w:spacing w:line="52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（1）响应性文件的有效性(签署情况等)；</w:t>
      </w:r>
    </w:p>
    <w:p w14:paraId="1E68C69C">
      <w:pPr>
        <w:spacing w:line="52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（2）响应性文件的完整性；</w:t>
      </w:r>
    </w:p>
    <w:p w14:paraId="4C72351C">
      <w:pPr>
        <w:spacing w:line="52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（3）对竞争性磋商文件的响应程度（是否存在重大负偏离等）。 </w:t>
      </w:r>
    </w:p>
    <w:p w14:paraId="0A8D80C5">
      <w:pPr>
        <w:spacing w:line="52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u w:val="single"/>
        </w:rPr>
        <w:t>以上资格性审查和符合性审查的内容只要有一条不满足，则响应性文件无效，将不进入竞争性磋商程序。</w:t>
      </w:r>
    </w:p>
    <w:p w14:paraId="0C58F333">
      <w:pPr>
        <w:spacing w:line="52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注意事项：资格性、符合性证明材料见竞争性磋商文件第四章规定。</w:t>
      </w:r>
    </w:p>
    <w:p w14:paraId="2BD19799">
      <w:pPr>
        <w:spacing w:line="52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19.3实质性响应的响应性文件是指与竞争性磋商文件的全部条款、条件和规格相符，没有重大偏离；重大负偏离的认定须经竞争性磋商小组三分之二以上同意。</w:t>
      </w:r>
    </w:p>
    <w:p w14:paraId="188D17F7">
      <w:pPr>
        <w:spacing w:line="52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092AF012">
      <w:pPr>
        <w:spacing w:line="52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19.5如果响应性文件实质上没有响应竞争性磋商文件的要求，将作为无效处理，供应商不得再对响应性文件进行任何修正从而使其响应性文件成为实质上响应的文件；</w:t>
      </w:r>
    </w:p>
    <w:p w14:paraId="68F72C4A">
      <w:pPr>
        <w:spacing w:line="52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19.6竞争性磋商小组审定响应性文件的响应性只根据响应性文件本身的内容而不寻求外部证据。</w:t>
      </w:r>
    </w:p>
    <w:p w14:paraId="426E1D57">
      <w:pPr>
        <w:spacing w:line="52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19.7凡有下列情况之一的，其响应性文件也被视为未实质性响应竞争性磋商文件，按照无效处理（不再参加竞争性磋商）：</w:t>
      </w:r>
    </w:p>
    <w:p w14:paraId="0C7BDB01">
      <w:pPr>
        <w:spacing w:line="52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19.7.1响应文件法定代表人或授权代表未逐页签字和盖公章的；</w:t>
      </w:r>
    </w:p>
    <w:p w14:paraId="7806827E">
      <w:pPr>
        <w:spacing w:line="52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19.7.2资格证明文件不全的，或不符合竞争性磋商文件中规定的资格要求的；</w:t>
      </w:r>
    </w:p>
    <w:p w14:paraId="048FB4B4">
      <w:pPr>
        <w:spacing w:line="52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19.7.3供应商代表未出具经其证件正面上签字确认的有效身份证明，或与身份不符的；</w:t>
      </w:r>
    </w:p>
    <w:p w14:paraId="16A3544D">
      <w:pPr>
        <w:spacing w:line="52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19.7.4不符合竞争性磋商文件规定的实质性要求的；</w:t>
      </w:r>
    </w:p>
    <w:p w14:paraId="28B29A79">
      <w:pPr>
        <w:spacing w:line="52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19.7.5响应性文件内容不齐全或内容虚假的；</w:t>
      </w:r>
    </w:p>
    <w:p w14:paraId="088B86DD">
      <w:pPr>
        <w:spacing w:line="52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19.7.6响应性文件的实质性内容未使用中文表述；</w:t>
      </w:r>
    </w:p>
    <w:p w14:paraId="5F0B3359">
      <w:pPr>
        <w:spacing w:line="52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19.7.7响应性文件的内容修改处未按规定签名或盖章的；</w:t>
      </w:r>
    </w:p>
    <w:p w14:paraId="784A6465">
      <w:pPr>
        <w:spacing w:line="52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19.7.8违反法律、行政法规、竞争性磋商文件规定的其他情形的。</w:t>
      </w:r>
    </w:p>
    <w:p w14:paraId="7EE7722A">
      <w:pPr>
        <w:spacing w:line="52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19.7.9不同供应商的电子投标（响应）文件上传计算机的网卡 MAC 地址、CPU 序列号和硬盘序列号等硬件信息相同的;</w:t>
      </w:r>
    </w:p>
    <w:p w14:paraId="7C4AEE72">
      <w:pPr>
        <w:spacing w:line="52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19.7.10不同供应商的投标（响应）文件由同一电子设备编制，打印、复印、加密或者上传的；</w:t>
      </w:r>
    </w:p>
    <w:p w14:paraId="69F944D4">
      <w:pPr>
        <w:spacing w:line="52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19.7.11不同供应商的投标（响应）文件由同一人送达或者分发，或者不同供应商联系人为同一人或不同联系人的联系电话一致的；</w:t>
      </w:r>
    </w:p>
    <w:p w14:paraId="1072C05A">
      <w:pPr>
        <w:spacing w:line="52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19.7.12不同供应商的投标（响应）文件的内容存在两处以上细节错误一致；</w:t>
      </w:r>
    </w:p>
    <w:p w14:paraId="4EC8E2D7">
      <w:pPr>
        <w:spacing w:line="52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19.7.13不同供应商的法定代表人、委托代理人、项目经理、项目负责人等由同一个单位缴纳社会保险或者领取报酬的；</w:t>
      </w:r>
    </w:p>
    <w:p w14:paraId="22E4B3A9">
      <w:pPr>
        <w:spacing w:line="52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19.7.14不同供应商投标（响应）文件中法定代表人或者负责人签字出自同一人之手。</w:t>
      </w:r>
    </w:p>
    <w:p w14:paraId="3BED300F">
      <w:pPr>
        <w:spacing w:line="52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19.8在评审过程中，竞争性磋商小组发现供应商有下列情形之一的，视为供应商相互串通，按照无效处理并依据法律、法规追究其相关责任。具体表现形式如下：</w:t>
      </w:r>
    </w:p>
    <w:p w14:paraId="615F6441">
      <w:pPr>
        <w:spacing w:line="52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19.8.1不同供应商的响应性文件互相混装的；</w:t>
      </w:r>
    </w:p>
    <w:p w14:paraId="7D6559F7">
      <w:pPr>
        <w:spacing w:line="52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19.8.2不同供应商授权同一人作为供应商委托代理人的；</w:t>
      </w:r>
    </w:p>
    <w:p w14:paraId="62D2FB7D">
      <w:pPr>
        <w:spacing w:line="52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19.8.3不同供应商的响应性文件载明的项目管理成员为同一人的；</w:t>
      </w:r>
    </w:p>
    <w:p w14:paraId="1A610DC5">
      <w:pPr>
        <w:spacing w:line="52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19.8.4有证据证明供应商与采购人、采购代理机构或者其他供应商串通的其他情形；</w:t>
      </w:r>
    </w:p>
    <w:p w14:paraId="2EC3D606">
      <w:pPr>
        <w:spacing w:line="52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19.8.5竞争性磋商小组认定的其他串通情形。</w:t>
      </w:r>
    </w:p>
    <w:p w14:paraId="2DA3D0CB">
      <w:pPr>
        <w:pStyle w:val="41"/>
        <w:rPr>
          <w:rFonts w:hint="eastAsia" w:ascii="宋体" w:hAnsi="宋体" w:eastAsia="宋体" w:cs="宋体"/>
          <w:color w:val="auto"/>
          <w:sz w:val="24"/>
          <w:szCs w:val="24"/>
          <w:highlight w:val="none"/>
        </w:rPr>
      </w:pPr>
    </w:p>
    <w:tbl>
      <w:tblPr>
        <w:tblStyle w:val="27"/>
        <w:tblW w:w="8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2158D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jc w:val="center"/>
        </w:trPr>
        <w:tc>
          <w:tcPr>
            <w:tcW w:w="8505" w:type="dxa"/>
            <w:gridSpan w:val="5"/>
            <w:vAlign w:val="center"/>
          </w:tcPr>
          <w:p w14:paraId="78F72844">
            <w:pPr>
              <w:pStyle w:val="76"/>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snapToGrid w:val="0"/>
              <w:spacing w:line="360" w:lineRule="auto"/>
              <w:ind w:right="-11"/>
              <w:textAlignment w:val="auto"/>
              <w:rPr>
                <w:rFonts w:hint="eastAsia" w:ascii="宋体" w:hAnsi="宋体" w:eastAsia="宋体" w:cs="宋体"/>
                <w:b/>
                <w:color w:val="auto"/>
                <w:kern w:val="2"/>
                <w:szCs w:val="24"/>
                <w:highlight w:val="none"/>
              </w:rPr>
            </w:pPr>
            <w:r>
              <w:rPr>
                <w:rFonts w:hint="eastAsia" w:ascii="宋体" w:hAnsi="宋体" w:eastAsia="宋体" w:cs="宋体"/>
                <w:b/>
                <w:color w:val="auto"/>
                <w:kern w:val="2"/>
                <w:szCs w:val="24"/>
                <w:highlight w:val="none"/>
              </w:rPr>
              <w:t>项目符合性审查表</w:t>
            </w:r>
          </w:p>
        </w:tc>
      </w:tr>
      <w:tr w14:paraId="7911F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jc w:val="center"/>
        </w:trPr>
        <w:tc>
          <w:tcPr>
            <w:tcW w:w="707" w:type="dxa"/>
            <w:tcBorders>
              <w:bottom w:val="single" w:color="auto" w:sz="4" w:space="0"/>
            </w:tcBorders>
            <w:vAlign w:val="center"/>
          </w:tcPr>
          <w:p w14:paraId="0ED6D52B">
            <w:pPr>
              <w:keepNext w:val="0"/>
              <w:keepLines w:val="0"/>
              <w:pageBreakBefore w:val="0"/>
              <w:widowControl w:val="0"/>
              <w:kinsoku/>
              <w:wordWrap/>
              <w:overflowPunct/>
              <w:topLinePunct w:val="0"/>
              <w:autoSpaceDE/>
              <w:autoSpaceDN/>
              <w:bidi w:val="0"/>
              <w:adjustRightInd w:val="0"/>
              <w:snapToGrid w:val="0"/>
              <w:spacing w:line="360" w:lineRule="auto"/>
              <w:ind w:right="-11"/>
              <w:jc w:val="center"/>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序号</w:t>
            </w:r>
          </w:p>
        </w:tc>
        <w:tc>
          <w:tcPr>
            <w:tcW w:w="2665" w:type="dxa"/>
            <w:tcBorders>
              <w:bottom w:val="single" w:color="auto" w:sz="4" w:space="0"/>
            </w:tcBorders>
            <w:vAlign w:val="center"/>
          </w:tcPr>
          <w:p w14:paraId="4F8A6844">
            <w:pPr>
              <w:pStyle w:val="76"/>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snapToGrid w:val="0"/>
              <w:spacing w:line="360" w:lineRule="auto"/>
              <w:ind w:right="-11"/>
              <w:textAlignment w:val="auto"/>
              <w:rPr>
                <w:rFonts w:hint="eastAsia" w:ascii="宋体" w:hAnsi="宋体" w:eastAsia="宋体" w:cs="宋体"/>
                <w:color w:val="auto"/>
                <w:kern w:val="2"/>
                <w:szCs w:val="24"/>
                <w:highlight w:val="none"/>
              </w:rPr>
            </w:pPr>
            <w:r>
              <w:rPr>
                <w:rFonts w:hint="eastAsia" w:ascii="宋体" w:hAnsi="宋体" w:eastAsia="宋体" w:cs="宋体"/>
                <w:color w:val="auto"/>
                <w:kern w:val="2"/>
                <w:szCs w:val="24"/>
                <w:highlight w:val="none"/>
              </w:rPr>
              <w:t>指标名称</w:t>
            </w:r>
          </w:p>
        </w:tc>
        <w:tc>
          <w:tcPr>
            <w:tcW w:w="1937" w:type="dxa"/>
            <w:tcBorders>
              <w:bottom w:val="single" w:color="auto" w:sz="4" w:space="0"/>
            </w:tcBorders>
            <w:vAlign w:val="center"/>
          </w:tcPr>
          <w:p w14:paraId="14B52E1C">
            <w:pPr>
              <w:keepNext w:val="0"/>
              <w:keepLines w:val="0"/>
              <w:pageBreakBefore w:val="0"/>
              <w:widowControl w:val="0"/>
              <w:kinsoku/>
              <w:wordWrap/>
              <w:overflowPunct/>
              <w:topLinePunct w:val="0"/>
              <w:autoSpaceDE/>
              <w:autoSpaceDN/>
              <w:bidi w:val="0"/>
              <w:adjustRightInd w:val="0"/>
              <w:snapToGrid w:val="0"/>
              <w:spacing w:line="360" w:lineRule="auto"/>
              <w:ind w:right="-11"/>
              <w:jc w:val="center"/>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指标要求</w:t>
            </w:r>
          </w:p>
        </w:tc>
        <w:tc>
          <w:tcPr>
            <w:tcW w:w="825" w:type="dxa"/>
            <w:tcBorders>
              <w:bottom w:val="single" w:color="auto" w:sz="4" w:space="0"/>
            </w:tcBorders>
            <w:vAlign w:val="center"/>
          </w:tcPr>
          <w:p w14:paraId="32CA4DDA">
            <w:pPr>
              <w:keepNext w:val="0"/>
              <w:keepLines w:val="0"/>
              <w:pageBreakBefore w:val="0"/>
              <w:widowControl w:val="0"/>
              <w:kinsoku/>
              <w:wordWrap/>
              <w:overflowPunct/>
              <w:topLinePunct w:val="0"/>
              <w:autoSpaceDE/>
              <w:autoSpaceDN/>
              <w:bidi w:val="0"/>
              <w:adjustRightInd w:val="0"/>
              <w:snapToGrid w:val="0"/>
              <w:spacing w:line="360" w:lineRule="auto"/>
              <w:ind w:right="-11"/>
              <w:jc w:val="center"/>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是否</w:t>
            </w:r>
          </w:p>
          <w:p w14:paraId="76CED8A6">
            <w:pPr>
              <w:keepNext w:val="0"/>
              <w:keepLines w:val="0"/>
              <w:pageBreakBefore w:val="0"/>
              <w:widowControl w:val="0"/>
              <w:kinsoku/>
              <w:wordWrap/>
              <w:overflowPunct/>
              <w:topLinePunct w:val="0"/>
              <w:autoSpaceDE/>
              <w:autoSpaceDN/>
              <w:bidi w:val="0"/>
              <w:adjustRightInd w:val="0"/>
              <w:snapToGrid w:val="0"/>
              <w:spacing w:line="360" w:lineRule="auto"/>
              <w:ind w:right="-11"/>
              <w:jc w:val="center"/>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通过</w:t>
            </w:r>
          </w:p>
        </w:tc>
        <w:tc>
          <w:tcPr>
            <w:tcW w:w="2371" w:type="dxa"/>
            <w:tcBorders>
              <w:bottom w:val="single" w:color="auto" w:sz="4" w:space="0"/>
            </w:tcBorders>
            <w:vAlign w:val="center"/>
          </w:tcPr>
          <w:p w14:paraId="200C46C0">
            <w:pPr>
              <w:keepNext w:val="0"/>
              <w:keepLines w:val="0"/>
              <w:pageBreakBefore w:val="0"/>
              <w:widowControl w:val="0"/>
              <w:kinsoku/>
              <w:wordWrap/>
              <w:overflowPunct/>
              <w:topLinePunct w:val="0"/>
              <w:autoSpaceDE/>
              <w:autoSpaceDN/>
              <w:bidi w:val="0"/>
              <w:adjustRightInd w:val="0"/>
              <w:snapToGrid w:val="0"/>
              <w:spacing w:line="360" w:lineRule="auto"/>
              <w:ind w:right="-11"/>
              <w:jc w:val="center"/>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投标文件格式及</w:t>
            </w:r>
          </w:p>
          <w:p w14:paraId="3264D8B0">
            <w:pPr>
              <w:keepNext w:val="0"/>
              <w:keepLines w:val="0"/>
              <w:pageBreakBefore w:val="0"/>
              <w:widowControl w:val="0"/>
              <w:kinsoku/>
              <w:wordWrap/>
              <w:overflowPunct/>
              <w:topLinePunct w:val="0"/>
              <w:autoSpaceDE/>
              <w:autoSpaceDN/>
              <w:bidi w:val="0"/>
              <w:adjustRightInd w:val="0"/>
              <w:snapToGrid w:val="0"/>
              <w:spacing w:line="360" w:lineRule="auto"/>
              <w:ind w:right="-11"/>
              <w:jc w:val="center"/>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提交资料要求</w:t>
            </w:r>
          </w:p>
        </w:tc>
      </w:tr>
      <w:tr w14:paraId="6FC09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jc w:val="center"/>
        </w:trPr>
        <w:tc>
          <w:tcPr>
            <w:tcW w:w="707" w:type="dxa"/>
            <w:vAlign w:val="center"/>
          </w:tcPr>
          <w:p w14:paraId="0690445A">
            <w:pPr>
              <w:keepNext w:val="0"/>
              <w:keepLines w:val="0"/>
              <w:pageBreakBefore w:val="0"/>
              <w:widowControl w:val="0"/>
              <w:kinsoku/>
              <w:wordWrap/>
              <w:overflowPunct/>
              <w:topLinePunct w:val="0"/>
              <w:autoSpaceDE/>
              <w:autoSpaceDN/>
              <w:bidi w:val="0"/>
              <w:adjustRightInd w:val="0"/>
              <w:snapToGrid w:val="0"/>
              <w:spacing w:line="360" w:lineRule="auto"/>
              <w:ind w:right="-11"/>
              <w:jc w:val="center"/>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p>
        </w:tc>
        <w:tc>
          <w:tcPr>
            <w:tcW w:w="2665" w:type="dxa"/>
            <w:vAlign w:val="center"/>
          </w:tcPr>
          <w:p w14:paraId="7CF4507B">
            <w:pPr>
              <w:keepNext w:val="0"/>
              <w:keepLines w:val="0"/>
              <w:pageBreakBefore w:val="0"/>
              <w:widowControl w:val="0"/>
              <w:kinsoku/>
              <w:wordWrap/>
              <w:overflowPunct/>
              <w:topLinePunct w:val="0"/>
              <w:autoSpaceDE/>
              <w:autoSpaceDN/>
              <w:bidi w:val="0"/>
              <w:spacing w:after="50" w:line="360" w:lineRule="auto"/>
              <w:ind w:right="-11"/>
              <w:jc w:val="center"/>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营业执照、资质证书、项目负责人资格</w:t>
            </w:r>
          </w:p>
        </w:tc>
        <w:tc>
          <w:tcPr>
            <w:tcW w:w="1937" w:type="dxa"/>
            <w:vAlign w:val="center"/>
          </w:tcPr>
          <w:p w14:paraId="7533ECE9">
            <w:pPr>
              <w:keepNext w:val="0"/>
              <w:keepLines w:val="0"/>
              <w:pageBreakBefore w:val="0"/>
              <w:widowControl w:val="0"/>
              <w:kinsoku/>
              <w:wordWrap/>
              <w:overflowPunct/>
              <w:topLinePunct w:val="0"/>
              <w:autoSpaceDE/>
              <w:autoSpaceDN/>
              <w:bidi w:val="0"/>
              <w:spacing w:after="50" w:line="360" w:lineRule="auto"/>
              <w:ind w:right="-11"/>
              <w:jc w:val="center"/>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见招标文件</w:t>
            </w:r>
          </w:p>
        </w:tc>
        <w:tc>
          <w:tcPr>
            <w:tcW w:w="825" w:type="dxa"/>
            <w:vAlign w:val="center"/>
          </w:tcPr>
          <w:p w14:paraId="32A047DE">
            <w:pPr>
              <w:keepNext w:val="0"/>
              <w:keepLines w:val="0"/>
              <w:pageBreakBefore w:val="0"/>
              <w:widowControl w:val="0"/>
              <w:kinsoku/>
              <w:wordWrap/>
              <w:overflowPunct/>
              <w:topLinePunct w:val="0"/>
              <w:autoSpaceDE/>
              <w:autoSpaceDN/>
              <w:bidi w:val="0"/>
              <w:adjustRightInd w:val="0"/>
              <w:snapToGrid w:val="0"/>
              <w:spacing w:line="360" w:lineRule="auto"/>
              <w:ind w:right="-11"/>
              <w:textAlignment w:val="auto"/>
              <w:rPr>
                <w:rFonts w:hint="eastAsia" w:ascii="宋体" w:hAnsi="宋体" w:eastAsia="宋体" w:cs="宋体"/>
                <w:color w:val="auto"/>
                <w:sz w:val="24"/>
                <w:highlight w:val="none"/>
              </w:rPr>
            </w:pPr>
          </w:p>
        </w:tc>
        <w:tc>
          <w:tcPr>
            <w:tcW w:w="2371" w:type="dxa"/>
            <w:vAlign w:val="center"/>
          </w:tcPr>
          <w:p w14:paraId="21EC4472">
            <w:pPr>
              <w:keepNext w:val="0"/>
              <w:keepLines w:val="0"/>
              <w:pageBreakBefore w:val="0"/>
              <w:widowControl w:val="0"/>
              <w:kinsoku/>
              <w:wordWrap/>
              <w:overflowPunct/>
              <w:topLinePunct w:val="0"/>
              <w:autoSpaceDE/>
              <w:autoSpaceDN/>
              <w:bidi w:val="0"/>
              <w:adjustRightInd w:val="0"/>
              <w:snapToGrid w:val="0"/>
              <w:spacing w:line="360" w:lineRule="auto"/>
              <w:ind w:right="-11"/>
              <w:jc w:val="center"/>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见投标文件</w:t>
            </w:r>
          </w:p>
        </w:tc>
      </w:tr>
      <w:tr w14:paraId="3CECB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jc w:val="center"/>
        </w:trPr>
        <w:tc>
          <w:tcPr>
            <w:tcW w:w="707" w:type="dxa"/>
            <w:vAlign w:val="center"/>
          </w:tcPr>
          <w:p w14:paraId="5A06009D">
            <w:pPr>
              <w:keepNext w:val="0"/>
              <w:keepLines w:val="0"/>
              <w:pageBreakBefore w:val="0"/>
              <w:widowControl w:val="0"/>
              <w:kinsoku/>
              <w:wordWrap/>
              <w:overflowPunct/>
              <w:topLinePunct w:val="0"/>
              <w:autoSpaceDE/>
              <w:autoSpaceDN/>
              <w:bidi w:val="0"/>
              <w:adjustRightInd w:val="0"/>
              <w:snapToGrid w:val="0"/>
              <w:spacing w:line="360" w:lineRule="auto"/>
              <w:ind w:right="-11"/>
              <w:jc w:val="center"/>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w:t>
            </w:r>
          </w:p>
        </w:tc>
        <w:tc>
          <w:tcPr>
            <w:tcW w:w="2665" w:type="dxa"/>
            <w:vAlign w:val="center"/>
          </w:tcPr>
          <w:p w14:paraId="524108D7">
            <w:pPr>
              <w:keepNext w:val="0"/>
              <w:keepLines w:val="0"/>
              <w:pageBreakBefore w:val="0"/>
              <w:widowControl w:val="0"/>
              <w:kinsoku/>
              <w:wordWrap/>
              <w:overflowPunct/>
              <w:topLinePunct w:val="0"/>
              <w:autoSpaceDE/>
              <w:autoSpaceDN/>
              <w:bidi w:val="0"/>
              <w:spacing w:after="50" w:line="360" w:lineRule="auto"/>
              <w:ind w:right="-11"/>
              <w:jc w:val="center"/>
              <w:textAlignment w:val="auto"/>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法定代表人及身份证</w:t>
            </w:r>
          </w:p>
        </w:tc>
        <w:tc>
          <w:tcPr>
            <w:tcW w:w="1937" w:type="dxa"/>
            <w:vAlign w:val="center"/>
          </w:tcPr>
          <w:p w14:paraId="64337AED">
            <w:pPr>
              <w:keepNext w:val="0"/>
              <w:keepLines w:val="0"/>
              <w:pageBreakBefore w:val="0"/>
              <w:widowControl w:val="0"/>
              <w:kinsoku/>
              <w:wordWrap/>
              <w:overflowPunct/>
              <w:topLinePunct w:val="0"/>
              <w:autoSpaceDE/>
              <w:autoSpaceDN/>
              <w:bidi w:val="0"/>
              <w:spacing w:after="50" w:line="360" w:lineRule="auto"/>
              <w:ind w:right="-11"/>
              <w:jc w:val="center"/>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见招标文件</w:t>
            </w:r>
          </w:p>
        </w:tc>
        <w:tc>
          <w:tcPr>
            <w:tcW w:w="825" w:type="dxa"/>
            <w:vAlign w:val="center"/>
          </w:tcPr>
          <w:p w14:paraId="0107AC7E">
            <w:pPr>
              <w:keepNext w:val="0"/>
              <w:keepLines w:val="0"/>
              <w:pageBreakBefore w:val="0"/>
              <w:widowControl w:val="0"/>
              <w:kinsoku/>
              <w:wordWrap/>
              <w:overflowPunct/>
              <w:topLinePunct w:val="0"/>
              <w:autoSpaceDE/>
              <w:autoSpaceDN/>
              <w:bidi w:val="0"/>
              <w:adjustRightInd w:val="0"/>
              <w:snapToGrid w:val="0"/>
              <w:spacing w:line="360" w:lineRule="auto"/>
              <w:ind w:right="-11"/>
              <w:textAlignment w:val="auto"/>
              <w:rPr>
                <w:rFonts w:hint="eastAsia" w:ascii="宋体" w:hAnsi="宋体" w:eastAsia="宋体" w:cs="宋体"/>
                <w:color w:val="auto"/>
                <w:sz w:val="24"/>
                <w:highlight w:val="none"/>
              </w:rPr>
            </w:pPr>
          </w:p>
        </w:tc>
        <w:tc>
          <w:tcPr>
            <w:tcW w:w="2371" w:type="dxa"/>
            <w:vAlign w:val="center"/>
          </w:tcPr>
          <w:p w14:paraId="3F08AC1A">
            <w:pPr>
              <w:keepNext w:val="0"/>
              <w:keepLines w:val="0"/>
              <w:pageBreakBefore w:val="0"/>
              <w:widowControl w:val="0"/>
              <w:kinsoku/>
              <w:wordWrap/>
              <w:overflowPunct/>
              <w:topLinePunct w:val="0"/>
              <w:autoSpaceDE/>
              <w:autoSpaceDN/>
              <w:bidi w:val="0"/>
              <w:adjustRightInd w:val="0"/>
              <w:snapToGrid w:val="0"/>
              <w:spacing w:line="360" w:lineRule="auto"/>
              <w:ind w:right="-11"/>
              <w:jc w:val="center"/>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见投标文件</w:t>
            </w:r>
          </w:p>
        </w:tc>
      </w:tr>
      <w:tr w14:paraId="23513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jc w:val="center"/>
        </w:trPr>
        <w:tc>
          <w:tcPr>
            <w:tcW w:w="707" w:type="dxa"/>
            <w:vAlign w:val="center"/>
          </w:tcPr>
          <w:p w14:paraId="6F27354E">
            <w:pPr>
              <w:keepNext w:val="0"/>
              <w:keepLines w:val="0"/>
              <w:pageBreakBefore w:val="0"/>
              <w:widowControl w:val="0"/>
              <w:kinsoku/>
              <w:wordWrap/>
              <w:overflowPunct/>
              <w:topLinePunct w:val="0"/>
              <w:autoSpaceDE/>
              <w:autoSpaceDN/>
              <w:bidi w:val="0"/>
              <w:adjustRightInd w:val="0"/>
              <w:snapToGrid w:val="0"/>
              <w:spacing w:line="360" w:lineRule="auto"/>
              <w:ind w:right="-11"/>
              <w:jc w:val="center"/>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w:t>
            </w:r>
          </w:p>
        </w:tc>
        <w:tc>
          <w:tcPr>
            <w:tcW w:w="2665" w:type="dxa"/>
            <w:vAlign w:val="center"/>
          </w:tcPr>
          <w:p w14:paraId="231FE08E">
            <w:pPr>
              <w:keepNext w:val="0"/>
              <w:keepLines w:val="0"/>
              <w:pageBreakBefore w:val="0"/>
              <w:widowControl w:val="0"/>
              <w:kinsoku/>
              <w:wordWrap/>
              <w:overflowPunct/>
              <w:topLinePunct w:val="0"/>
              <w:autoSpaceDE/>
              <w:autoSpaceDN/>
              <w:bidi w:val="0"/>
              <w:spacing w:after="50" w:line="360" w:lineRule="auto"/>
              <w:ind w:right="-11"/>
              <w:jc w:val="center"/>
              <w:textAlignment w:val="auto"/>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纳税凭证和社保证明</w:t>
            </w:r>
          </w:p>
        </w:tc>
        <w:tc>
          <w:tcPr>
            <w:tcW w:w="1937" w:type="dxa"/>
            <w:vAlign w:val="center"/>
          </w:tcPr>
          <w:p w14:paraId="69AED5AA">
            <w:pPr>
              <w:keepNext w:val="0"/>
              <w:keepLines w:val="0"/>
              <w:pageBreakBefore w:val="0"/>
              <w:widowControl w:val="0"/>
              <w:kinsoku/>
              <w:wordWrap/>
              <w:overflowPunct/>
              <w:topLinePunct w:val="0"/>
              <w:autoSpaceDE/>
              <w:autoSpaceDN/>
              <w:bidi w:val="0"/>
              <w:spacing w:after="50" w:line="360" w:lineRule="auto"/>
              <w:ind w:right="-11"/>
              <w:jc w:val="center"/>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见招标文件</w:t>
            </w:r>
          </w:p>
        </w:tc>
        <w:tc>
          <w:tcPr>
            <w:tcW w:w="825" w:type="dxa"/>
            <w:vAlign w:val="center"/>
          </w:tcPr>
          <w:p w14:paraId="23C2C50A">
            <w:pPr>
              <w:keepNext w:val="0"/>
              <w:keepLines w:val="0"/>
              <w:pageBreakBefore w:val="0"/>
              <w:widowControl w:val="0"/>
              <w:kinsoku/>
              <w:wordWrap/>
              <w:overflowPunct/>
              <w:topLinePunct w:val="0"/>
              <w:autoSpaceDE/>
              <w:autoSpaceDN/>
              <w:bidi w:val="0"/>
              <w:adjustRightInd w:val="0"/>
              <w:snapToGrid w:val="0"/>
              <w:spacing w:line="360" w:lineRule="auto"/>
              <w:ind w:right="-11"/>
              <w:textAlignment w:val="auto"/>
              <w:rPr>
                <w:rFonts w:hint="eastAsia" w:ascii="宋体" w:hAnsi="宋体" w:eastAsia="宋体" w:cs="宋体"/>
                <w:color w:val="auto"/>
                <w:sz w:val="24"/>
                <w:highlight w:val="none"/>
              </w:rPr>
            </w:pPr>
          </w:p>
        </w:tc>
        <w:tc>
          <w:tcPr>
            <w:tcW w:w="2371" w:type="dxa"/>
            <w:vAlign w:val="center"/>
          </w:tcPr>
          <w:p w14:paraId="4BCC97C3">
            <w:pPr>
              <w:keepNext w:val="0"/>
              <w:keepLines w:val="0"/>
              <w:pageBreakBefore w:val="0"/>
              <w:widowControl w:val="0"/>
              <w:kinsoku/>
              <w:wordWrap/>
              <w:overflowPunct/>
              <w:topLinePunct w:val="0"/>
              <w:autoSpaceDE/>
              <w:autoSpaceDN/>
              <w:bidi w:val="0"/>
              <w:adjustRightInd w:val="0"/>
              <w:snapToGrid w:val="0"/>
              <w:spacing w:line="360" w:lineRule="auto"/>
              <w:ind w:right="-11"/>
              <w:jc w:val="center"/>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见投标文件</w:t>
            </w:r>
          </w:p>
        </w:tc>
      </w:tr>
      <w:tr w14:paraId="00A2D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jc w:val="center"/>
        </w:trPr>
        <w:tc>
          <w:tcPr>
            <w:tcW w:w="707" w:type="dxa"/>
            <w:vAlign w:val="center"/>
          </w:tcPr>
          <w:p w14:paraId="0A289BD1">
            <w:pPr>
              <w:keepNext w:val="0"/>
              <w:keepLines w:val="0"/>
              <w:pageBreakBefore w:val="0"/>
              <w:widowControl w:val="0"/>
              <w:kinsoku/>
              <w:wordWrap/>
              <w:overflowPunct/>
              <w:topLinePunct w:val="0"/>
              <w:autoSpaceDE/>
              <w:autoSpaceDN/>
              <w:bidi w:val="0"/>
              <w:adjustRightInd w:val="0"/>
              <w:snapToGrid w:val="0"/>
              <w:spacing w:line="360" w:lineRule="auto"/>
              <w:ind w:right="-11"/>
              <w:jc w:val="center"/>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w:t>
            </w:r>
          </w:p>
        </w:tc>
        <w:tc>
          <w:tcPr>
            <w:tcW w:w="2665" w:type="dxa"/>
            <w:vAlign w:val="center"/>
          </w:tcPr>
          <w:p w14:paraId="4FB7DA0B">
            <w:pPr>
              <w:keepNext w:val="0"/>
              <w:keepLines w:val="0"/>
              <w:pageBreakBefore w:val="0"/>
              <w:widowControl w:val="0"/>
              <w:kinsoku/>
              <w:wordWrap/>
              <w:overflowPunct/>
              <w:topLinePunct w:val="0"/>
              <w:autoSpaceDE/>
              <w:autoSpaceDN/>
              <w:bidi w:val="0"/>
              <w:spacing w:after="50" w:line="360" w:lineRule="auto"/>
              <w:ind w:right="-11"/>
              <w:jc w:val="center"/>
              <w:textAlignment w:val="auto"/>
              <w:rPr>
                <w:rFonts w:hint="eastAsia" w:ascii="宋体" w:hAnsi="宋体" w:eastAsia="宋体" w:cs="宋体"/>
                <w:color w:val="auto"/>
                <w:sz w:val="24"/>
                <w:highlight w:val="none"/>
              </w:rPr>
            </w:pPr>
            <w:r>
              <w:rPr>
                <w:rFonts w:hint="eastAsia" w:ascii="宋体" w:hAnsi="宋体" w:eastAsia="宋体" w:cs="宋体"/>
                <w:bCs/>
                <w:color w:val="auto"/>
                <w:sz w:val="24"/>
                <w:highlight w:val="none"/>
              </w:rPr>
              <w:t>财务审计报告</w:t>
            </w:r>
          </w:p>
        </w:tc>
        <w:tc>
          <w:tcPr>
            <w:tcW w:w="1937" w:type="dxa"/>
            <w:vAlign w:val="center"/>
          </w:tcPr>
          <w:p w14:paraId="2D45A1F3">
            <w:pPr>
              <w:keepNext w:val="0"/>
              <w:keepLines w:val="0"/>
              <w:pageBreakBefore w:val="0"/>
              <w:widowControl w:val="0"/>
              <w:kinsoku/>
              <w:wordWrap/>
              <w:overflowPunct/>
              <w:topLinePunct w:val="0"/>
              <w:autoSpaceDE/>
              <w:autoSpaceDN/>
              <w:bidi w:val="0"/>
              <w:spacing w:after="50" w:line="360" w:lineRule="auto"/>
              <w:ind w:right="-11"/>
              <w:jc w:val="center"/>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见招标文件</w:t>
            </w:r>
          </w:p>
        </w:tc>
        <w:tc>
          <w:tcPr>
            <w:tcW w:w="825" w:type="dxa"/>
            <w:vAlign w:val="center"/>
          </w:tcPr>
          <w:p w14:paraId="409BC458">
            <w:pPr>
              <w:keepNext w:val="0"/>
              <w:keepLines w:val="0"/>
              <w:pageBreakBefore w:val="0"/>
              <w:widowControl w:val="0"/>
              <w:kinsoku/>
              <w:wordWrap/>
              <w:overflowPunct/>
              <w:topLinePunct w:val="0"/>
              <w:autoSpaceDE/>
              <w:autoSpaceDN/>
              <w:bidi w:val="0"/>
              <w:adjustRightInd w:val="0"/>
              <w:snapToGrid w:val="0"/>
              <w:spacing w:line="360" w:lineRule="auto"/>
              <w:ind w:right="-11"/>
              <w:textAlignment w:val="auto"/>
              <w:rPr>
                <w:rFonts w:hint="eastAsia" w:ascii="宋体" w:hAnsi="宋体" w:eastAsia="宋体" w:cs="宋体"/>
                <w:color w:val="auto"/>
                <w:sz w:val="24"/>
                <w:highlight w:val="none"/>
              </w:rPr>
            </w:pPr>
          </w:p>
        </w:tc>
        <w:tc>
          <w:tcPr>
            <w:tcW w:w="2371" w:type="dxa"/>
            <w:vAlign w:val="center"/>
          </w:tcPr>
          <w:p w14:paraId="78D7BC2A">
            <w:pPr>
              <w:keepNext w:val="0"/>
              <w:keepLines w:val="0"/>
              <w:pageBreakBefore w:val="0"/>
              <w:widowControl w:val="0"/>
              <w:kinsoku/>
              <w:wordWrap/>
              <w:overflowPunct/>
              <w:topLinePunct w:val="0"/>
              <w:autoSpaceDE/>
              <w:autoSpaceDN/>
              <w:bidi w:val="0"/>
              <w:adjustRightInd w:val="0"/>
              <w:snapToGrid w:val="0"/>
              <w:spacing w:line="360" w:lineRule="auto"/>
              <w:ind w:right="-11"/>
              <w:jc w:val="center"/>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见投标文件</w:t>
            </w:r>
          </w:p>
        </w:tc>
      </w:tr>
      <w:tr w14:paraId="5405A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07" w:type="dxa"/>
            <w:vAlign w:val="center"/>
          </w:tcPr>
          <w:p w14:paraId="275F1C16">
            <w:pPr>
              <w:keepNext w:val="0"/>
              <w:keepLines w:val="0"/>
              <w:pageBreakBefore w:val="0"/>
              <w:widowControl w:val="0"/>
              <w:kinsoku/>
              <w:wordWrap/>
              <w:overflowPunct/>
              <w:topLinePunct w:val="0"/>
              <w:autoSpaceDE/>
              <w:autoSpaceDN/>
              <w:bidi w:val="0"/>
              <w:adjustRightInd w:val="0"/>
              <w:snapToGrid w:val="0"/>
              <w:spacing w:line="360" w:lineRule="auto"/>
              <w:ind w:right="-11"/>
              <w:jc w:val="center"/>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5</w:t>
            </w:r>
          </w:p>
        </w:tc>
        <w:tc>
          <w:tcPr>
            <w:tcW w:w="2665" w:type="dxa"/>
            <w:vAlign w:val="center"/>
          </w:tcPr>
          <w:p w14:paraId="63DD482D">
            <w:pPr>
              <w:keepNext w:val="0"/>
              <w:keepLines w:val="0"/>
              <w:pageBreakBefore w:val="0"/>
              <w:widowControl w:val="0"/>
              <w:kinsoku/>
              <w:wordWrap/>
              <w:overflowPunct/>
              <w:topLinePunct w:val="0"/>
              <w:autoSpaceDE/>
              <w:autoSpaceDN/>
              <w:bidi w:val="0"/>
              <w:spacing w:after="50" w:line="360" w:lineRule="auto"/>
              <w:ind w:right="-11"/>
              <w:jc w:val="center"/>
              <w:textAlignment w:val="auto"/>
              <w:rPr>
                <w:rFonts w:hint="eastAsia" w:ascii="宋体" w:hAnsi="宋体" w:eastAsia="宋体" w:cs="宋体"/>
                <w:color w:val="auto"/>
                <w:sz w:val="24"/>
                <w:highlight w:val="none"/>
              </w:rPr>
            </w:pPr>
            <w:r>
              <w:rPr>
                <w:rFonts w:hint="eastAsia" w:ascii="宋体" w:hAnsi="宋体" w:eastAsia="宋体" w:cs="宋体"/>
                <w:bCs/>
                <w:color w:val="auto"/>
                <w:sz w:val="24"/>
                <w:highlight w:val="none"/>
              </w:rPr>
              <w:t>“信用中国”“中国政府采购网”查询</w:t>
            </w:r>
          </w:p>
        </w:tc>
        <w:tc>
          <w:tcPr>
            <w:tcW w:w="1937" w:type="dxa"/>
            <w:vAlign w:val="center"/>
          </w:tcPr>
          <w:p w14:paraId="580EABA1">
            <w:pPr>
              <w:keepNext w:val="0"/>
              <w:keepLines w:val="0"/>
              <w:pageBreakBefore w:val="0"/>
              <w:widowControl w:val="0"/>
              <w:kinsoku/>
              <w:wordWrap/>
              <w:overflowPunct/>
              <w:topLinePunct w:val="0"/>
              <w:autoSpaceDE/>
              <w:autoSpaceDN/>
              <w:bidi w:val="0"/>
              <w:spacing w:after="50" w:line="360" w:lineRule="auto"/>
              <w:ind w:right="-11"/>
              <w:jc w:val="center"/>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见招标文件</w:t>
            </w:r>
          </w:p>
        </w:tc>
        <w:tc>
          <w:tcPr>
            <w:tcW w:w="825" w:type="dxa"/>
            <w:vAlign w:val="center"/>
          </w:tcPr>
          <w:p w14:paraId="318815A5">
            <w:pPr>
              <w:keepNext w:val="0"/>
              <w:keepLines w:val="0"/>
              <w:pageBreakBefore w:val="0"/>
              <w:widowControl w:val="0"/>
              <w:kinsoku/>
              <w:wordWrap/>
              <w:overflowPunct/>
              <w:topLinePunct w:val="0"/>
              <w:autoSpaceDE/>
              <w:autoSpaceDN/>
              <w:bidi w:val="0"/>
              <w:adjustRightInd w:val="0"/>
              <w:snapToGrid w:val="0"/>
              <w:spacing w:line="360" w:lineRule="auto"/>
              <w:ind w:right="-11"/>
              <w:textAlignment w:val="auto"/>
              <w:rPr>
                <w:rFonts w:hint="eastAsia" w:ascii="宋体" w:hAnsi="宋体" w:eastAsia="宋体" w:cs="宋体"/>
                <w:color w:val="auto"/>
                <w:sz w:val="24"/>
                <w:highlight w:val="none"/>
              </w:rPr>
            </w:pPr>
          </w:p>
        </w:tc>
        <w:tc>
          <w:tcPr>
            <w:tcW w:w="2371" w:type="dxa"/>
            <w:vAlign w:val="center"/>
          </w:tcPr>
          <w:p w14:paraId="59157B67">
            <w:pPr>
              <w:keepNext w:val="0"/>
              <w:keepLines w:val="0"/>
              <w:pageBreakBefore w:val="0"/>
              <w:widowControl w:val="0"/>
              <w:kinsoku/>
              <w:wordWrap/>
              <w:overflowPunct/>
              <w:topLinePunct w:val="0"/>
              <w:autoSpaceDE/>
              <w:autoSpaceDN/>
              <w:bidi w:val="0"/>
              <w:adjustRightInd w:val="0"/>
              <w:snapToGrid w:val="0"/>
              <w:spacing w:line="360" w:lineRule="auto"/>
              <w:ind w:right="-11"/>
              <w:jc w:val="center"/>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见投标文件</w:t>
            </w:r>
          </w:p>
        </w:tc>
      </w:tr>
      <w:tr w14:paraId="672B9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jc w:val="center"/>
        </w:trPr>
        <w:tc>
          <w:tcPr>
            <w:tcW w:w="707" w:type="dxa"/>
            <w:vAlign w:val="center"/>
          </w:tcPr>
          <w:p w14:paraId="30F126CF">
            <w:pPr>
              <w:keepNext w:val="0"/>
              <w:keepLines w:val="0"/>
              <w:pageBreakBefore w:val="0"/>
              <w:widowControl w:val="0"/>
              <w:kinsoku/>
              <w:wordWrap/>
              <w:overflowPunct/>
              <w:topLinePunct w:val="0"/>
              <w:autoSpaceDE/>
              <w:autoSpaceDN/>
              <w:bidi w:val="0"/>
              <w:adjustRightInd w:val="0"/>
              <w:snapToGrid w:val="0"/>
              <w:spacing w:line="360" w:lineRule="auto"/>
              <w:ind w:right="-11"/>
              <w:jc w:val="center"/>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6</w:t>
            </w:r>
          </w:p>
        </w:tc>
        <w:tc>
          <w:tcPr>
            <w:tcW w:w="2665" w:type="dxa"/>
            <w:vAlign w:val="center"/>
          </w:tcPr>
          <w:p w14:paraId="11FF28FB">
            <w:pPr>
              <w:keepNext w:val="0"/>
              <w:keepLines w:val="0"/>
              <w:pageBreakBefore w:val="0"/>
              <w:widowControl w:val="0"/>
              <w:kinsoku/>
              <w:wordWrap/>
              <w:overflowPunct/>
              <w:topLinePunct w:val="0"/>
              <w:autoSpaceDE/>
              <w:autoSpaceDN/>
              <w:bidi w:val="0"/>
              <w:spacing w:after="50" w:line="360" w:lineRule="auto"/>
              <w:ind w:right="-11"/>
              <w:jc w:val="center"/>
              <w:textAlignment w:val="auto"/>
              <w:rPr>
                <w:rFonts w:hint="eastAsia" w:ascii="宋体" w:hAnsi="宋体" w:eastAsia="宋体" w:cs="宋体"/>
                <w:color w:val="auto"/>
                <w:sz w:val="24"/>
                <w:highlight w:val="none"/>
              </w:rPr>
            </w:pPr>
            <w:r>
              <w:rPr>
                <w:rFonts w:hint="eastAsia" w:ascii="宋体" w:hAnsi="宋体" w:eastAsia="宋体" w:cs="宋体"/>
                <w:bCs/>
                <w:color w:val="auto"/>
                <w:sz w:val="24"/>
                <w:highlight w:val="none"/>
              </w:rPr>
              <w:t>投标文件签字盖章格式</w:t>
            </w:r>
          </w:p>
        </w:tc>
        <w:tc>
          <w:tcPr>
            <w:tcW w:w="1937" w:type="dxa"/>
            <w:vAlign w:val="center"/>
          </w:tcPr>
          <w:p w14:paraId="59953F7C">
            <w:pPr>
              <w:keepNext w:val="0"/>
              <w:keepLines w:val="0"/>
              <w:pageBreakBefore w:val="0"/>
              <w:widowControl w:val="0"/>
              <w:kinsoku/>
              <w:wordWrap/>
              <w:overflowPunct/>
              <w:topLinePunct w:val="0"/>
              <w:autoSpaceDE/>
              <w:autoSpaceDN/>
              <w:bidi w:val="0"/>
              <w:spacing w:after="50" w:line="360" w:lineRule="auto"/>
              <w:ind w:right="-11"/>
              <w:jc w:val="center"/>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见招标文件</w:t>
            </w:r>
          </w:p>
        </w:tc>
        <w:tc>
          <w:tcPr>
            <w:tcW w:w="825" w:type="dxa"/>
            <w:vAlign w:val="center"/>
          </w:tcPr>
          <w:p w14:paraId="6C3ABC1C">
            <w:pPr>
              <w:keepNext w:val="0"/>
              <w:keepLines w:val="0"/>
              <w:pageBreakBefore w:val="0"/>
              <w:widowControl w:val="0"/>
              <w:kinsoku/>
              <w:wordWrap/>
              <w:overflowPunct/>
              <w:topLinePunct w:val="0"/>
              <w:autoSpaceDE/>
              <w:autoSpaceDN/>
              <w:bidi w:val="0"/>
              <w:adjustRightInd w:val="0"/>
              <w:snapToGrid w:val="0"/>
              <w:spacing w:line="360" w:lineRule="auto"/>
              <w:ind w:right="-11"/>
              <w:textAlignment w:val="auto"/>
              <w:rPr>
                <w:rFonts w:hint="eastAsia" w:ascii="宋体" w:hAnsi="宋体" w:eastAsia="宋体" w:cs="宋体"/>
                <w:color w:val="auto"/>
                <w:sz w:val="24"/>
                <w:highlight w:val="none"/>
              </w:rPr>
            </w:pPr>
          </w:p>
        </w:tc>
        <w:tc>
          <w:tcPr>
            <w:tcW w:w="2371" w:type="dxa"/>
            <w:vAlign w:val="center"/>
          </w:tcPr>
          <w:p w14:paraId="41721789">
            <w:pPr>
              <w:keepNext w:val="0"/>
              <w:keepLines w:val="0"/>
              <w:pageBreakBefore w:val="0"/>
              <w:widowControl w:val="0"/>
              <w:kinsoku/>
              <w:wordWrap/>
              <w:overflowPunct/>
              <w:topLinePunct w:val="0"/>
              <w:autoSpaceDE/>
              <w:autoSpaceDN/>
              <w:bidi w:val="0"/>
              <w:adjustRightInd w:val="0"/>
              <w:snapToGrid w:val="0"/>
              <w:spacing w:line="360" w:lineRule="auto"/>
              <w:ind w:right="-11"/>
              <w:jc w:val="center"/>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见投标文件</w:t>
            </w:r>
          </w:p>
        </w:tc>
      </w:tr>
      <w:tr w14:paraId="56AE3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jc w:val="center"/>
        </w:trPr>
        <w:tc>
          <w:tcPr>
            <w:tcW w:w="707" w:type="dxa"/>
            <w:vAlign w:val="center"/>
          </w:tcPr>
          <w:p w14:paraId="7D4286F4">
            <w:pPr>
              <w:keepNext w:val="0"/>
              <w:keepLines w:val="0"/>
              <w:pageBreakBefore w:val="0"/>
              <w:widowControl w:val="0"/>
              <w:kinsoku/>
              <w:wordWrap/>
              <w:overflowPunct/>
              <w:topLinePunct w:val="0"/>
              <w:autoSpaceDE/>
              <w:autoSpaceDN/>
              <w:bidi w:val="0"/>
              <w:adjustRightInd w:val="0"/>
              <w:snapToGrid w:val="0"/>
              <w:spacing w:line="360" w:lineRule="auto"/>
              <w:ind w:right="-11"/>
              <w:jc w:val="center"/>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7</w:t>
            </w:r>
          </w:p>
        </w:tc>
        <w:tc>
          <w:tcPr>
            <w:tcW w:w="2665" w:type="dxa"/>
            <w:vAlign w:val="center"/>
          </w:tcPr>
          <w:p w14:paraId="26AE1A87">
            <w:pPr>
              <w:keepNext w:val="0"/>
              <w:keepLines w:val="0"/>
              <w:pageBreakBefore w:val="0"/>
              <w:widowControl w:val="0"/>
              <w:kinsoku/>
              <w:wordWrap/>
              <w:overflowPunct/>
              <w:topLinePunct w:val="0"/>
              <w:autoSpaceDE/>
              <w:autoSpaceDN/>
              <w:bidi w:val="0"/>
              <w:spacing w:after="50" w:line="360" w:lineRule="auto"/>
              <w:ind w:right="-11"/>
              <w:jc w:val="center"/>
              <w:textAlignment w:val="auto"/>
              <w:rPr>
                <w:rFonts w:hint="eastAsia" w:ascii="宋体" w:hAnsi="宋体" w:eastAsia="宋体" w:cs="宋体"/>
                <w:color w:val="auto"/>
                <w:sz w:val="24"/>
                <w:highlight w:val="none"/>
              </w:rPr>
            </w:pPr>
            <w:r>
              <w:rPr>
                <w:rFonts w:hint="eastAsia" w:ascii="宋体" w:hAnsi="宋体" w:eastAsia="宋体" w:cs="宋体"/>
                <w:bCs/>
                <w:color w:val="auto"/>
                <w:sz w:val="24"/>
                <w:highlight w:val="none"/>
              </w:rPr>
              <w:t>合格供应商的声明函和承诺书</w:t>
            </w:r>
          </w:p>
        </w:tc>
        <w:tc>
          <w:tcPr>
            <w:tcW w:w="1937" w:type="dxa"/>
            <w:vAlign w:val="center"/>
          </w:tcPr>
          <w:p w14:paraId="2702A469">
            <w:pPr>
              <w:keepNext w:val="0"/>
              <w:keepLines w:val="0"/>
              <w:pageBreakBefore w:val="0"/>
              <w:widowControl w:val="0"/>
              <w:kinsoku/>
              <w:wordWrap/>
              <w:overflowPunct/>
              <w:topLinePunct w:val="0"/>
              <w:autoSpaceDE/>
              <w:autoSpaceDN/>
              <w:bidi w:val="0"/>
              <w:spacing w:after="50" w:line="360" w:lineRule="auto"/>
              <w:ind w:right="-11"/>
              <w:jc w:val="center"/>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见招标文件</w:t>
            </w:r>
          </w:p>
        </w:tc>
        <w:tc>
          <w:tcPr>
            <w:tcW w:w="825" w:type="dxa"/>
            <w:vAlign w:val="center"/>
          </w:tcPr>
          <w:p w14:paraId="64073B76">
            <w:pPr>
              <w:keepNext w:val="0"/>
              <w:keepLines w:val="0"/>
              <w:pageBreakBefore w:val="0"/>
              <w:widowControl w:val="0"/>
              <w:kinsoku/>
              <w:wordWrap/>
              <w:overflowPunct/>
              <w:topLinePunct w:val="0"/>
              <w:autoSpaceDE/>
              <w:autoSpaceDN/>
              <w:bidi w:val="0"/>
              <w:adjustRightInd w:val="0"/>
              <w:snapToGrid w:val="0"/>
              <w:spacing w:line="360" w:lineRule="auto"/>
              <w:ind w:right="-11"/>
              <w:textAlignment w:val="auto"/>
              <w:rPr>
                <w:rFonts w:hint="eastAsia" w:ascii="宋体" w:hAnsi="宋体" w:eastAsia="宋体" w:cs="宋体"/>
                <w:color w:val="auto"/>
                <w:sz w:val="24"/>
                <w:highlight w:val="none"/>
              </w:rPr>
            </w:pPr>
          </w:p>
        </w:tc>
        <w:tc>
          <w:tcPr>
            <w:tcW w:w="2371" w:type="dxa"/>
            <w:vAlign w:val="center"/>
          </w:tcPr>
          <w:p w14:paraId="4C073D7D">
            <w:pPr>
              <w:keepNext w:val="0"/>
              <w:keepLines w:val="0"/>
              <w:pageBreakBefore w:val="0"/>
              <w:widowControl w:val="0"/>
              <w:kinsoku/>
              <w:wordWrap/>
              <w:overflowPunct/>
              <w:topLinePunct w:val="0"/>
              <w:autoSpaceDE/>
              <w:autoSpaceDN/>
              <w:bidi w:val="0"/>
              <w:adjustRightInd w:val="0"/>
              <w:snapToGrid w:val="0"/>
              <w:spacing w:line="360" w:lineRule="auto"/>
              <w:ind w:right="-11"/>
              <w:jc w:val="center"/>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见投标文件</w:t>
            </w:r>
          </w:p>
        </w:tc>
      </w:tr>
      <w:tr w14:paraId="7D705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707" w:type="dxa"/>
            <w:vAlign w:val="center"/>
          </w:tcPr>
          <w:p w14:paraId="781364ED">
            <w:pPr>
              <w:keepNext w:val="0"/>
              <w:keepLines w:val="0"/>
              <w:pageBreakBefore w:val="0"/>
              <w:widowControl w:val="0"/>
              <w:kinsoku/>
              <w:wordWrap/>
              <w:overflowPunct/>
              <w:topLinePunct w:val="0"/>
              <w:autoSpaceDE/>
              <w:autoSpaceDN/>
              <w:bidi w:val="0"/>
              <w:adjustRightInd w:val="0"/>
              <w:snapToGrid w:val="0"/>
              <w:spacing w:line="360" w:lineRule="auto"/>
              <w:ind w:right="-11"/>
              <w:jc w:val="center"/>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8</w:t>
            </w:r>
          </w:p>
        </w:tc>
        <w:tc>
          <w:tcPr>
            <w:tcW w:w="2665" w:type="dxa"/>
            <w:vAlign w:val="center"/>
          </w:tcPr>
          <w:p w14:paraId="7601DEE9">
            <w:pPr>
              <w:keepNext w:val="0"/>
              <w:keepLines w:val="0"/>
              <w:pageBreakBefore w:val="0"/>
              <w:widowControl w:val="0"/>
              <w:kinsoku/>
              <w:wordWrap/>
              <w:overflowPunct/>
              <w:topLinePunct w:val="0"/>
              <w:autoSpaceDE/>
              <w:autoSpaceDN/>
              <w:bidi w:val="0"/>
              <w:spacing w:after="50" w:line="360" w:lineRule="auto"/>
              <w:ind w:right="-11"/>
              <w:jc w:val="center"/>
              <w:textAlignment w:val="auto"/>
              <w:rPr>
                <w:rFonts w:hint="eastAsia" w:ascii="宋体" w:hAnsi="宋体" w:eastAsia="宋体" w:cs="宋体"/>
                <w:color w:val="auto"/>
                <w:sz w:val="24"/>
                <w:highlight w:val="none"/>
              </w:rPr>
            </w:pPr>
            <w:r>
              <w:rPr>
                <w:rFonts w:hint="eastAsia" w:ascii="宋体" w:hAnsi="宋体" w:eastAsia="宋体" w:cs="宋体"/>
                <w:bCs/>
                <w:color w:val="auto"/>
                <w:sz w:val="24"/>
                <w:highlight w:val="none"/>
              </w:rPr>
              <w:t>服务期</w:t>
            </w:r>
          </w:p>
        </w:tc>
        <w:tc>
          <w:tcPr>
            <w:tcW w:w="1937" w:type="dxa"/>
            <w:vAlign w:val="center"/>
          </w:tcPr>
          <w:p w14:paraId="366C14A2">
            <w:pPr>
              <w:keepNext w:val="0"/>
              <w:keepLines w:val="0"/>
              <w:pageBreakBefore w:val="0"/>
              <w:widowControl w:val="0"/>
              <w:kinsoku/>
              <w:wordWrap/>
              <w:overflowPunct/>
              <w:topLinePunct w:val="0"/>
              <w:autoSpaceDE/>
              <w:autoSpaceDN/>
              <w:bidi w:val="0"/>
              <w:spacing w:after="50" w:line="360" w:lineRule="auto"/>
              <w:ind w:right="-11"/>
              <w:jc w:val="center"/>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见招标文件</w:t>
            </w:r>
          </w:p>
        </w:tc>
        <w:tc>
          <w:tcPr>
            <w:tcW w:w="825" w:type="dxa"/>
            <w:vAlign w:val="center"/>
          </w:tcPr>
          <w:p w14:paraId="64FE73FE">
            <w:pPr>
              <w:keepNext w:val="0"/>
              <w:keepLines w:val="0"/>
              <w:pageBreakBefore w:val="0"/>
              <w:widowControl w:val="0"/>
              <w:kinsoku/>
              <w:wordWrap/>
              <w:overflowPunct/>
              <w:topLinePunct w:val="0"/>
              <w:autoSpaceDE/>
              <w:autoSpaceDN/>
              <w:bidi w:val="0"/>
              <w:adjustRightInd w:val="0"/>
              <w:snapToGrid w:val="0"/>
              <w:spacing w:line="360" w:lineRule="auto"/>
              <w:ind w:right="-11"/>
              <w:textAlignment w:val="auto"/>
              <w:rPr>
                <w:rFonts w:hint="eastAsia" w:ascii="宋体" w:hAnsi="宋体" w:eastAsia="宋体" w:cs="宋体"/>
                <w:color w:val="auto"/>
                <w:sz w:val="24"/>
                <w:highlight w:val="none"/>
              </w:rPr>
            </w:pPr>
          </w:p>
        </w:tc>
        <w:tc>
          <w:tcPr>
            <w:tcW w:w="2371" w:type="dxa"/>
            <w:vAlign w:val="center"/>
          </w:tcPr>
          <w:p w14:paraId="4F6E1D5B">
            <w:pPr>
              <w:keepNext w:val="0"/>
              <w:keepLines w:val="0"/>
              <w:pageBreakBefore w:val="0"/>
              <w:widowControl w:val="0"/>
              <w:kinsoku/>
              <w:wordWrap/>
              <w:overflowPunct/>
              <w:topLinePunct w:val="0"/>
              <w:autoSpaceDE/>
              <w:autoSpaceDN/>
              <w:bidi w:val="0"/>
              <w:adjustRightInd w:val="0"/>
              <w:snapToGrid w:val="0"/>
              <w:spacing w:line="360" w:lineRule="auto"/>
              <w:ind w:right="-11"/>
              <w:jc w:val="center"/>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见投标文件</w:t>
            </w:r>
          </w:p>
        </w:tc>
      </w:tr>
      <w:tr w14:paraId="2DE78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jc w:val="center"/>
        </w:trPr>
        <w:tc>
          <w:tcPr>
            <w:tcW w:w="707" w:type="dxa"/>
            <w:vAlign w:val="center"/>
          </w:tcPr>
          <w:p w14:paraId="20B92ED3">
            <w:pPr>
              <w:keepNext w:val="0"/>
              <w:keepLines w:val="0"/>
              <w:pageBreakBefore w:val="0"/>
              <w:widowControl w:val="0"/>
              <w:kinsoku/>
              <w:wordWrap/>
              <w:overflowPunct/>
              <w:topLinePunct w:val="0"/>
              <w:autoSpaceDE/>
              <w:autoSpaceDN/>
              <w:bidi w:val="0"/>
              <w:adjustRightInd w:val="0"/>
              <w:snapToGrid w:val="0"/>
              <w:spacing w:line="360" w:lineRule="auto"/>
              <w:ind w:right="-11"/>
              <w:jc w:val="center"/>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9</w:t>
            </w:r>
          </w:p>
        </w:tc>
        <w:tc>
          <w:tcPr>
            <w:tcW w:w="2665" w:type="dxa"/>
            <w:vAlign w:val="center"/>
          </w:tcPr>
          <w:p w14:paraId="60FE5769">
            <w:pPr>
              <w:keepNext w:val="0"/>
              <w:keepLines w:val="0"/>
              <w:pageBreakBefore w:val="0"/>
              <w:widowControl w:val="0"/>
              <w:kinsoku/>
              <w:wordWrap/>
              <w:overflowPunct/>
              <w:topLinePunct w:val="0"/>
              <w:autoSpaceDE/>
              <w:autoSpaceDN/>
              <w:bidi w:val="0"/>
              <w:spacing w:after="50" w:line="360" w:lineRule="auto"/>
              <w:ind w:right="-11"/>
              <w:jc w:val="center"/>
              <w:textAlignment w:val="auto"/>
              <w:rPr>
                <w:rFonts w:hint="eastAsia" w:ascii="宋体" w:hAnsi="宋体" w:eastAsia="宋体" w:cs="宋体"/>
                <w:color w:val="auto"/>
                <w:sz w:val="24"/>
                <w:highlight w:val="none"/>
              </w:rPr>
            </w:pPr>
            <w:r>
              <w:rPr>
                <w:rFonts w:hint="eastAsia" w:ascii="宋体" w:hAnsi="宋体" w:eastAsia="宋体" w:cs="宋体"/>
                <w:bCs/>
                <w:color w:val="auto"/>
                <w:sz w:val="24"/>
                <w:highlight w:val="none"/>
              </w:rPr>
              <w:t>投标有效期</w:t>
            </w:r>
          </w:p>
        </w:tc>
        <w:tc>
          <w:tcPr>
            <w:tcW w:w="1937" w:type="dxa"/>
            <w:vAlign w:val="center"/>
          </w:tcPr>
          <w:p w14:paraId="10679A21">
            <w:pPr>
              <w:keepNext w:val="0"/>
              <w:keepLines w:val="0"/>
              <w:pageBreakBefore w:val="0"/>
              <w:widowControl w:val="0"/>
              <w:kinsoku/>
              <w:wordWrap/>
              <w:overflowPunct/>
              <w:topLinePunct w:val="0"/>
              <w:autoSpaceDE/>
              <w:autoSpaceDN/>
              <w:bidi w:val="0"/>
              <w:spacing w:after="50" w:line="360" w:lineRule="auto"/>
              <w:ind w:right="-11"/>
              <w:jc w:val="center"/>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见招标文件</w:t>
            </w:r>
          </w:p>
        </w:tc>
        <w:tc>
          <w:tcPr>
            <w:tcW w:w="825" w:type="dxa"/>
            <w:vAlign w:val="center"/>
          </w:tcPr>
          <w:p w14:paraId="73A092A1">
            <w:pPr>
              <w:keepNext w:val="0"/>
              <w:keepLines w:val="0"/>
              <w:pageBreakBefore w:val="0"/>
              <w:widowControl w:val="0"/>
              <w:kinsoku/>
              <w:wordWrap/>
              <w:overflowPunct/>
              <w:topLinePunct w:val="0"/>
              <w:autoSpaceDE/>
              <w:autoSpaceDN/>
              <w:bidi w:val="0"/>
              <w:adjustRightInd w:val="0"/>
              <w:snapToGrid w:val="0"/>
              <w:spacing w:line="360" w:lineRule="auto"/>
              <w:ind w:right="-11"/>
              <w:textAlignment w:val="auto"/>
              <w:rPr>
                <w:rFonts w:hint="eastAsia" w:ascii="宋体" w:hAnsi="宋体" w:eastAsia="宋体" w:cs="宋体"/>
                <w:color w:val="auto"/>
                <w:sz w:val="24"/>
                <w:highlight w:val="none"/>
              </w:rPr>
            </w:pPr>
          </w:p>
        </w:tc>
        <w:tc>
          <w:tcPr>
            <w:tcW w:w="2371" w:type="dxa"/>
            <w:vAlign w:val="center"/>
          </w:tcPr>
          <w:p w14:paraId="0C673885">
            <w:pPr>
              <w:keepNext w:val="0"/>
              <w:keepLines w:val="0"/>
              <w:pageBreakBefore w:val="0"/>
              <w:widowControl w:val="0"/>
              <w:kinsoku/>
              <w:wordWrap/>
              <w:overflowPunct/>
              <w:topLinePunct w:val="0"/>
              <w:autoSpaceDE/>
              <w:autoSpaceDN/>
              <w:bidi w:val="0"/>
              <w:adjustRightInd w:val="0"/>
              <w:snapToGrid w:val="0"/>
              <w:spacing w:line="360" w:lineRule="auto"/>
              <w:ind w:right="-11"/>
              <w:jc w:val="center"/>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见投标文件</w:t>
            </w:r>
          </w:p>
        </w:tc>
      </w:tr>
      <w:tr w14:paraId="703DA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jc w:val="center"/>
        </w:trPr>
        <w:tc>
          <w:tcPr>
            <w:tcW w:w="707" w:type="dxa"/>
            <w:vAlign w:val="center"/>
          </w:tcPr>
          <w:p w14:paraId="5B5E7289">
            <w:pPr>
              <w:keepNext w:val="0"/>
              <w:keepLines w:val="0"/>
              <w:pageBreakBefore w:val="0"/>
              <w:widowControl w:val="0"/>
              <w:kinsoku/>
              <w:wordWrap/>
              <w:overflowPunct/>
              <w:topLinePunct w:val="0"/>
              <w:autoSpaceDE/>
              <w:autoSpaceDN/>
              <w:bidi w:val="0"/>
              <w:adjustRightInd w:val="0"/>
              <w:snapToGrid w:val="0"/>
              <w:spacing w:line="360" w:lineRule="auto"/>
              <w:ind w:right="-11"/>
              <w:jc w:val="center"/>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10</w:t>
            </w:r>
          </w:p>
        </w:tc>
        <w:tc>
          <w:tcPr>
            <w:tcW w:w="2665" w:type="dxa"/>
            <w:vAlign w:val="center"/>
          </w:tcPr>
          <w:p w14:paraId="6AE24CF0">
            <w:pPr>
              <w:keepNext w:val="0"/>
              <w:keepLines w:val="0"/>
              <w:pageBreakBefore w:val="0"/>
              <w:widowControl w:val="0"/>
              <w:kinsoku/>
              <w:wordWrap/>
              <w:overflowPunct/>
              <w:topLinePunct w:val="0"/>
              <w:autoSpaceDE/>
              <w:autoSpaceDN/>
              <w:bidi w:val="0"/>
              <w:spacing w:after="50" w:line="360" w:lineRule="auto"/>
              <w:ind w:right="-11"/>
              <w:jc w:val="center"/>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服务技术要求</w:t>
            </w:r>
          </w:p>
        </w:tc>
        <w:tc>
          <w:tcPr>
            <w:tcW w:w="1937" w:type="dxa"/>
            <w:vAlign w:val="center"/>
          </w:tcPr>
          <w:p w14:paraId="5F005E1D">
            <w:pPr>
              <w:keepNext w:val="0"/>
              <w:keepLines w:val="0"/>
              <w:pageBreakBefore w:val="0"/>
              <w:widowControl w:val="0"/>
              <w:kinsoku/>
              <w:wordWrap/>
              <w:overflowPunct/>
              <w:topLinePunct w:val="0"/>
              <w:autoSpaceDE/>
              <w:autoSpaceDN/>
              <w:bidi w:val="0"/>
              <w:spacing w:after="50" w:line="360" w:lineRule="auto"/>
              <w:ind w:right="-11"/>
              <w:jc w:val="center"/>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见招标文件</w:t>
            </w:r>
          </w:p>
        </w:tc>
        <w:tc>
          <w:tcPr>
            <w:tcW w:w="825" w:type="dxa"/>
            <w:vAlign w:val="center"/>
          </w:tcPr>
          <w:p w14:paraId="0A3948CF">
            <w:pPr>
              <w:keepNext w:val="0"/>
              <w:keepLines w:val="0"/>
              <w:pageBreakBefore w:val="0"/>
              <w:widowControl w:val="0"/>
              <w:kinsoku/>
              <w:wordWrap/>
              <w:overflowPunct/>
              <w:topLinePunct w:val="0"/>
              <w:autoSpaceDE/>
              <w:autoSpaceDN/>
              <w:bidi w:val="0"/>
              <w:adjustRightInd w:val="0"/>
              <w:snapToGrid w:val="0"/>
              <w:spacing w:line="360" w:lineRule="auto"/>
              <w:ind w:right="-11"/>
              <w:textAlignment w:val="auto"/>
              <w:rPr>
                <w:rFonts w:hint="eastAsia" w:ascii="宋体" w:hAnsi="宋体" w:eastAsia="宋体" w:cs="宋体"/>
                <w:color w:val="auto"/>
                <w:sz w:val="24"/>
                <w:highlight w:val="none"/>
              </w:rPr>
            </w:pPr>
          </w:p>
        </w:tc>
        <w:tc>
          <w:tcPr>
            <w:tcW w:w="2371" w:type="dxa"/>
            <w:vAlign w:val="center"/>
          </w:tcPr>
          <w:p w14:paraId="3F1D1376">
            <w:pPr>
              <w:keepNext w:val="0"/>
              <w:keepLines w:val="0"/>
              <w:pageBreakBefore w:val="0"/>
              <w:widowControl w:val="0"/>
              <w:kinsoku/>
              <w:wordWrap/>
              <w:overflowPunct/>
              <w:topLinePunct w:val="0"/>
              <w:autoSpaceDE/>
              <w:autoSpaceDN/>
              <w:bidi w:val="0"/>
              <w:adjustRightInd w:val="0"/>
              <w:snapToGrid w:val="0"/>
              <w:spacing w:line="360" w:lineRule="auto"/>
              <w:ind w:right="-11"/>
              <w:jc w:val="center"/>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见投标文件</w:t>
            </w:r>
          </w:p>
        </w:tc>
      </w:tr>
      <w:tr w14:paraId="2AF9F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jc w:val="center"/>
        </w:trPr>
        <w:tc>
          <w:tcPr>
            <w:tcW w:w="707" w:type="dxa"/>
            <w:vAlign w:val="center"/>
          </w:tcPr>
          <w:p w14:paraId="7CEDBF99">
            <w:pPr>
              <w:keepNext w:val="0"/>
              <w:keepLines w:val="0"/>
              <w:pageBreakBefore w:val="0"/>
              <w:widowControl w:val="0"/>
              <w:kinsoku/>
              <w:wordWrap/>
              <w:overflowPunct/>
              <w:topLinePunct w:val="0"/>
              <w:autoSpaceDE/>
              <w:autoSpaceDN/>
              <w:bidi w:val="0"/>
              <w:adjustRightInd w:val="0"/>
              <w:snapToGrid w:val="0"/>
              <w:spacing w:line="360" w:lineRule="auto"/>
              <w:ind w:right="-11"/>
              <w:jc w:val="center"/>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11</w:t>
            </w:r>
          </w:p>
        </w:tc>
        <w:tc>
          <w:tcPr>
            <w:tcW w:w="2665" w:type="dxa"/>
            <w:vAlign w:val="center"/>
          </w:tcPr>
          <w:p w14:paraId="1EA94008">
            <w:pPr>
              <w:keepNext w:val="0"/>
              <w:keepLines w:val="0"/>
              <w:pageBreakBefore w:val="0"/>
              <w:widowControl w:val="0"/>
              <w:kinsoku/>
              <w:wordWrap/>
              <w:overflowPunct/>
              <w:topLinePunct w:val="0"/>
              <w:autoSpaceDE/>
              <w:autoSpaceDN/>
              <w:bidi w:val="0"/>
              <w:spacing w:after="50" w:line="360" w:lineRule="auto"/>
              <w:ind w:right="-11"/>
              <w:jc w:val="center"/>
              <w:textAlignment w:val="auto"/>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其他实质性要求</w:t>
            </w:r>
          </w:p>
        </w:tc>
        <w:tc>
          <w:tcPr>
            <w:tcW w:w="1937" w:type="dxa"/>
            <w:vAlign w:val="center"/>
          </w:tcPr>
          <w:p w14:paraId="05A8E3AF">
            <w:pPr>
              <w:keepNext w:val="0"/>
              <w:keepLines w:val="0"/>
              <w:pageBreakBefore w:val="0"/>
              <w:widowControl w:val="0"/>
              <w:kinsoku/>
              <w:wordWrap/>
              <w:overflowPunct/>
              <w:topLinePunct w:val="0"/>
              <w:autoSpaceDE/>
              <w:autoSpaceDN/>
              <w:bidi w:val="0"/>
              <w:spacing w:after="50" w:line="360" w:lineRule="auto"/>
              <w:ind w:right="-11"/>
              <w:jc w:val="center"/>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见招标文件</w:t>
            </w:r>
          </w:p>
        </w:tc>
        <w:tc>
          <w:tcPr>
            <w:tcW w:w="825" w:type="dxa"/>
            <w:vAlign w:val="center"/>
          </w:tcPr>
          <w:p w14:paraId="769555B2">
            <w:pPr>
              <w:keepNext w:val="0"/>
              <w:keepLines w:val="0"/>
              <w:pageBreakBefore w:val="0"/>
              <w:widowControl w:val="0"/>
              <w:kinsoku/>
              <w:wordWrap/>
              <w:overflowPunct/>
              <w:topLinePunct w:val="0"/>
              <w:autoSpaceDE/>
              <w:autoSpaceDN/>
              <w:bidi w:val="0"/>
              <w:adjustRightInd w:val="0"/>
              <w:snapToGrid w:val="0"/>
              <w:spacing w:line="360" w:lineRule="auto"/>
              <w:ind w:right="-11"/>
              <w:textAlignment w:val="auto"/>
              <w:rPr>
                <w:rFonts w:hint="eastAsia" w:ascii="宋体" w:hAnsi="宋体" w:eastAsia="宋体" w:cs="宋体"/>
                <w:color w:val="auto"/>
                <w:sz w:val="24"/>
                <w:highlight w:val="none"/>
              </w:rPr>
            </w:pPr>
          </w:p>
        </w:tc>
        <w:tc>
          <w:tcPr>
            <w:tcW w:w="2371" w:type="dxa"/>
            <w:vAlign w:val="center"/>
          </w:tcPr>
          <w:p w14:paraId="4ABE8299">
            <w:pPr>
              <w:keepNext w:val="0"/>
              <w:keepLines w:val="0"/>
              <w:pageBreakBefore w:val="0"/>
              <w:widowControl w:val="0"/>
              <w:kinsoku/>
              <w:wordWrap/>
              <w:overflowPunct/>
              <w:topLinePunct w:val="0"/>
              <w:autoSpaceDE/>
              <w:autoSpaceDN/>
              <w:bidi w:val="0"/>
              <w:adjustRightInd w:val="0"/>
              <w:snapToGrid w:val="0"/>
              <w:spacing w:line="360" w:lineRule="auto"/>
              <w:ind w:right="-11"/>
              <w:jc w:val="center"/>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见投标文件</w:t>
            </w:r>
          </w:p>
        </w:tc>
      </w:tr>
      <w:tr w14:paraId="67EA0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jc w:val="center"/>
        </w:trPr>
        <w:tc>
          <w:tcPr>
            <w:tcW w:w="707" w:type="dxa"/>
            <w:vAlign w:val="center"/>
          </w:tcPr>
          <w:p w14:paraId="4AE529F1">
            <w:pPr>
              <w:keepNext w:val="0"/>
              <w:keepLines w:val="0"/>
              <w:pageBreakBefore w:val="0"/>
              <w:widowControl w:val="0"/>
              <w:kinsoku/>
              <w:wordWrap/>
              <w:overflowPunct/>
              <w:topLinePunct w:val="0"/>
              <w:autoSpaceDE/>
              <w:autoSpaceDN/>
              <w:bidi w:val="0"/>
              <w:adjustRightInd w:val="0"/>
              <w:snapToGrid w:val="0"/>
              <w:spacing w:line="360" w:lineRule="auto"/>
              <w:ind w:right="-11"/>
              <w:jc w:val="center"/>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12</w:t>
            </w:r>
          </w:p>
        </w:tc>
        <w:tc>
          <w:tcPr>
            <w:tcW w:w="2665" w:type="dxa"/>
            <w:vAlign w:val="center"/>
          </w:tcPr>
          <w:p w14:paraId="1C01FC61">
            <w:pPr>
              <w:keepNext w:val="0"/>
              <w:keepLines w:val="0"/>
              <w:pageBreakBefore w:val="0"/>
              <w:widowControl w:val="0"/>
              <w:kinsoku/>
              <w:wordWrap/>
              <w:overflowPunct/>
              <w:topLinePunct w:val="0"/>
              <w:autoSpaceDE/>
              <w:autoSpaceDN/>
              <w:bidi w:val="0"/>
              <w:spacing w:after="50" w:line="360" w:lineRule="auto"/>
              <w:ind w:right="-11"/>
              <w:jc w:val="center"/>
              <w:textAlignment w:val="auto"/>
              <w:rPr>
                <w:rFonts w:hint="eastAsia" w:ascii="宋体" w:hAnsi="宋体" w:eastAsia="宋体" w:cs="宋体"/>
                <w:bCs/>
                <w:color w:val="auto"/>
                <w:sz w:val="24"/>
                <w:highlight w:val="none"/>
              </w:rPr>
            </w:pPr>
          </w:p>
        </w:tc>
        <w:tc>
          <w:tcPr>
            <w:tcW w:w="1937" w:type="dxa"/>
            <w:vAlign w:val="center"/>
          </w:tcPr>
          <w:p w14:paraId="64EBC378">
            <w:pPr>
              <w:keepNext w:val="0"/>
              <w:keepLines w:val="0"/>
              <w:pageBreakBefore w:val="0"/>
              <w:widowControl w:val="0"/>
              <w:kinsoku/>
              <w:wordWrap/>
              <w:overflowPunct/>
              <w:topLinePunct w:val="0"/>
              <w:autoSpaceDE/>
              <w:autoSpaceDN/>
              <w:bidi w:val="0"/>
              <w:spacing w:after="50" w:line="360" w:lineRule="auto"/>
              <w:ind w:right="-11"/>
              <w:jc w:val="center"/>
              <w:textAlignment w:val="auto"/>
              <w:rPr>
                <w:rFonts w:hint="eastAsia" w:ascii="宋体" w:hAnsi="宋体" w:eastAsia="宋体" w:cs="宋体"/>
                <w:color w:val="auto"/>
                <w:sz w:val="24"/>
                <w:highlight w:val="none"/>
              </w:rPr>
            </w:pPr>
          </w:p>
        </w:tc>
        <w:tc>
          <w:tcPr>
            <w:tcW w:w="825" w:type="dxa"/>
            <w:vAlign w:val="center"/>
          </w:tcPr>
          <w:p w14:paraId="2CEF65F4">
            <w:pPr>
              <w:keepNext w:val="0"/>
              <w:keepLines w:val="0"/>
              <w:pageBreakBefore w:val="0"/>
              <w:widowControl w:val="0"/>
              <w:kinsoku/>
              <w:wordWrap/>
              <w:overflowPunct/>
              <w:topLinePunct w:val="0"/>
              <w:autoSpaceDE/>
              <w:autoSpaceDN/>
              <w:bidi w:val="0"/>
              <w:adjustRightInd w:val="0"/>
              <w:snapToGrid w:val="0"/>
              <w:spacing w:line="360" w:lineRule="auto"/>
              <w:ind w:right="-11"/>
              <w:textAlignment w:val="auto"/>
              <w:rPr>
                <w:rFonts w:hint="eastAsia" w:ascii="宋体" w:hAnsi="宋体" w:eastAsia="宋体" w:cs="宋体"/>
                <w:color w:val="auto"/>
                <w:sz w:val="24"/>
                <w:highlight w:val="none"/>
              </w:rPr>
            </w:pPr>
          </w:p>
        </w:tc>
        <w:tc>
          <w:tcPr>
            <w:tcW w:w="2371" w:type="dxa"/>
            <w:vAlign w:val="center"/>
          </w:tcPr>
          <w:p w14:paraId="6213C8B7">
            <w:pPr>
              <w:keepNext w:val="0"/>
              <w:keepLines w:val="0"/>
              <w:pageBreakBefore w:val="0"/>
              <w:widowControl w:val="0"/>
              <w:kinsoku/>
              <w:wordWrap/>
              <w:overflowPunct/>
              <w:topLinePunct w:val="0"/>
              <w:autoSpaceDE/>
              <w:autoSpaceDN/>
              <w:bidi w:val="0"/>
              <w:adjustRightInd w:val="0"/>
              <w:snapToGrid w:val="0"/>
              <w:spacing w:line="360" w:lineRule="auto"/>
              <w:ind w:right="-11"/>
              <w:jc w:val="center"/>
              <w:textAlignment w:val="auto"/>
              <w:rPr>
                <w:rFonts w:hint="eastAsia" w:ascii="宋体" w:hAnsi="宋体" w:eastAsia="宋体" w:cs="宋体"/>
                <w:color w:val="auto"/>
                <w:sz w:val="24"/>
                <w:highlight w:val="none"/>
              </w:rPr>
            </w:pPr>
          </w:p>
        </w:tc>
      </w:tr>
      <w:tr w14:paraId="48F63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jc w:val="center"/>
        </w:trPr>
        <w:tc>
          <w:tcPr>
            <w:tcW w:w="707" w:type="dxa"/>
            <w:vAlign w:val="center"/>
          </w:tcPr>
          <w:p w14:paraId="3133D13F">
            <w:pPr>
              <w:keepNext w:val="0"/>
              <w:keepLines w:val="0"/>
              <w:pageBreakBefore w:val="0"/>
              <w:widowControl w:val="0"/>
              <w:kinsoku/>
              <w:wordWrap/>
              <w:overflowPunct/>
              <w:topLinePunct w:val="0"/>
              <w:autoSpaceDE/>
              <w:autoSpaceDN/>
              <w:bidi w:val="0"/>
              <w:adjustRightInd w:val="0"/>
              <w:snapToGrid w:val="0"/>
              <w:spacing w:line="360" w:lineRule="auto"/>
              <w:ind w:right="-11"/>
              <w:jc w:val="center"/>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13</w:t>
            </w:r>
          </w:p>
        </w:tc>
        <w:tc>
          <w:tcPr>
            <w:tcW w:w="2665" w:type="dxa"/>
            <w:vAlign w:val="center"/>
          </w:tcPr>
          <w:p w14:paraId="2C5CA5B1">
            <w:pPr>
              <w:keepNext w:val="0"/>
              <w:keepLines w:val="0"/>
              <w:pageBreakBefore w:val="0"/>
              <w:widowControl w:val="0"/>
              <w:kinsoku/>
              <w:wordWrap/>
              <w:overflowPunct/>
              <w:topLinePunct w:val="0"/>
              <w:autoSpaceDE/>
              <w:autoSpaceDN/>
              <w:bidi w:val="0"/>
              <w:spacing w:after="50" w:line="360" w:lineRule="auto"/>
              <w:ind w:right="-11"/>
              <w:jc w:val="center"/>
              <w:textAlignment w:val="auto"/>
              <w:rPr>
                <w:rFonts w:hint="eastAsia" w:ascii="宋体" w:hAnsi="宋体" w:eastAsia="宋体" w:cs="宋体"/>
                <w:color w:val="auto"/>
                <w:sz w:val="24"/>
                <w:highlight w:val="none"/>
              </w:rPr>
            </w:pPr>
          </w:p>
        </w:tc>
        <w:tc>
          <w:tcPr>
            <w:tcW w:w="1937" w:type="dxa"/>
            <w:vAlign w:val="center"/>
          </w:tcPr>
          <w:p w14:paraId="03484BD1">
            <w:pPr>
              <w:keepNext w:val="0"/>
              <w:keepLines w:val="0"/>
              <w:pageBreakBefore w:val="0"/>
              <w:widowControl w:val="0"/>
              <w:kinsoku/>
              <w:wordWrap/>
              <w:overflowPunct/>
              <w:topLinePunct w:val="0"/>
              <w:autoSpaceDE/>
              <w:autoSpaceDN/>
              <w:bidi w:val="0"/>
              <w:spacing w:after="50" w:line="360" w:lineRule="auto"/>
              <w:ind w:right="-11"/>
              <w:jc w:val="center"/>
              <w:textAlignment w:val="auto"/>
              <w:rPr>
                <w:rFonts w:hint="eastAsia" w:ascii="宋体" w:hAnsi="宋体" w:eastAsia="宋体" w:cs="宋体"/>
                <w:color w:val="auto"/>
                <w:sz w:val="24"/>
                <w:highlight w:val="none"/>
              </w:rPr>
            </w:pPr>
          </w:p>
        </w:tc>
        <w:tc>
          <w:tcPr>
            <w:tcW w:w="825" w:type="dxa"/>
            <w:vAlign w:val="center"/>
          </w:tcPr>
          <w:p w14:paraId="5E45BD90">
            <w:pPr>
              <w:keepNext w:val="0"/>
              <w:keepLines w:val="0"/>
              <w:pageBreakBefore w:val="0"/>
              <w:widowControl w:val="0"/>
              <w:kinsoku/>
              <w:wordWrap/>
              <w:overflowPunct/>
              <w:topLinePunct w:val="0"/>
              <w:autoSpaceDE/>
              <w:autoSpaceDN/>
              <w:bidi w:val="0"/>
              <w:adjustRightInd w:val="0"/>
              <w:snapToGrid w:val="0"/>
              <w:spacing w:line="360" w:lineRule="auto"/>
              <w:ind w:right="-11"/>
              <w:textAlignment w:val="auto"/>
              <w:rPr>
                <w:rFonts w:hint="eastAsia" w:ascii="宋体" w:hAnsi="宋体" w:eastAsia="宋体" w:cs="宋体"/>
                <w:color w:val="auto"/>
                <w:sz w:val="24"/>
                <w:highlight w:val="none"/>
              </w:rPr>
            </w:pPr>
          </w:p>
        </w:tc>
        <w:tc>
          <w:tcPr>
            <w:tcW w:w="2371" w:type="dxa"/>
            <w:vAlign w:val="center"/>
          </w:tcPr>
          <w:p w14:paraId="6498704B">
            <w:pPr>
              <w:keepNext w:val="0"/>
              <w:keepLines w:val="0"/>
              <w:pageBreakBefore w:val="0"/>
              <w:widowControl w:val="0"/>
              <w:kinsoku/>
              <w:wordWrap/>
              <w:overflowPunct/>
              <w:topLinePunct w:val="0"/>
              <w:autoSpaceDE/>
              <w:autoSpaceDN/>
              <w:bidi w:val="0"/>
              <w:adjustRightInd w:val="0"/>
              <w:snapToGrid w:val="0"/>
              <w:spacing w:line="360" w:lineRule="auto"/>
              <w:ind w:right="-11"/>
              <w:jc w:val="center"/>
              <w:textAlignment w:val="auto"/>
              <w:rPr>
                <w:rFonts w:hint="eastAsia" w:ascii="宋体" w:hAnsi="宋体" w:eastAsia="宋体" w:cs="宋体"/>
                <w:color w:val="auto"/>
                <w:sz w:val="24"/>
                <w:highlight w:val="none"/>
              </w:rPr>
            </w:pPr>
          </w:p>
        </w:tc>
      </w:tr>
      <w:tr w14:paraId="2B43E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jc w:val="center"/>
        </w:trPr>
        <w:tc>
          <w:tcPr>
            <w:tcW w:w="707" w:type="dxa"/>
            <w:vAlign w:val="center"/>
          </w:tcPr>
          <w:p w14:paraId="12AA586E">
            <w:pPr>
              <w:keepNext w:val="0"/>
              <w:keepLines w:val="0"/>
              <w:pageBreakBefore w:val="0"/>
              <w:widowControl w:val="0"/>
              <w:kinsoku/>
              <w:wordWrap/>
              <w:overflowPunct/>
              <w:topLinePunct w:val="0"/>
              <w:autoSpaceDE/>
              <w:autoSpaceDN/>
              <w:bidi w:val="0"/>
              <w:adjustRightInd w:val="0"/>
              <w:snapToGrid w:val="0"/>
              <w:spacing w:line="360" w:lineRule="auto"/>
              <w:ind w:right="-11"/>
              <w:jc w:val="center"/>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14</w:t>
            </w:r>
          </w:p>
        </w:tc>
        <w:tc>
          <w:tcPr>
            <w:tcW w:w="2665" w:type="dxa"/>
            <w:vAlign w:val="center"/>
          </w:tcPr>
          <w:p w14:paraId="6B6C1772">
            <w:pPr>
              <w:keepNext w:val="0"/>
              <w:keepLines w:val="0"/>
              <w:pageBreakBefore w:val="0"/>
              <w:widowControl w:val="0"/>
              <w:kinsoku/>
              <w:wordWrap/>
              <w:overflowPunct/>
              <w:topLinePunct w:val="0"/>
              <w:autoSpaceDE/>
              <w:autoSpaceDN/>
              <w:bidi w:val="0"/>
              <w:spacing w:after="50" w:line="360" w:lineRule="auto"/>
              <w:ind w:right="-11"/>
              <w:jc w:val="center"/>
              <w:textAlignment w:val="auto"/>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结论</w:t>
            </w:r>
          </w:p>
        </w:tc>
        <w:tc>
          <w:tcPr>
            <w:tcW w:w="5133" w:type="dxa"/>
            <w:gridSpan w:val="3"/>
            <w:vAlign w:val="center"/>
          </w:tcPr>
          <w:p w14:paraId="007A64AF">
            <w:pPr>
              <w:keepNext w:val="0"/>
              <w:keepLines w:val="0"/>
              <w:pageBreakBefore w:val="0"/>
              <w:widowControl w:val="0"/>
              <w:kinsoku/>
              <w:wordWrap/>
              <w:overflowPunct/>
              <w:topLinePunct w:val="0"/>
              <w:autoSpaceDE/>
              <w:autoSpaceDN/>
              <w:bidi w:val="0"/>
              <w:adjustRightInd w:val="0"/>
              <w:snapToGrid w:val="0"/>
              <w:spacing w:line="360" w:lineRule="auto"/>
              <w:ind w:right="-11"/>
              <w:jc w:val="center"/>
              <w:textAlignment w:val="auto"/>
              <w:rPr>
                <w:rFonts w:hint="eastAsia" w:ascii="宋体" w:hAnsi="宋体" w:eastAsia="宋体" w:cs="宋体"/>
                <w:color w:val="auto"/>
                <w:sz w:val="24"/>
                <w:highlight w:val="none"/>
              </w:rPr>
            </w:pPr>
            <w:r>
              <w:rPr>
                <w:rFonts w:hint="eastAsia" w:ascii="宋体" w:hAnsi="宋体" w:eastAsia="宋体" w:cs="宋体"/>
                <w:bCs/>
                <w:color w:val="auto"/>
                <w:sz w:val="24"/>
                <w:highlight w:val="none"/>
              </w:rPr>
              <w:t>是否通过审查</w:t>
            </w:r>
          </w:p>
        </w:tc>
      </w:tr>
    </w:tbl>
    <w:p w14:paraId="69622D88">
      <w:pPr>
        <w:pStyle w:val="41"/>
        <w:rPr>
          <w:rFonts w:hint="eastAsia" w:ascii="宋体" w:hAnsi="宋体" w:eastAsia="宋体" w:cs="宋体"/>
          <w:color w:val="auto"/>
          <w:sz w:val="24"/>
          <w:szCs w:val="24"/>
          <w:highlight w:val="none"/>
        </w:rPr>
      </w:pPr>
    </w:p>
    <w:p w14:paraId="68C4F6E0">
      <w:pPr>
        <w:pStyle w:val="41"/>
        <w:rPr>
          <w:rFonts w:hint="eastAsia" w:ascii="宋体" w:hAnsi="宋体" w:eastAsia="宋体" w:cs="宋体"/>
          <w:color w:val="auto"/>
          <w:sz w:val="24"/>
          <w:szCs w:val="24"/>
          <w:highlight w:val="none"/>
        </w:rPr>
      </w:pPr>
    </w:p>
    <w:p w14:paraId="349F6ED9">
      <w:pPr>
        <w:spacing w:line="560" w:lineRule="exact"/>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20.响应性文件的澄清</w:t>
      </w:r>
    </w:p>
    <w:p w14:paraId="436F3303">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3C2502D7">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6AECC020">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20.3供应商拒不进行澄清、说明、补正的，或者不能在竞争性磋商小组规定时间内作出书面澄清、说明、补正的，其响应性文件将被作为无效处理。</w:t>
      </w:r>
    </w:p>
    <w:p w14:paraId="0FA26888">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20.4供应商的书面澄清材料作为响应性文件的补充。 </w:t>
      </w:r>
    </w:p>
    <w:p w14:paraId="7450AA0F">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20.5竞争性磋商小组不得接受供应商主动提出的澄清和解释。 </w:t>
      </w:r>
    </w:p>
    <w:p w14:paraId="44BB9AB8">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20.6并非每个供应商都将被询问、澄清。</w:t>
      </w:r>
    </w:p>
    <w:p w14:paraId="7F38B35F">
      <w:pPr>
        <w:spacing w:line="560" w:lineRule="exact"/>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21.竞争性磋商</w:t>
      </w:r>
    </w:p>
    <w:p w14:paraId="4850DF58">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21.1资格性审查和符合性审查合格的供应商，将进入本次竞争性磋商程序。</w:t>
      </w:r>
    </w:p>
    <w:p w14:paraId="7B02FC49">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21.2竞争性磋商将按照供应商的签到顺序进行。</w:t>
      </w:r>
    </w:p>
    <w:p w14:paraId="0205D7A8">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21.3磋商内容包括：</w:t>
      </w:r>
    </w:p>
    <w:p w14:paraId="37C20BD5">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21.3.1按照竞争性磋商文件中商务部分的内容，对照供应商提交的响应文件逐一进行比较各项指标和要求。</w:t>
      </w:r>
    </w:p>
    <w:p w14:paraId="5CD215F9">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21.3.2按照竞争性磋商文件中技术部分的内容，对照供应商提交的响应文件逐一进行比较各项指标和要求。</w:t>
      </w:r>
    </w:p>
    <w:p w14:paraId="56533A70">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21.3.3按照竞争性磋商文件中合同条款部分的内容，对照供应商提交的响应文件逐一进行比较各项指标和要求。</w:t>
      </w:r>
    </w:p>
    <w:p w14:paraId="2CBF5772">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21.3.4在磋商中，磋商的任何一方不得透露与磋商有关的其他供应商的技术资料及其他信息。</w:t>
      </w:r>
    </w:p>
    <w:p w14:paraId="6B3C0CC2">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21.4</w:t>
      </w:r>
      <w:r>
        <w:rPr>
          <w:rFonts w:hint="eastAsia" w:ascii="宋体" w:hAnsi="宋体" w:eastAsia="宋体" w:cs="宋体"/>
          <w:color w:val="auto"/>
          <w:sz w:val="24"/>
          <w:highlight w:val="none"/>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18BB8C53">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21.4.1</w:t>
      </w:r>
      <w:r>
        <w:rPr>
          <w:rFonts w:hint="eastAsia" w:ascii="宋体" w:hAnsi="宋体" w:eastAsia="宋体" w:cs="宋体"/>
          <w:color w:val="auto"/>
          <w:sz w:val="24"/>
          <w:highlight w:val="none"/>
          <w:lang w:val="zh-CN"/>
        </w:rPr>
        <w:t>对竞争性磋商文件作出实质性变动是竞争性磋商文件的有效组成部分，竞争性磋商小组应当及时以书面形式同时通知所有参加竞争性磋商的供应商。</w:t>
      </w:r>
    </w:p>
    <w:p w14:paraId="01670F23">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21.4.2供应商应当按照竞争性磋商文件的变动情况和竞争性磋商小组的要求重新提交响应性文件，并由其法定代表人或</w:t>
      </w:r>
      <w:r>
        <w:rPr>
          <w:rFonts w:hint="eastAsia" w:ascii="宋体" w:hAnsi="宋体" w:cs="宋体"/>
          <w:color w:val="auto"/>
          <w:sz w:val="24"/>
          <w:highlight w:val="none"/>
          <w:lang w:val="en-US" w:eastAsia="zh-CN"/>
        </w:rPr>
        <w:t>委托代理人</w:t>
      </w:r>
      <w:r>
        <w:rPr>
          <w:rFonts w:hint="eastAsia" w:ascii="宋体" w:hAnsi="宋体" w:eastAsia="宋体" w:cs="宋体"/>
          <w:color w:val="auto"/>
          <w:sz w:val="24"/>
          <w:highlight w:val="none"/>
          <w:lang w:val="zh-CN"/>
        </w:rPr>
        <w:t>签字或者加盖公章。</w:t>
      </w:r>
    </w:p>
    <w:p w14:paraId="2BE6BFF0">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21.5报价</w:t>
      </w:r>
    </w:p>
    <w:p w14:paraId="0372CA26">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1、一次报价，依据是供应商的投标函和开标记录。</w:t>
      </w:r>
    </w:p>
    <w:p w14:paraId="2449BDF9">
      <w:pPr>
        <w:spacing w:line="720" w:lineRule="auto"/>
        <w:jc w:val="center"/>
        <w:outlineLvl w:val="1"/>
        <w:rPr>
          <w:rFonts w:hint="eastAsia" w:ascii="宋体" w:hAnsi="宋体" w:eastAsia="宋体" w:cs="宋体"/>
          <w:b/>
          <w:color w:val="auto"/>
          <w:sz w:val="24"/>
          <w:highlight w:val="none"/>
        </w:rPr>
      </w:pPr>
      <w:bookmarkStart w:id="39" w:name="_Toc7593"/>
      <w:r>
        <w:rPr>
          <w:rFonts w:hint="eastAsia" w:ascii="宋体" w:hAnsi="宋体" w:eastAsia="宋体" w:cs="宋体"/>
          <w:b/>
          <w:color w:val="auto"/>
          <w:sz w:val="24"/>
          <w:highlight w:val="none"/>
        </w:rPr>
        <w:t>六、评定标准</w:t>
      </w:r>
      <w:bookmarkEnd w:id="39"/>
    </w:p>
    <w:p w14:paraId="40A603E3">
      <w:pPr>
        <w:spacing w:line="560" w:lineRule="exact"/>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22.竞争性磋商过程及保密原则</w:t>
      </w:r>
    </w:p>
    <w:p w14:paraId="518EACCF">
      <w:pPr>
        <w:spacing w:line="460" w:lineRule="exact"/>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773F8632">
      <w:pPr>
        <w:spacing w:line="460" w:lineRule="exact"/>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采购代理机构在评标结束后1个工作日内将评标报告送采购人。采购人自收到评标报告之日起５个工作日内，在评标报告确定的中标候选人名单中确定中标人。</w:t>
      </w:r>
    </w:p>
    <w:p w14:paraId="6F0AE83A">
      <w:pPr>
        <w:pStyle w:val="15"/>
        <w:spacing w:after="0" w:line="560" w:lineRule="exact"/>
        <w:ind w:left="0" w:leftChars="0"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22.2对通过初步审查的响应文件，采用百分制综合评分法进行评价。</w:t>
      </w:r>
    </w:p>
    <w:p w14:paraId="7216B2FB">
      <w:pPr>
        <w:spacing w:line="360" w:lineRule="auto"/>
        <w:ind w:right="-92" w:rightChars="-44"/>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评标方法：</w:t>
      </w:r>
    </w:p>
    <w:tbl>
      <w:tblPr>
        <w:tblStyle w:val="27"/>
        <w:tblW w:w="102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199"/>
        <w:gridCol w:w="1440"/>
        <w:gridCol w:w="7619"/>
      </w:tblGrid>
      <w:tr w14:paraId="06EB4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199" w:type="dxa"/>
            <w:noWrap w:val="0"/>
            <w:vAlign w:val="center"/>
          </w:tcPr>
          <w:p w14:paraId="25C6E183">
            <w:pPr>
              <w:pStyle w:val="86"/>
              <w:jc w:val="center"/>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评分指标</w:t>
            </w:r>
          </w:p>
        </w:tc>
        <w:tc>
          <w:tcPr>
            <w:tcW w:w="1440" w:type="dxa"/>
            <w:noWrap w:val="0"/>
            <w:vAlign w:val="center"/>
          </w:tcPr>
          <w:p w14:paraId="2712F15B">
            <w:pPr>
              <w:pStyle w:val="86"/>
              <w:jc w:val="center"/>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分值</w:t>
            </w:r>
          </w:p>
        </w:tc>
        <w:tc>
          <w:tcPr>
            <w:tcW w:w="7619" w:type="dxa"/>
            <w:noWrap w:val="0"/>
            <w:vAlign w:val="center"/>
          </w:tcPr>
          <w:p w14:paraId="07853A95">
            <w:pPr>
              <w:pStyle w:val="86"/>
              <w:jc w:val="center"/>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指标说明及评分标准</w:t>
            </w:r>
          </w:p>
        </w:tc>
      </w:tr>
      <w:tr w14:paraId="1F6A4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199" w:type="dxa"/>
            <w:noWrap w:val="0"/>
            <w:vAlign w:val="center"/>
          </w:tcPr>
          <w:p w14:paraId="3121899B">
            <w:pPr>
              <w:pStyle w:val="86"/>
              <w:rPr>
                <w:rFonts w:hint="eastAsia" w:ascii="宋体" w:hAnsi="宋体" w:eastAsia="宋体" w:cs="宋体"/>
                <w:color w:val="auto"/>
                <w:kern w:val="0"/>
                <w:sz w:val="22"/>
                <w:szCs w:val="22"/>
                <w:highlight w:val="none"/>
              </w:rPr>
            </w:pPr>
            <w:r>
              <w:rPr>
                <w:rFonts w:hint="eastAsia" w:ascii="宋体" w:hAnsi="宋体" w:eastAsia="宋体" w:cs="宋体"/>
                <w:color w:val="auto"/>
                <w:spacing w:val="-2"/>
                <w:kern w:val="0"/>
                <w:sz w:val="22"/>
                <w:szCs w:val="22"/>
                <w:highlight w:val="none"/>
              </w:rPr>
              <w:t>报价得分</w:t>
            </w:r>
            <w:r>
              <w:rPr>
                <w:rFonts w:hint="eastAsia" w:ascii="宋体" w:hAnsi="宋体" w:eastAsia="宋体" w:cs="宋体"/>
                <w:color w:val="auto"/>
                <w:kern w:val="0"/>
                <w:sz w:val="22"/>
                <w:szCs w:val="22"/>
                <w:highlight w:val="none"/>
              </w:rPr>
              <w:t>（10分）</w:t>
            </w:r>
          </w:p>
        </w:tc>
        <w:tc>
          <w:tcPr>
            <w:tcW w:w="1440" w:type="dxa"/>
            <w:noWrap w:val="0"/>
            <w:vAlign w:val="center"/>
          </w:tcPr>
          <w:p w14:paraId="6B2ACF0E">
            <w:pPr>
              <w:pStyle w:val="86"/>
              <w:rPr>
                <w:rFonts w:hint="eastAsia" w:ascii="宋体" w:hAnsi="宋体" w:eastAsia="宋体" w:cs="宋体"/>
                <w:color w:val="auto"/>
                <w:kern w:val="0"/>
                <w:sz w:val="22"/>
                <w:szCs w:val="22"/>
                <w:highlight w:val="none"/>
              </w:rPr>
            </w:pPr>
            <w:r>
              <w:rPr>
                <w:rFonts w:hint="eastAsia" w:ascii="宋体" w:hAnsi="宋体" w:eastAsia="宋体" w:cs="宋体"/>
                <w:color w:val="auto"/>
                <w:spacing w:val="-4"/>
                <w:kern w:val="0"/>
                <w:sz w:val="22"/>
                <w:szCs w:val="22"/>
                <w:highlight w:val="none"/>
              </w:rPr>
              <w:t>报价</w:t>
            </w:r>
            <w:r>
              <w:rPr>
                <w:rFonts w:hint="eastAsia" w:ascii="宋体" w:hAnsi="宋体" w:eastAsia="宋体" w:cs="宋体"/>
                <w:color w:val="auto"/>
                <w:kern w:val="0"/>
                <w:sz w:val="22"/>
                <w:szCs w:val="22"/>
                <w:highlight w:val="none"/>
              </w:rPr>
              <w:t>（10分）</w:t>
            </w:r>
          </w:p>
        </w:tc>
        <w:tc>
          <w:tcPr>
            <w:tcW w:w="7619" w:type="dxa"/>
            <w:noWrap w:val="0"/>
            <w:vAlign w:val="top"/>
          </w:tcPr>
          <w:p w14:paraId="023039C2">
            <w:pPr>
              <w:pStyle w:val="86"/>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lang w:eastAsia="zh-CN"/>
              </w:rPr>
              <w:t>1）价格分采用低价优先法计算，即通过资格性和符合性审查</w:t>
            </w:r>
            <w:r>
              <w:rPr>
                <w:rFonts w:hint="eastAsia" w:ascii="宋体" w:hAnsi="宋体" w:eastAsia="宋体" w:cs="宋体"/>
                <w:color w:val="auto"/>
                <w:spacing w:val="-1"/>
                <w:kern w:val="0"/>
                <w:sz w:val="22"/>
                <w:szCs w:val="22"/>
                <w:highlight w:val="none"/>
                <w:lang w:eastAsia="zh-CN"/>
              </w:rPr>
              <w:t>且投标价格最低的投标报价为评标基准价，其价格得分为满</w:t>
            </w:r>
            <w:r>
              <w:rPr>
                <w:rFonts w:hint="eastAsia" w:ascii="宋体" w:hAnsi="宋体" w:eastAsia="宋体" w:cs="宋体"/>
                <w:color w:val="auto"/>
                <w:spacing w:val="-6"/>
                <w:kern w:val="0"/>
                <w:sz w:val="22"/>
                <w:szCs w:val="22"/>
                <w:highlight w:val="none"/>
                <w:lang w:eastAsia="zh-CN"/>
              </w:rPr>
              <w:t>分10分。</w:t>
            </w:r>
          </w:p>
          <w:p w14:paraId="37312DB1">
            <w:pPr>
              <w:pStyle w:val="86"/>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spacing w:val="-3"/>
                <w:kern w:val="0"/>
                <w:sz w:val="22"/>
                <w:szCs w:val="22"/>
                <w:highlight w:val="none"/>
                <w:lang w:eastAsia="zh-CN"/>
              </w:rPr>
              <w:t>2）其他投标人的价格分统一按照下列公式</w:t>
            </w:r>
            <w:r>
              <w:rPr>
                <w:rFonts w:hint="eastAsia" w:ascii="宋体" w:hAnsi="宋体" w:eastAsia="宋体" w:cs="宋体"/>
                <w:color w:val="auto"/>
                <w:spacing w:val="-4"/>
                <w:kern w:val="0"/>
                <w:sz w:val="22"/>
                <w:szCs w:val="22"/>
                <w:highlight w:val="none"/>
                <w:lang w:eastAsia="zh-CN"/>
              </w:rPr>
              <w:t>计算：</w:t>
            </w:r>
            <w:r>
              <w:rPr>
                <w:rFonts w:hint="eastAsia" w:ascii="宋体" w:hAnsi="宋体" w:eastAsia="宋体" w:cs="宋体"/>
                <w:color w:val="auto"/>
                <w:kern w:val="0"/>
                <w:sz w:val="22"/>
                <w:szCs w:val="22"/>
                <w:highlight w:val="none"/>
                <w:lang w:eastAsia="zh-CN"/>
              </w:rPr>
              <w:t>投标报价得分=(评标基准价／投标报价)×</w:t>
            </w:r>
            <w:r>
              <w:rPr>
                <w:rFonts w:hint="eastAsia" w:ascii="宋体" w:hAnsi="宋体" w:eastAsia="宋体" w:cs="宋体"/>
                <w:color w:val="auto"/>
                <w:spacing w:val="-76"/>
                <w:kern w:val="0"/>
                <w:sz w:val="22"/>
                <w:szCs w:val="22"/>
                <w:highlight w:val="none"/>
                <w:lang w:eastAsia="zh-CN"/>
              </w:rPr>
              <w:t xml:space="preserve"> </w:t>
            </w:r>
            <w:r>
              <w:rPr>
                <w:rFonts w:hint="eastAsia" w:ascii="宋体" w:hAnsi="宋体" w:eastAsia="宋体" w:cs="宋体"/>
                <w:color w:val="auto"/>
                <w:kern w:val="0"/>
                <w:sz w:val="22"/>
                <w:szCs w:val="22"/>
                <w:highlight w:val="none"/>
                <w:lang w:eastAsia="zh-CN"/>
              </w:rPr>
              <w:t>10</w:t>
            </w:r>
          </w:p>
          <w:p w14:paraId="3D6AEDEB">
            <w:pPr>
              <w:pStyle w:val="86"/>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lang w:eastAsia="zh-CN"/>
              </w:rPr>
              <w:t>注：价格分计算保留小数点后二位。</w:t>
            </w:r>
          </w:p>
          <w:p w14:paraId="6FF0F0F1">
            <w:pPr>
              <w:pStyle w:val="86"/>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lang w:eastAsia="zh-CN"/>
              </w:rPr>
              <w:t>备注：根据财政部、工信部关于印发《政府采购促进中小企业发展管理办法》的通知（财库〔2020〕46号）文件规定：</w:t>
            </w:r>
          </w:p>
          <w:p w14:paraId="1052FBC4">
            <w:pPr>
              <w:pStyle w:val="86"/>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lang w:eastAsia="zh-CN"/>
              </w:rPr>
              <w:t>（1）对小微企业报价给予20%扣除，请按照《政府采购促进</w:t>
            </w:r>
            <w:r>
              <w:rPr>
                <w:rFonts w:hint="eastAsia" w:ascii="宋体" w:hAnsi="宋体" w:eastAsia="宋体" w:cs="宋体"/>
                <w:color w:val="auto"/>
                <w:spacing w:val="-3"/>
                <w:kern w:val="0"/>
                <w:sz w:val="22"/>
                <w:szCs w:val="22"/>
                <w:highlight w:val="none"/>
                <w:lang w:eastAsia="zh-CN"/>
              </w:rPr>
              <w:t>中小企业发展管理办法》要求提供中小企业声明函。</w:t>
            </w:r>
          </w:p>
          <w:p w14:paraId="171BA894">
            <w:pPr>
              <w:pStyle w:val="86"/>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lang w:eastAsia="zh-CN"/>
              </w:rPr>
              <w:t>（2）关于监狱企业：视同小微企业。须提供由省级以上监狱</w:t>
            </w:r>
            <w:r>
              <w:rPr>
                <w:rFonts w:hint="eastAsia" w:ascii="宋体" w:hAnsi="宋体" w:eastAsia="宋体" w:cs="宋体"/>
                <w:color w:val="auto"/>
                <w:spacing w:val="-1"/>
                <w:kern w:val="0"/>
                <w:sz w:val="22"/>
                <w:szCs w:val="22"/>
                <w:highlight w:val="none"/>
                <w:lang w:eastAsia="zh-CN"/>
              </w:rPr>
              <w:t>管理局、戒毒管理局（含新疆生产建设兵团）出具的属于监</w:t>
            </w:r>
            <w:r>
              <w:rPr>
                <w:rFonts w:hint="eastAsia" w:ascii="宋体" w:hAnsi="宋体" w:eastAsia="宋体" w:cs="宋体"/>
                <w:color w:val="auto"/>
                <w:kern w:val="0"/>
                <w:sz w:val="22"/>
                <w:szCs w:val="22"/>
                <w:highlight w:val="none"/>
                <w:lang w:eastAsia="zh-CN"/>
              </w:rPr>
              <w:t>狱企业的证明文件，否则不考虑价格扣除。</w:t>
            </w:r>
          </w:p>
          <w:p w14:paraId="60D36A03">
            <w:pPr>
              <w:pStyle w:val="86"/>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spacing w:val="-4"/>
                <w:kern w:val="0"/>
                <w:sz w:val="22"/>
                <w:szCs w:val="22"/>
                <w:highlight w:val="none"/>
                <w:lang w:eastAsia="zh-CN"/>
              </w:rPr>
              <w:t>（3）关于残疾人福利性单位：视同小微企业。须提供完整的</w:t>
            </w:r>
            <w:r>
              <w:rPr>
                <w:rFonts w:hint="eastAsia" w:ascii="宋体" w:hAnsi="宋体" w:eastAsia="宋体" w:cs="宋体"/>
                <w:color w:val="auto"/>
                <w:kern w:val="0"/>
                <w:sz w:val="22"/>
                <w:szCs w:val="22"/>
                <w:highlight w:val="none"/>
                <w:lang w:eastAsia="zh-CN"/>
              </w:rPr>
              <w:t>“残疾人福利性单位声明函”，否则在价格评审时不予考虑价格扣除。残疾人福利性单位属于小型、微型企业的，不重</w:t>
            </w:r>
            <w:r>
              <w:rPr>
                <w:rFonts w:hint="eastAsia" w:ascii="宋体" w:hAnsi="宋体" w:eastAsia="宋体" w:cs="宋体"/>
                <w:color w:val="auto"/>
                <w:spacing w:val="-4"/>
                <w:kern w:val="0"/>
                <w:sz w:val="22"/>
                <w:szCs w:val="22"/>
                <w:highlight w:val="none"/>
                <w:lang w:eastAsia="zh-CN"/>
              </w:rPr>
              <w:t>复享受政策。</w:t>
            </w:r>
          </w:p>
          <w:p w14:paraId="4B1B2BC0">
            <w:pPr>
              <w:pStyle w:val="86"/>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lang w:eastAsia="zh-CN"/>
              </w:rPr>
              <w:t>（4）没有提供有效证明材料的供应商将被视为不接受投标总</w:t>
            </w:r>
            <w:r>
              <w:rPr>
                <w:rFonts w:hint="eastAsia" w:ascii="宋体" w:hAnsi="宋体" w:eastAsia="宋体" w:cs="宋体"/>
                <w:color w:val="auto"/>
                <w:spacing w:val="-3"/>
                <w:kern w:val="0"/>
                <w:sz w:val="22"/>
                <w:szCs w:val="22"/>
                <w:highlight w:val="none"/>
                <w:lang w:eastAsia="zh-CN"/>
              </w:rPr>
              <w:t>价的扣除，用原投标总价参与评审。</w:t>
            </w:r>
          </w:p>
        </w:tc>
      </w:tr>
      <w:tr w14:paraId="409D9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199" w:type="dxa"/>
            <w:vMerge w:val="restart"/>
            <w:noWrap w:val="0"/>
            <w:vAlign w:val="center"/>
          </w:tcPr>
          <w:p w14:paraId="14E2CC16">
            <w:pPr>
              <w:pStyle w:val="86"/>
              <w:rPr>
                <w:rFonts w:hint="eastAsia" w:ascii="宋体" w:hAnsi="宋体" w:eastAsia="宋体" w:cs="宋体"/>
                <w:color w:val="auto"/>
                <w:spacing w:val="-3"/>
                <w:kern w:val="0"/>
                <w:sz w:val="22"/>
                <w:szCs w:val="22"/>
                <w:highlight w:val="none"/>
              </w:rPr>
            </w:pPr>
            <w:r>
              <w:rPr>
                <w:rFonts w:hint="eastAsia" w:ascii="宋体" w:hAnsi="宋体" w:eastAsia="宋体" w:cs="宋体"/>
                <w:color w:val="auto"/>
                <w:spacing w:val="-3"/>
                <w:kern w:val="0"/>
                <w:sz w:val="22"/>
                <w:szCs w:val="22"/>
                <w:highlight w:val="none"/>
              </w:rPr>
              <w:t>技术部分</w:t>
            </w:r>
          </w:p>
          <w:p w14:paraId="4CC64C25">
            <w:pPr>
              <w:pStyle w:val="86"/>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w:t>
            </w:r>
            <w:r>
              <w:rPr>
                <w:rFonts w:hint="eastAsia"/>
                <w:color w:val="auto"/>
                <w:kern w:val="0"/>
                <w:sz w:val="22"/>
                <w:szCs w:val="22"/>
                <w:highlight w:val="none"/>
                <w:lang w:val="en-US" w:eastAsia="zh-CN"/>
              </w:rPr>
              <w:t>53</w:t>
            </w:r>
            <w:r>
              <w:rPr>
                <w:rFonts w:hint="eastAsia" w:ascii="宋体" w:hAnsi="宋体" w:eastAsia="宋体" w:cs="宋体"/>
                <w:color w:val="auto"/>
                <w:kern w:val="0"/>
                <w:sz w:val="22"/>
                <w:szCs w:val="22"/>
                <w:highlight w:val="none"/>
              </w:rPr>
              <w:t>分)</w:t>
            </w:r>
          </w:p>
        </w:tc>
        <w:tc>
          <w:tcPr>
            <w:tcW w:w="1440" w:type="dxa"/>
            <w:noWrap w:val="0"/>
            <w:vAlign w:val="center"/>
          </w:tcPr>
          <w:p w14:paraId="04EEB898">
            <w:pPr>
              <w:pStyle w:val="86"/>
              <w:rPr>
                <w:rFonts w:hint="eastAsia" w:ascii="宋体" w:hAnsi="宋体" w:eastAsia="宋体" w:cs="宋体"/>
                <w:color w:val="auto"/>
                <w:kern w:val="0"/>
                <w:sz w:val="22"/>
                <w:szCs w:val="22"/>
                <w:highlight w:val="none"/>
                <w:lang w:eastAsia="zh-CN"/>
              </w:rPr>
            </w:pPr>
            <w:r>
              <w:rPr>
                <w:rFonts w:hint="eastAsia"/>
                <w:color w:val="auto"/>
                <w:kern w:val="0"/>
                <w:sz w:val="22"/>
                <w:szCs w:val="22"/>
                <w:highlight w:val="none"/>
                <w:lang w:eastAsia="zh-CN"/>
              </w:rPr>
              <w:t>对本项目的</w:t>
            </w:r>
            <w:r>
              <w:rPr>
                <w:rFonts w:hint="eastAsia"/>
                <w:color w:val="auto"/>
                <w:spacing w:val="-3"/>
                <w:kern w:val="0"/>
                <w:sz w:val="22"/>
                <w:szCs w:val="22"/>
                <w:highlight w:val="none"/>
                <w:lang w:eastAsia="zh-CN"/>
              </w:rPr>
              <w:t>理解认识</w:t>
            </w:r>
            <w:r>
              <w:rPr>
                <w:rFonts w:hint="eastAsia"/>
                <w:color w:val="auto"/>
                <w:kern w:val="0"/>
                <w:sz w:val="22"/>
                <w:szCs w:val="22"/>
                <w:highlight w:val="none"/>
                <w:lang w:eastAsia="zh-CN"/>
              </w:rPr>
              <w:t>（6</w:t>
            </w:r>
            <w:r>
              <w:rPr>
                <w:rFonts w:hint="eastAsia"/>
                <w:color w:val="auto"/>
                <w:spacing w:val="-5"/>
                <w:kern w:val="0"/>
                <w:sz w:val="22"/>
                <w:szCs w:val="22"/>
                <w:highlight w:val="none"/>
                <w:lang w:eastAsia="zh-CN"/>
              </w:rPr>
              <w:t>分</w:t>
            </w:r>
            <w:r>
              <w:rPr>
                <w:rFonts w:hint="eastAsia"/>
                <w:color w:val="auto"/>
                <w:kern w:val="0"/>
                <w:sz w:val="22"/>
                <w:szCs w:val="22"/>
                <w:highlight w:val="none"/>
                <w:lang w:eastAsia="zh-CN"/>
              </w:rPr>
              <w:t>）</w:t>
            </w:r>
          </w:p>
        </w:tc>
        <w:tc>
          <w:tcPr>
            <w:tcW w:w="7619" w:type="dxa"/>
            <w:noWrap w:val="0"/>
            <w:vAlign w:val="top"/>
          </w:tcPr>
          <w:p w14:paraId="2377197B">
            <w:pPr>
              <w:pStyle w:val="86"/>
              <w:rPr>
                <w:rFonts w:hint="eastAsia" w:ascii="宋体" w:hAnsi="宋体" w:eastAsia="宋体" w:cs="宋体"/>
                <w:color w:val="auto"/>
                <w:kern w:val="0"/>
                <w:sz w:val="22"/>
                <w:szCs w:val="22"/>
                <w:highlight w:val="none"/>
                <w:lang w:eastAsia="zh-CN"/>
              </w:rPr>
            </w:pPr>
            <w:r>
              <w:rPr>
                <w:rFonts w:hint="eastAsia"/>
                <w:color w:val="auto"/>
                <w:kern w:val="0"/>
                <w:sz w:val="22"/>
                <w:szCs w:val="22"/>
                <w:highlight w:val="none"/>
                <w:lang w:eastAsia="zh-CN"/>
              </w:rPr>
              <w:t>根据招标项目内容，结合工作任务，对招标区域内拟治理农村生活污水和黑臭水体的污染现状（1分）、污染成因（1分）、存在问题（1分）、治理需求（1分）、治理目标（1分）、治理任务（1分）提供完整的得</w:t>
            </w:r>
            <w:r>
              <w:rPr>
                <w:rFonts w:hint="eastAsia"/>
                <w:color w:val="auto"/>
                <w:kern w:val="0"/>
                <w:sz w:val="22"/>
                <w:szCs w:val="22"/>
                <w:highlight w:val="none"/>
                <w:lang w:val="en-US" w:eastAsia="zh-CN"/>
              </w:rPr>
              <w:t>6</w:t>
            </w:r>
            <w:r>
              <w:rPr>
                <w:rFonts w:hint="eastAsia"/>
                <w:color w:val="auto"/>
                <w:kern w:val="0"/>
                <w:sz w:val="22"/>
                <w:szCs w:val="22"/>
                <w:highlight w:val="none"/>
                <w:lang w:eastAsia="zh-CN"/>
              </w:rPr>
              <w:t>分，</w:t>
            </w:r>
            <w:r>
              <w:rPr>
                <w:rFonts w:hint="eastAsia"/>
                <w:color w:val="auto"/>
                <w:kern w:val="0"/>
                <w:sz w:val="22"/>
                <w:szCs w:val="22"/>
                <w:highlight w:val="none"/>
                <w:lang w:val="en-US" w:eastAsia="zh-CN"/>
              </w:rPr>
              <w:t>缺项扣相应分值</w:t>
            </w:r>
            <w:r>
              <w:rPr>
                <w:rFonts w:hint="eastAsia"/>
                <w:color w:val="auto"/>
                <w:kern w:val="0"/>
                <w:sz w:val="22"/>
                <w:szCs w:val="22"/>
                <w:highlight w:val="none"/>
                <w:lang w:eastAsia="zh-CN"/>
              </w:rPr>
              <w:t>。</w:t>
            </w:r>
          </w:p>
        </w:tc>
      </w:tr>
      <w:tr w14:paraId="66DC7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199" w:type="dxa"/>
            <w:vMerge w:val="continue"/>
            <w:noWrap w:val="0"/>
            <w:vAlign w:val="center"/>
          </w:tcPr>
          <w:p w14:paraId="0D33BA8E">
            <w:pPr>
              <w:rPr>
                <w:rFonts w:hint="eastAsia" w:ascii="宋体" w:hAnsi="宋体" w:cs="宋体"/>
                <w:color w:val="auto"/>
                <w:kern w:val="0"/>
                <w:sz w:val="22"/>
                <w:szCs w:val="22"/>
                <w:highlight w:val="none"/>
              </w:rPr>
            </w:pPr>
          </w:p>
        </w:tc>
        <w:tc>
          <w:tcPr>
            <w:tcW w:w="1440" w:type="dxa"/>
            <w:noWrap w:val="0"/>
            <w:vAlign w:val="center"/>
          </w:tcPr>
          <w:p w14:paraId="7653A43A">
            <w:pPr>
              <w:pStyle w:val="86"/>
              <w:rPr>
                <w:rFonts w:hint="eastAsia" w:ascii="宋体" w:hAnsi="宋体" w:eastAsia="宋体" w:cs="宋体"/>
                <w:color w:val="auto"/>
                <w:kern w:val="0"/>
                <w:sz w:val="22"/>
                <w:szCs w:val="22"/>
                <w:highlight w:val="none"/>
              </w:rPr>
            </w:pPr>
            <w:r>
              <w:rPr>
                <w:rFonts w:hint="eastAsia"/>
                <w:color w:val="auto"/>
                <w:kern w:val="0"/>
                <w:sz w:val="22"/>
                <w:szCs w:val="22"/>
                <w:highlight w:val="none"/>
              </w:rPr>
              <w:t>治理工程勘察方案（</w:t>
            </w:r>
            <w:r>
              <w:rPr>
                <w:rFonts w:hint="eastAsia"/>
                <w:color w:val="auto"/>
                <w:kern w:val="0"/>
                <w:sz w:val="22"/>
                <w:szCs w:val="22"/>
                <w:highlight w:val="none"/>
                <w:lang w:eastAsia="zh-CN"/>
              </w:rPr>
              <w:t>12</w:t>
            </w:r>
            <w:r>
              <w:rPr>
                <w:rFonts w:hint="eastAsia"/>
                <w:color w:val="auto"/>
                <w:kern w:val="0"/>
                <w:sz w:val="22"/>
                <w:szCs w:val="22"/>
                <w:highlight w:val="none"/>
              </w:rPr>
              <w:t>分）</w:t>
            </w:r>
          </w:p>
        </w:tc>
        <w:tc>
          <w:tcPr>
            <w:tcW w:w="7619" w:type="dxa"/>
            <w:noWrap w:val="0"/>
            <w:vAlign w:val="top"/>
          </w:tcPr>
          <w:p w14:paraId="175D6E97">
            <w:pPr>
              <w:pStyle w:val="86"/>
              <w:rPr>
                <w:rFonts w:hint="eastAsia" w:ascii="宋体" w:hAnsi="宋体" w:eastAsia="宋体" w:cs="宋体"/>
                <w:color w:val="auto"/>
                <w:kern w:val="0"/>
                <w:sz w:val="22"/>
                <w:szCs w:val="22"/>
                <w:highlight w:val="none"/>
                <w:lang w:eastAsia="zh-CN"/>
              </w:rPr>
            </w:pPr>
            <w:r>
              <w:rPr>
                <w:rFonts w:hint="eastAsia"/>
                <w:color w:val="auto"/>
                <w:kern w:val="0"/>
                <w:sz w:val="22"/>
                <w:szCs w:val="22"/>
                <w:highlight w:val="none"/>
                <w:lang w:eastAsia="zh-CN"/>
              </w:rPr>
              <w:t>根据拟治理农村生活污水和黑臭水体现状，提出勘察目标（3分）、勘察工作内容（3分）、勘察方法（3分）、治理方案建</w:t>
            </w:r>
            <w:r>
              <w:rPr>
                <w:rFonts w:hint="eastAsia"/>
                <w:color w:val="auto"/>
                <w:spacing w:val="-4"/>
                <w:kern w:val="0"/>
                <w:sz w:val="22"/>
                <w:szCs w:val="22"/>
                <w:highlight w:val="none"/>
                <w:lang w:eastAsia="zh-CN"/>
              </w:rPr>
              <w:t>议（3分）</w:t>
            </w:r>
            <w:r>
              <w:rPr>
                <w:rFonts w:hint="eastAsia"/>
                <w:color w:val="auto"/>
                <w:kern w:val="0"/>
                <w:sz w:val="22"/>
                <w:szCs w:val="22"/>
                <w:highlight w:val="none"/>
                <w:lang w:eastAsia="zh-CN"/>
              </w:rPr>
              <w:t>提供完整的得</w:t>
            </w:r>
            <w:r>
              <w:rPr>
                <w:rFonts w:hint="eastAsia"/>
                <w:color w:val="auto"/>
                <w:kern w:val="0"/>
                <w:sz w:val="22"/>
                <w:szCs w:val="22"/>
                <w:highlight w:val="none"/>
                <w:lang w:val="en-US" w:eastAsia="zh-CN"/>
              </w:rPr>
              <w:t>12</w:t>
            </w:r>
            <w:r>
              <w:rPr>
                <w:rFonts w:hint="eastAsia"/>
                <w:color w:val="auto"/>
                <w:kern w:val="0"/>
                <w:sz w:val="22"/>
                <w:szCs w:val="22"/>
                <w:highlight w:val="none"/>
                <w:lang w:eastAsia="zh-CN"/>
              </w:rPr>
              <w:t>分，</w:t>
            </w:r>
            <w:r>
              <w:rPr>
                <w:rFonts w:hint="eastAsia"/>
                <w:color w:val="auto"/>
                <w:kern w:val="0"/>
                <w:sz w:val="22"/>
                <w:szCs w:val="22"/>
                <w:highlight w:val="none"/>
                <w:lang w:val="en-US" w:eastAsia="zh-CN"/>
              </w:rPr>
              <w:t>缺项扣相应分值</w:t>
            </w:r>
            <w:r>
              <w:rPr>
                <w:rFonts w:hint="eastAsia"/>
                <w:color w:val="auto"/>
                <w:kern w:val="0"/>
                <w:sz w:val="22"/>
                <w:szCs w:val="22"/>
                <w:highlight w:val="none"/>
                <w:lang w:eastAsia="zh-CN"/>
              </w:rPr>
              <w:t>。</w:t>
            </w:r>
          </w:p>
        </w:tc>
      </w:tr>
      <w:tr w14:paraId="08C20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199" w:type="dxa"/>
            <w:vMerge w:val="continue"/>
            <w:noWrap w:val="0"/>
            <w:vAlign w:val="center"/>
          </w:tcPr>
          <w:p w14:paraId="12C82705">
            <w:pPr>
              <w:rPr>
                <w:rFonts w:hint="eastAsia" w:ascii="宋体" w:hAnsi="宋体" w:cs="宋体"/>
                <w:color w:val="auto"/>
                <w:kern w:val="0"/>
                <w:sz w:val="22"/>
                <w:szCs w:val="22"/>
                <w:highlight w:val="none"/>
              </w:rPr>
            </w:pPr>
          </w:p>
        </w:tc>
        <w:tc>
          <w:tcPr>
            <w:tcW w:w="1440" w:type="dxa"/>
            <w:noWrap w:val="0"/>
            <w:vAlign w:val="center"/>
          </w:tcPr>
          <w:p w14:paraId="6B72A331">
            <w:pPr>
              <w:pStyle w:val="86"/>
              <w:rPr>
                <w:rFonts w:hint="eastAsia" w:ascii="宋体" w:hAnsi="宋体" w:eastAsia="宋体" w:cs="宋体"/>
                <w:color w:val="auto"/>
                <w:kern w:val="0"/>
                <w:sz w:val="22"/>
                <w:szCs w:val="22"/>
                <w:highlight w:val="none"/>
                <w:lang w:eastAsia="zh-CN"/>
              </w:rPr>
            </w:pPr>
            <w:r>
              <w:rPr>
                <w:rFonts w:hint="eastAsia"/>
                <w:color w:val="auto"/>
                <w:kern w:val="0"/>
                <w:sz w:val="22"/>
                <w:szCs w:val="22"/>
                <w:highlight w:val="none"/>
                <w:lang w:eastAsia="zh-CN"/>
              </w:rPr>
              <w:t>治理工程设计方案（15分）</w:t>
            </w:r>
          </w:p>
        </w:tc>
        <w:tc>
          <w:tcPr>
            <w:tcW w:w="7619" w:type="dxa"/>
            <w:noWrap w:val="0"/>
            <w:vAlign w:val="top"/>
          </w:tcPr>
          <w:p w14:paraId="6841594F">
            <w:pPr>
              <w:pStyle w:val="86"/>
              <w:rPr>
                <w:rFonts w:hint="eastAsia" w:ascii="宋体" w:hAnsi="宋体" w:eastAsia="宋体" w:cs="宋体"/>
                <w:color w:val="auto"/>
                <w:kern w:val="0"/>
                <w:sz w:val="22"/>
                <w:szCs w:val="22"/>
                <w:highlight w:val="none"/>
                <w:lang w:eastAsia="zh-CN"/>
              </w:rPr>
            </w:pPr>
            <w:r>
              <w:rPr>
                <w:rFonts w:hint="eastAsia"/>
                <w:color w:val="auto"/>
                <w:kern w:val="0"/>
                <w:sz w:val="22"/>
                <w:szCs w:val="22"/>
                <w:highlight w:val="none"/>
                <w:lang w:eastAsia="zh-CN"/>
              </w:rPr>
              <w:t>对拟治理农村生活污水和黑臭水体治理关键设计工作如污水管网设计等截污控源（3分）、生态护坡（3分）、生态修复（3分）、底泥清淤（3分）、污水处理设施建设（3分）提供的设计方案完整的得15分，</w:t>
            </w:r>
            <w:r>
              <w:rPr>
                <w:rFonts w:hint="eastAsia"/>
                <w:color w:val="auto"/>
                <w:kern w:val="0"/>
                <w:sz w:val="22"/>
                <w:szCs w:val="22"/>
                <w:highlight w:val="none"/>
                <w:lang w:val="en-US" w:eastAsia="zh-CN"/>
              </w:rPr>
              <w:t>缺项扣相应分值</w:t>
            </w:r>
            <w:r>
              <w:rPr>
                <w:rFonts w:hint="eastAsia"/>
                <w:color w:val="auto"/>
                <w:kern w:val="0"/>
                <w:sz w:val="22"/>
                <w:szCs w:val="22"/>
                <w:highlight w:val="none"/>
                <w:lang w:eastAsia="zh-CN"/>
              </w:rPr>
              <w:t>。</w:t>
            </w:r>
          </w:p>
        </w:tc>
      </w:tr>
      <w:tr w14:paraId="2E150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199" w:type="dxa"/>
            <w:vMerge w:val="continue"/>
            <w:noWrap w:val="0"/>
            <w:vAlign w:val="center"/>
          </w:tcPr>
          <w:p w14:paraId="3B96EF18">
            <w:pPr>
              <w:rPr>
                <w:rFonts w:hint="eastAsia" w:ascii="宋体" w:hAnsi="宋体" w:cs="宋体"/>
                <w:color w:val="auto"/>
                <w:kern w:val="0"/>
                <w:sz w:val="22"/>
                <w:szCs w:val="22"/>
                <w:highlight w:val="none"/>
              </w:rPr>
            </w:pPr>
          </w:p>
        </w:tc>
        <w:tc>
          <w:tcPr>
            <w:tcW w:w="1440" w:type="dxa"/>
            <w:noWrap w:val="0"/>
            <w:vAlign w:val="center"/>
          </w:tcPr>
          <w:p w14:paraId="176DC16C">
            <w:pPr>
              <w:pStyle w:val="86"/>
              <w:rPr>
                <w:rFonts w:hint="eastAsia" w:ascii="宋体" w:hAnsi="宋体" w:eastAsia="宋体" w:cs="宋体"/>
                <w:color w:val="auto"/>
                <w:kern w:val="0"/>
                <w:sz w:val="22"/>
                <w:szCs w:val="22"/>
                <w:highlight w:val="none"/>
                <w:lang w:eastAsia="zh-CN"/>
              </w:rPr>
            </w:pPr>
            <w:r>
              <w:rPr>
                <w:rFonts w:hint="eastAsia"/>
                <w:color w:val="auto"/>
                <w:kern w:val="0"/>
                <w:sz w:val="22"/>
                <w:szCs w:val="22"/>
                <w:highlight w:val="none"/>
                <w:lang w:eastAsia="zh-CN"/>
              </w:rPr>
              <w:t>工程勘察设计质量控制方案与措施</w:t>
            </w:r>
            <w:r>
              <w:rPr>
                <w:rFonts w:hint="eastAsia"/>
                <w:color w:val="auto"/>
                <w:spacing w:val="-6"/>
                <w:kern w:val="0"/>
                <w:sz w:val="22"/>
                <w:szCs w:val="22"/>
                <w:highlight w:val="none"/>
                <w:lang w:eastAsia="zh-CN"/>
              </w:rPr>
              <w:t>（5分）</w:t>
            </w:r>
          </w:p>
        </w:tc>
        <w:tc>
          <w:tcPr>
            <w:tcW w:w="7619" w:type="dxa"/>
            <w:noWrap w:val="0"/>
            <w:vAlign w:val="top"/>
          </w:tcPr>
          <w:p w14:paraId="052E485C">
            <w:pPr>
              <w:pStyle w:val="86"/>
              <w:rPr>
                <w:rFonts w:hint="eastAsia" w:ascii="宋体" w:hAnsi="宋体" w:eastAsia="宋体" w:cs="宋体"/>
                <w:color w:val="auto"/>
                <w:kern w:val="0"/>
                <w:sz w:val="22"/>
                <w:szCs w:val="22"/>
                <w:highlight w:val="none"/>
                <w:lang w:eastAsia="zh-CN"/>
              </w:rPr>
            </w:pPr>
            <w:r>
              <w:rPr>
                <w:rFonts w:hint="eastAsia"/>
                <w:color w:val="auto"/>
                <w:kern w:val="0"/>
                <w:sz w:val="22"/>
                <w:szCs w:val="22"/>
                <w:highlight w:val="none"/>
                <w:lang w:eastAsia="zh-CN"/>
              </w:rPr>
              <w:t>投标人为保障勘察设计成果准确完整、减少设计变更，保证项目建设顺利进行的质量控制方案及措施，应包括质量管理机构（1分）、质量管理制度（1分）、项目</w:t>
            </w:r>
            <w:r>
              <w:rPr>
                <w:rFonts w:hint="eastAsia"/>
                <w:color w:val="auto"/>
                <w:spacing w:val="-3"/>
                <w:kern w:val="0"/>
                <w:sz w:val="22"/>
                <w:szCs w:val="22"/>
                <w:highlight w:val="none"/>
                <w:lang w:eastAsia="zh-CN"/>
              </w:rPr>
              <w:t>质量管理文件（1</w:t>
            </w:r>
            <w:r>
              <w:rPr>
                <w:rFonts w:hint="eastAsia"/>
                <w:color w:val="auto"/>
                <w:kern w:val="0"/>
                <w:sz w:val="22"/>
                <w:szCs w:val="22"/>
                <w:highlight w:val="none"/>
                <w:lang w:eastAsia="zh-CN"/>
              </w:rPr>
              <w:t>分）、质量管理人员配置（1分）、质量控制措施（1分）提供完整的得5分，</w:t>
            </w:r>
            <w:r>
              <w:rPr>
                <w:rFonts w:hint="eastAsia"/>
                <w:color w:val="auto"/>
                <w:kern w:val="0"/>
                <w:sz w:val="22"/>
                <w:szCs w:val="22"/>
                <w:highlight w:val="none"/>
                <w:lang w:val="en-US" w:eastAsia="zh-CN"/>
              </w:rPr>
              <w:t>缺项扣相应分值</w:t>
            </w:r>
            <w:r>
              <w:rPr>
                <w:rFonts w:hint="eastAsia"/>
                <w:color w:val="auto"/>
                <w:kern w:val="0"/>
                <w:sz w:val="22"/>
                <w:szCs w:val="22"/>
                <w:highlight w:val="none"/>
                <w:lang w:eastAsia="zh-CN"/>
              </w:rPr>
              <w:t>。</w:t>
            </w:r>
          </w:p>
        </w:tc>
      </w:tr>
      <w:tr w14:paraId="16CC4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199" w:type="dxa"/>
            <w:vMerge w:val="continue"/>
            <w:noWrap w:val="0"/>
            <w:vAlign w:val="center"/>
          </w:tcPr>
          <w:p w14:paraId="051003B1">
            <w:pPr>
              <w:rPr>
                <w:rFonts w:hint="eastAsia" w:ascii="宋体" w:hAnsi="宋体" w:cs="宋体"/>
                <w:color w:val="auto"/>
                <w:kern w:val="0"/>
                <w:sz w:val="22"/>
                <w:szCs w:val="22"/>
                <w:highlight w:val="none"/>
              </w:rPr>
            </w:pPr>
          </w:p>
        </w:tc>
        <w:tc>
          <w:tcPr>
            <w:tcW w:w="1440" w:type="dxa"/>
            <w:noWrap w:val="0"/>
            <w:vAlign w:val="center"/>
          </w:tcPr>
          <w:p w14:paraId="0B32456A">
            <w:pPr>
              <w:pStyle w:val="86"/>
              <w:rPr>
                <w:rFonts w:hint="eastAsia" w:ascii="宋体" w:hAnsi="宋体" w:eastAsia="宋体" w:cs="宋体"/>
                <w:color w:val="auto"/>
                <w:kern w:val="0"/>
                <w:sz w:val="22"/>
                <w:szCs w:val="22"/>
                <w:highlight w:val="none"/>
                <w:lang w:eastAsia="zh-CN"/>
              </w:rPr>
            </w:pPr>
            <w:r>
              <w:rPr>
                <w:rFonts w:hint="eastAsia"/>
                <w:color w:val="auto"/>
                <w:kern w:val="0"/>
                <w:sz w:val="22"/>
                <w:szCs w:val="22"/>
                <w:highlight w:val="none"/>
                <w:lang w:eastAsia="zh-CN"/>
              </w:rPr>
              <w:t>工程勘察设计进度控制方案与措施</w:t>
            </w:r>
            <w:r>
              <w:rPr>
                <w:rFonts w:hint="eastAsia"/>
                <w:color w:val="auto"/>
                <w:spacing w:val="-6"/>
                <w:kern w:val="0"/>
                <w:sz w:val="22"/>
                <w:szCs w:val="22"/>
                <w:highlight w:val="none"/>
                <w:lang w:eastAsia="zh-CN"/>
              </w:rPr>
              <w:t>（5分）</w:t>
            </w:r>
          </w:p>
        </w:tc>
        <w:tc>
          <w:tcPr>
            <w:tcW w:w="7619" w:type="dxa"/>
            <w:noWrap w:val="0"/>
            <w:vAlign w:val="top"/>
          </w:tcPr>
          <w:p w14:paraId="68FC74BB">
            <w:pPr>
              <w:pStyle w:val="86"/>
              <w:rPr>
                <w:rFonts w:hint="eastAsia" w:ascii="宋体" w:hAnsi="宋体" w:eastAsia="宋体" w:cs="宋体"/>
                <w:color w:val="auto"/>
                <w:kern w:val="0"/>
                <w:sz w:val="22"/>
                <w:szCs w:val="22"/>
                <w:highlight w:val="none"/>
                <w:lang w:eastAsia="zh-CN"/>
              </w:rPr>
            </w:pPr>
            <w:r>
              <w:rPr>
                <w:rFonts w:hint="eastAsia"/>
                <w:color w:val="auto"/>
                <w:kern w:val="0"/>
                <w:sz w:val="22"/>
                <w:szCs w:val="22"/>
                <w:highlight w:val="none"/>
                <w:lang w:eastAsia="zh-CN"/>
              </w:rPr>
              <w:t>投标人为保证设计方案高效通过相关评审，保证项目建设顺利进行的进度控制方案及措施，应包括进度管理机构（1分）、进度管理制度（1分）、项目进度管理文件（1分）、进度管理人员配置（1分）、进度控制措施（1分）提供完整的得5分，</w:t>
            </w:r>
            <w:r>
              <w:rPr>
                <w:rFonts w:hint="eastAsia"/>
                <w:color w:val="auto"/>
                <w:kern w:val="0"/>
                <w:sz w:val="22"/>
                <w:szCs w:val="22"/>
                <w:highlight w:val="none"/>
                <w:lang w:val="en-US" w:eastAsia="zh-CN"/>
              </w:rPr>
              <w:t>缺项扣相应分值</w:t>
            </w:r>
            <w:r>
              <w:rPr>
                <w:rFonts w:hint="eastAsia"/>
                <w:color w:val="auto"/>
                <w:kern w:val="0"/>
                <w:sz w:val="22"/>
                <w:szCs w:val="22"/>
                <w:highlight w:val="none"/>
                <w:lang w:eastAsia="zh-CN"/>
              </w:rPr>
              <w:t>。</w:t>
            </w:r>
          </w:p>
        </w:tc>
      </w:tr>
      <w:tr w14:paraId="40E89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199" w:type="dxa"/>
            <w:vMerge w:val="continue"/>
            <w:noWrap w:val="0"/>
            <w:vAlign w:val="center"/>
          </w:tcPr>
          <w:p w14:paraId="777801B6">
            <w:pPr>
              <w:rPr>
                <w:rFonts w:hint="eastAsia" w:ascii="宋体" w:hAnsi="宋体" w:cs="宋体"/>
                <w:color w:val="auto"/>
                <w:kern w:val="0"/>
                <w:sz w:val="22"/>
                <w:szCs w:val="22"/>
                <w:highlight w:val="none"/>
              </w:rPr>
            </w:pPr>
          </w:p>
        </w:tc>
        <w:tc>
          <w:tcPr>
            <w:tcW w:w="1440" w:type="dxa"/>
            <w:noWrap w:val="0"/>
            <w:vAlign w:val="center"/>
          </w:tcPr>
          <w:p w14:paraId="396D9882">
            <w:pPr>
              <w:pStyle w:val="86"/>
              <w:rPr>
                <w:rFonts w:hint="eastAsia" w:ascii="宋体" w:hAnsi="宋体" w:eastAsia="宋体" w:cs="宋体"/>
                <w:color w:val="auto"/>
                <w:kern w:val="0"/>
                <w:sz w:val="22"/>
                <w:szCs w:val="22"/>
                <w:highlight w:val="none"/>
                <w:lang w:eastAsia="zh-CN"/>
              </w:rPr>
            </w:pPr>
            <w:r>
              <w:rPr>
                <w:rFonts w:hint="eastAsia"/>
                <w:color w:val="auto"/>
                <w:kern w:val="0"/>
                <w:sz w:val="22"/>
                <w:szCs w:val="22"/>
                <w:highlight w:val="none"/>
                <w:lang w:eastAsia="zh-CN"/>
              </w:rPr>
              <w:t>工程勘察设计安全控制方案与措施</w:t>
            </w:r>
            <w:r>
              <w:rPr>
                <w:rFonts w:hint="eastAsia"/>
                <w:color w:val="auto"/>
                <w:spacing w:val="-6"/>
                <w:kern w:val="0"/>
                <w:sz w:val="22"/>
                <w:szCs w:val="22"/>
                <w:highlight w:val="none"/>
                <w:lang w:eastAsia="zh-CN"/>
              </w:rPr>
              <w:t>（5分）</w:t>
            </w:r>
          </w:p>
        </w:tc>
        <w:tc>
          <w:tcPr>
            <w:tcW w:w="7619" w:type="dxa"/>
            <w:noWrap w:val="0"/>
            <w:vAlign w:val="top"/>
          </w:tcPr>
          <w:p w14:paraId="2D3AED9E">
            <w:pPr>
              <w:pStyle w:val="86"/>
              <w:rPr>
                <w:rFonts w:hint="eastAsia" w:ascii="宋体" w:hAnsi="宋体" w:eastAsia="宋体" w:cs="宋体"/>
                <w:color w:val="auto"/>
                <w:kern w:val="0"/>
                <w:sz w:val="22"/>
                <w:szCs w:val="22"/>
                <w:highlight w:val="none"/>
                <w:lang w:eastAsia="zh-CN"/>
              </w:rPr>
            </w:pPr>
            <w:r>
              <w:rPr>
                <w:rFonts w:hint="eastAsia"/>
                <w:color w:val="auto"/>
                <w:kern w:val="0"/>
                <w:sz w:val="22"/>
                <w:szCs w:val="22"/>
                <w:highlight w:val="none"/>
                <w:lang w:eastAsia="zh-CN"/>
              </w:rPr>
              <w:t>投标人为保证项目建设安全生产的完整方案及措施，应包括安全管理机构（1分）、安全管理制度（1分）、项目安全管理文件（1分）、安全管理人员配置（1分）、项目控制措施（1分）提供完整的得5分，</w:t>
            </w:r>
            <w:r>
              <w:rPr>
                <w:rFonts w:hint="eastAsia"/>
                <w:color w:val="auto"/>
                <w:kern w:val="0"/>
                <w:sz w:val="22"/>
                <w:szCs w:val="22"/>
                <w:highlight w:val="none"/>
                <w:lang w:val="en-US" w:eastAsia="zh-CN"/>
              </w:rPr>
              <w:t>缺项扣相应分值</w:t>
            </w:r>
            <w:r>
              <w:rPr>
                <w:rFonts w:hint="eastAsia"/>
                <w:color w:val="auto"/>
                <w:kern w:val="0"/>
                <w:sz w:val="22"/>
                <w:szCs w:val="22"/>
                <w:highlight w:val="none"/>
                <w:lang w:eastAsia="zh-CN"/>
              </w:rPr>
              <w:t>。</w:t>
            </w:r>
          </w:p>
        </w:tc>
      </w:tr>
      <w:tr w14:paraId="4FEF1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199" w:type="dxa"/>
            <w:vMerge w:val="continue"/>
            <w:noWrap w:val="0"/>
            <w:vAlign w:val="center"/>
          </w:tcPr>
          <w:p w14:paraId="249EF6AB">
            <w:pPr>
              <w:rPr>
                <w:rFonts w:hint="eastAsia" w:ascii="宋体" w:hAnsi="宋体" w:cs="宋体"/>
                <w:color w:val="auto"/>
                <w:kern w:val="0"/>
                <w:sz w:val="22"/>
                <w:szCs w:val="22"/>
                <w:highlight w:val="none"/>
              </w:rPr>
            </w:pPr>
          </w:p>
        </w:tc>
        <w:tc>
          <w:tcPr>
            <w:tcW w:w="1440" w:type="dxa"/>
            <w:noWrap w:val="0"/>
            <w:vAlign w:val="center"/>
          </w:tcPr>
          <w:p w14:paraId="09AED067">
            <w:pPr>
              <w:pStyle w:val="86"/>
              <w:rPr>
                <w:rFonts w:hint="eastAsia"/>
                <w:color w:val="auto"/>
                <w:kern w:val="0"/>
                <w:sz w:val="22"/>
                <w:szCs w:val="22"/>
                <w:highlight w:val="none"/>
                <w:lang w:eastAsia="zh-CN"/>
              </w:rPr>
            </w:pPr>
            <w:r>
              <w:rPr>
                <w:rFonts w:hint="eastAsia"/>
                <w:color w:val="auto"/>
                <w:kern w:val="0"/>
                <w:sz w:val="22"/>
                <w:szCs w:val="22"/>
                <w:highlight w:val="none"/>
                <w:lang w:eastAsia="zh-CN"/>
              </w:rPr>
              <w:t>工程勘察设计保密方案</w:t>
            </w:r>
            <w:r>
              <w:rPr>
                <w:rFonts w:hint="eastAsia"/>
                <w:color w:val="auto"/>
                <w:spacing w:val="-4"/>
                <w:kern w:val="0"/>
                <w:sz w:val="22"/>
                <w:szCs w:val="22"/>
                <w:highlight w:val="none"/>
                <w:lang w:eastAsia="zh-CN"/>
              </w:rPr>
              <w:t>与措施</w:t>
            </w:r>
            <w:r>
              <w:rPr>
                <w:rFonts w:hint="eastAsia"/>
                <w:color w:val="auto"/>
                <w:kern w:val="0"/>
                <w:sz w:val="22"/>
                <w:szCs w:val="22"/>
                <w:highlight w:val="none"/>
                <w:lang w:eastAsia="zh-CN"/>
              </w:rPr>
              <w:t>（5分）</w:t>
            </w:r>
          </w:p>
        </w:tc>
        <w:tc>
          <w:tcPr>
            <w:tcW w:w="7619" w:type="dxa"/>
            <w:noWrap w:val="0"/>
            <w:vAlign w:val="top"/>
          </w:tcPr>
          <w:p w14:paraId="17B4DFBF">
            <w:pPr>
              <w:pStyle w:val="86"/>
              <w:rPr>
                <w:rFonts w:hint="eastAsia"/>
                <w:color w:val="auto"/>
                <w:kern w:val="0"/>
                <w:sz w:val="22"/>
                <w:szCs w:val="22"/>
                <w:highlight w:val="none"/>
                <w:lang w:eastAsia="zh-CN"/>
              </w:rPr>
            </w:pPr>
            <w:r>
              <w:rPr>
                <w:rFonts w:hint="eastAsia"/>
                <w:color w:val="auto"/>
                <w:kern w:val="0"/>
                <w:sz w:val="22"/>
                <w:szCs w:val="22"/>
                <w:highlight w:val="none"/>
                <w:lang w:eastAsia="zh-CN"/>
              </w:rPr>
              <w:t>投标人针对项目勘察设计过程中的涉密资料制定相应保密措施，包括：建立有完善保密制度（1分）、成立有保密工作机构（1分）、指派有保密人员（1分）、规定有保密内容（1分)、提供有专门保密工作工具（1分）提供完整的得5分，</w:t>
            </w:r>
            <w:r>
              <w:rPr>
                <w:rFonts w:hint="eastAsia"/>
                <w:color w:val="auto"/>
                <w:kern w:val="0"/>
                <w:sz w:val="22"/>
                <w:szCs w:val="22"/>
                <w:highlight w:val="none"/>
                <w:lang w:val="en-US" w:eastAsia="zh-CN"/>
              </w:rPr>
              <w:t>缺项扣相应分值</w:t>
            </w:r>
            <w:r>
              <w:rPr>
                <w:rFonts w:hint="eastAsia"/>
                <w:color w:val="auto"/>
                <w:kern w:val="0"/>
                <w:sz w:val="22"/>
                <w:szCs w:val="22"/>
                <w:highlight w:val="none"/>
                <w:lang w:eastAsia="zh-CN"/>
              </w:rPr>
              <w:t>。</w:t>
            </w:r>
          </w:p>
        </w:tc>
      </w:tr>
      <w:tr w14:paraId="2DBBF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199" w:type="dxa"/>
            <w:vMerge w:val="restart"/>
            <w:noWrap w:val="0"/>
            <w:vAlign w:val="center"/>
          </w:tcPr>
          <w:p w14:paraId="16F15F86">
            <w:pPr>
              <w:pStyle w:val="86"/>
              <w:rPr>
                <w:rFonts w:hint="eastAsia" w:ascii="宋体" w:hAnsi="宋体" w:eastAsia="宋体" w:cs="宋体"/>
                <w:color w:val="auto"/>
                <w:spacing w:val="-4"/>
                <w:kern w:val="0"/>
                <w:sz w:val="22"/>
                <w:szCs w:val="22"/>
                <w:highlight w:val="none"/>
              </w:rPr>
            </w:pPr>
            <w:r>
              <w:rPr>
                <w:rFonts w:hint="eastAsia" w:ascii="宋体" w:hAnsi="宋体" w:eastAsia="宋体" w:cs="宋体"/>
                <w:color w:val="auto"/>
                <w:spacing w:val="-4"/>
                <w:kern w:val="0"/>
                <w:sz w:val="22"/>
                <w:szCs w:val="22"/>
                <w:highlight w:val="none"/>
              </w:rPr>
              <w:t>商务部分</w:t>
            </w:r>
          </w:p>
          <w:p w14:paraId="1640729A">
            <w:pPr>
              <w:pStyle w:val="86"/>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w:t>
            </w:r>
            <w:r>
              <w:rPr>
                <w:rFonts w:hint="eastAsia"/>
                <w:color w:val="auto"/>
                <w:kern w:val="0"/>
                <w:sz w:val="22"/>
                <w:szCs w:val="22"/>
                <w:highlight w:val="none"/>
                <w:lang w:val="en-US" w:eastAsia="zh-CN"/>
              </w:rPr>
              <w:t>37</w:t>
            </w:r>
            <w:r>
              <w:rPr>
                <w:rFonts w:hint="eastAsia" w:ascii="宋体" w:hAnsi="宋体" w:eastAsia="宋体" w:cs="宋体"/>
                <w:color w:val="auto"/>
                <w:kern w:val="0"/>
                <w:sz w:val="22"/>
                <w:szCs w:val="22"/>
                <w:highlight w:val="none"/>
              </w:rPr>
              <w:t>分）</w:t>
            </w:r>
          </w:p>
        </w:tc>
        <w:tc>
          <w:tcPr>
            <w:tcW w:w="1440" w:type="dxa"/>
            <w:noWrap w:val="0"/>
            <w:vAlign w:val="center"/>
          </w:tcPr>
          <w:p w14:paraId="01F6F4D1">
            <w:pPr>
              <w:pStyle w:val="86"/>
              <w:jc w:val="center"/>
              <w:rPr>
                <w:rFonts w:hint="eastAsia" w:ascii="宋体" w:hAnsi="宋体" w:eastAsia="宋体" w:cs="宋体"/>
                <w:color w:val="auto"/>
                <w:kern w:val="0"/>
                <w:sz w:val="22"/>
                <w:szCs w:val="22"/>
                <w:highlight w:val="none"/>
                <w:lang w:eastAsia="zh-CN"/>
              </w:rPr>
            </w:pPr>
            <w:r>
              <w:rPr>
                <w:color w:val="auto"/>
                <w:kern w:val="0"/>
                <w:sz w:val="22"/>
                <w:szCs w:val="22"/>
                <w:highlight w:val="none"/>
                <w:lang w:eastAsia="zh-CN"/>
              </w:rPr>
              <w:t>业绩（</w:t>
            </w:r>
            <w:r>
              <w:rPr>
                <w:rFonts w:hint="eastAsia"/>
                <w:color w:val="auto"/>
                <w:kern w:val="0"/>
                <w:sz w:val="22"/>
                <w:szCs w:val="22"/>
                <w:highlight w:val="none"/>
                <w:lang w:val="en-US" w:eastAsia="zh-CN"/>
              </w:rPr>
              <w:t>9</w:t>
            </w:r>
            <w:r>
              <w:rPr>
                <w:color w:val="auto"/>
                <w:kern w:val="0"/>
                <w:sz w:val="22"/>
                <w:szCs w:val="22"/>
                <w:highlight w:val="none"/>
                <w:lang w:eastAsia="zh-CN"/>
              </w:rPr>
              <w:t>分）</w:t>
            </w:r>
          </w:p>
        </w:tc>
        <w:tc>
          <w:tcPr>
            <w:tcW w:w="7619" w:type="dxa"/>
            <w:noWrap w:val="0"/>
            <w:vAlign w:val="center"/>
          </w:tcPr>
          <w:p w14:paraId="64259876">
            <w:pPr>
              <w:pStyle w:val="86"/>
              <w:rPr>
                <w:rFonts w:hint="eastAsia" w:ascii="宋体" w:hAnsi="宋体" w:eastAsia="宋体" w:cs="宋体"/>
                <w:color w:val="auto"/>
                <w:kern w:val="0"/>
                <w:sz w:val="22"/>
                <w:szCs w:val="22"/>
                <w:highlight w:val="none"/>
                <w:lang w:eastAsia="zh-CN"/>
              </w:rPr>
            </w:pPr>
            <w:r>
              <w:rPr>
                <w:rFonts w:hint="eastAsia"/>
                <w:color w:val="auto"/>
                <w:kern w:val="0"/>
                <w:sz w:val="22"/>
                <w:szCs w:val="22"/>
                <w:highlight w:val="none"/>
                <w:lang w:eastAsia="zh-CN"/>
              </w:rPr>
              <w:t>投标人2022年1月1日以来完成过类似污水治理或者黑臭水体治理类项目设计业绩</w:t>
            </w:r>
            <w:r>
              <w:rPr>
                <w:color w:val="auto"/>
                <w:kern w:val="0"/>
                <w:sz w:val="22"/>
                <w:szCs w:val="22"/>
                <w:highlight w:val="none"/>
                <w:lang w:eastAsia="zh-CN"/>
              </w:rPr>
              <w:t>，每有一个得</w:t>
            </w:r>
            <w:r>
              <w:rPr>
                <w:rFonts w:hint="eastAsia"/>
                <w:color w:val="auto"/>
                <w:kern w:val="0"/>
                <w:sz w:val="22"/>
                <w:szCs w:val="22"/>
                <w:highlight w:val="none"/>
                <w:lang w:val="en-US" w:eastAsia="zh-CN"/>
              </w:rPr>
              <w:t>3</w:t>
            </w:r>
            <w:r>
              <w:rPr>
                <w:color w:val="auto"/>
                <w:kern w:val="0"/>
                <w:sz w:val="22"/>
                <w:szCs w:val="22"/>
                <w:highlight w:val="none"/>
                <w:lang w:eastAsia="zh-CN"/>
              </w:rPr>
              <w:t>分，最多得</w:t>
            </w:r>
            <w:r>
              <w:rPr>
                <w:rFonts w:hint="eastAsia"/>
                <w:color w:val="auto"/>
                <w:kern w:val="0"/>
                <w:sz w:val="22"/>
                <w:szCs w:val="22"/>
                <w:highlight w:val="none"/>
                <w:lang w:val="en-US" w:eastAsia="zh-CN"/>
              </w:rPr>
              <w:t>9</w:t>
            </w:r>
            <w:r>
              <w:rPr>
                <w:color w:val="auto"/>
                <w:kern w:val="0"/>
                <w:sz w:val="22"/>
                <w:szCs w:val="22"/>
                <w:highlight w:val="none"/>
                <w:lang w:eastAsia="zh-CN"/>
              </w:rPr>
              <w:t>分。（以签订合同时间为准，投标文件中须附中标（成交）通知书、合同协议书扫描件并加盖投标人</w:t>
            </w:r>
            <w:r>
              <w:rPr>
                <w:rFonts w:hint="eastAsia"/>
                <w:color w:val="auto"/>
                <w:kern w:val="0"/>
                <w:sz w:val="22"/>
                <w:szCs w:val="22"/>
                <w:highlight w:val="none"/>
                <w:lang w:eastAsia="zh-CN"/>
              </w:rPr>
              <w:t>电子</w:t>
            </w:r>
            <w:r>
              <w:rPr>
                <w:color w:val="auto"/>
                <w:kern w:val="0"/>
                <w:sz w:val="22"/>
                <w:szCs w:val="22"/>
                <w:highlight w:val="none"/>
                <w:lang w:eastAsia="zh-CN"/>
              </w:rPr>
              <w:t>公章，否则不得分）。</w:t>
            </w:r>
          </w:p>
        </w:tc>
      </w:tr>
      <w:tr w14:paraId="58973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16" w:hRule="atLeast"/>
          <w:jc w:val="center"/>
        </w:trPr>
        <w:tc>
          <w:tcPr>
            <w:tcW w:w="1199" w:type="dxa"/>
            <w:vMerge w:val="continue"/>
            <w:noWrap w:val="0"/>
            <w:vAlign w:val="center"/>
          </w:tcPr>
          <w:p w14:paraId="7E87B2E3">
            <w:pPr>
              <w:rPr>
                <w:rFonts w:hint="eastAsia" w:ascii="宋体" w:hAnsi="宋体" w:cs="宋体"/>
                <w:color w:val="auto"/>
                <w:kern w:val="0"/>
                <w:sz w:val="22"/>
                <w:szCs w:val="22"/>
                <w:highlight w:val="none"/>
              </w:rPr>
            </w:pPr>
          </w:p>
        </w:tc>
        <w:tc>
          <w:tcPr>
            <w:tcW w:w="1440" w:type="dxa"/>
            <w:noWrap w:val="0"/>
            <w:vAlign w:val="center"/>
          </w:tcPr>
          <w:p w14:paraId="614E3DE6">
            <w:pPr>
              <w:pStyle w:val="86"/>
              <w:jc w:val="center"/>
              <w:rPr>
                <w:rFonts w:hint="eastAsia"/>
                <w:color w:val="auto"/>
                <w:kern w:val="0"/>
                <w:sz w:val="22"/>
                <w:szCs w:val="22"/>
                <w:highlight w:val="none"/>
                <w:lang w:eastAsia="zh-CN"/>
              </w:rPr>
            </w:pPr>
            <w:r>
              <w:rPr>
                <w:color w:val="auto"/>
                <w:kern w:val="0"/>
                <w:sz w:val="22"/>
                <w:szCs w:val="22"/>
                <w:highlight w:val="none"/>
                <w:lang w:eastAsia="zh-CN"/>
              </w:rPr>
              <w:t>企业</w:t>
            </w:r>
            <w:r>
              <w:rPr>
                <w:rFonts w:hint="eastAsia"/>
                <w:color w:val="auto"/>
                <w:kern w:val="0"/>
                <w:sz w:val="22"/>
                <w:szCs w:val="22"/>
                <w:highlight w:val="none"/>
                <w:lang w:eastAsia="zh-CN"/>
              </w:rPr>
              <w:t>荣誉</w:t>
            </w:r>
          </w:p>
          <w:p w14:paraId="61FCD0E5">
            <w:pPr>
              <w:pStyle w:val="86"/>
              <w:jc w:val="center"/>
              <w:rPr>
                <w:rFonts w:hint="eastAsia" w:ascii="宋体" w:hAnsi="宋体" w:eastAsia="宋体" w:cs="宋体"/>
                <w:color w:val="auto"/>
                <w:kern w:val="0"/>
                <w:sz w:val="22"/>
                <w:szCs w:val="22"/>
                <w:highlight w:val="none"/>
                <w:lang w:eastAsia="zh-CN"/>
              </w:rPr>
            </w:pPr>
            <w:r>
              <w:rPr>
                <w:color w:val="auto"/>
                <w:kern w:val="0"/>
                <w:sz w:val="22"/>
                <w:szCs w:val="22"/>
                <w:highlight w:val="none"/>
                <w:lang w:eastAsia="zh-CN"/>
              </w:rPr>
              <w:t>（</w:t>
            </w:r>
            <w:r>
              <w:rPr>
                <w:rFonts w:hint="eastAsia"/>
                <w:color w:val="auto"/>
                <w:kern w:val="0"/>
                <w:sz w:val="22"/>
                <w:szCs w:val="22"/>
                <w:highlight w:val="none"/>
                <w:lang w:val="en-US" w:eastAsia="zh-CN"/>
              </w:rPr>
              <w:t>5</w:t>
            </w:r>
            <w:r>
              <w:rPr>
                <w:color w:val="auto"/>
                <w:kern w:val="0"/>
                <w:sz w:val="22"/>
                <w:szCs w:val="22"/>
                <w:highlight w:val="none"/>
                <w:lang w:eastAsia="zh-CN"/>
              </w:rPr>
              <w:t>分）</w:t>
            </w:r>
          </w:p>
        </w:tc>
        <w:tc>
          <w:tcPr>
            <w:tcW w:w="7619" w:type="dxa"/>
            <w:noWrap w:val="0"/>
            <w:vAlign w:val="center"/>
          </w:tcPr>
          <w:p w14:paraId="679A1BC3">
            <w:pPr>
              <w:pStyle w:val="86"/>
              <w:rPr>
                <w:rFonts w:hint="eastAsia" w:ascii="宋体" w:hAnsi="宋体" w:eastAsia="宋体" w:cs="宋体"/>
                <w:color w:val="auto"/>
                <w:kern w:val="0"/>
                <w:sz w:val="22"/>
                <w:szCs w:val="22"/>
                <w:highlight w:val="none"/>
                <w:lang w:eastAsia="zh-CN"/>
              </w:rPr>
            </w:pPr>
            <w:r>
              <w:rPr>
                <w:color w:val="auto"/>
                <w:kern w:val="0"/>
                <w:sz w:val="22"/>
                <w:szCs w:val="22"/>
                <w:highlight w:val="none"/>
                <w:lang w:eastAsia="zh-CN"/>
              </w:rPr>
              <w:t>投标人</w:t>
            </w:r>
            <w:r>
              <w:rPr>
                <w:rFonts w:hint="eastAsia"/>
                <w:color w:val="auto"/>
                <w:kern w:val="0"/>
                <w:sz w:val="22"/>
                <w:szCs w:val="22"/>
                <w:highlight w:val="none"/>
                <w:lang w:eastAsia="zh-CN"/>
              </w:rPr>
              <w:t>具备质量、环境、职业健康安全管理体系认证证书，并在有效期内的，</w:t>
            </w:r>
            <w:r>
              <w:rPr>
                <w:rFonts w:hint="eastAsia"/>
                <w:color w:val="auto"/>
                <w:kern w:val="0"/>
                <w:sz w:val="22"/>
                <w:szCs w:val="22"/>
                <w:highlight w:val="none"/>
                <w:lang w:val="en-US" w:eastAsia="zh-CN"/>
              </w:rPr>
              <w:t>得5分，缺项不得分</w:t>
            </w:r>
            <w:r>
              <w:rPr>
                <w:color w:val="auto"/>
                <w:kern w:val="0"/>
                <w:sz w:val="22"/>
                <w:szCs w:val="22"/>
                <w:highlight w:val="none"/>
                <w:lang w:eastAsia="zh-CN"/>
              </w:rPr>
              <w:t>。（提供证书原件的扫描件并加盖投标人</w:t>
            </w:r>
            <w:r>
              <w:rPr>
                <w:rFonts w:hint="eastAsia"/>
                <w:color w:val="auto"/>
                <w:kern w:val="0"/>
                <w:sz w:val="22"/>
                <w:szCs w:val="22"/>
                <w:highlight w:val="none"/>
                <w:lang w:eastAsia="zh-CN"/>
              </w:rPr>
              <w:t>电子</w:t>
            </w:r>
            <w:r>
              <w:rPr>
                <w:color w:val="auto"/>
                <w:kern w:val="0"/>
                <w:sz w:val="22"/>
                <w:szCs w:val="22"/>
                <w:highlight w:val="none"/>
                <w:lang w:eastAsia="zh-CN"/>
              </w:rPr>
              <w:t>公章，否则不得分）</w:t>
            </w:r>
          </w:p>
        </w:tc>
      </w:tr>
      <w:tr w14:paraId="588C0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199" w:type="dxa"/>
            <w:vMerge w:val="continue"/>
            <w:noWrap w:val="0"/>
            <w:vAlign w:val="center"/>
          </w:tcPr>
          <w:p w14:paraId="20C2462E">
            <w:pPr>
              <w:rPr>
                <w:rFonts w:hint="eastAsia" w:ascii="宋体" w:hAnsi="宋体" w:cs="宋体"/>
                <w:color w:val="auto"/>
                <w:kern w:val="0"/>
                <w:sz w:val="22"/>
                <w:szCs w:val="22"/>
                <w:highlight w:val="none"/>
              </w:rPr>
            </w:pPr>
          </w:p>
        </w:tc>
        <w:tc>
          <w:tcPr>
            <w:tcW w:w="1440" w:type="dxa"/>
            <w:noWrap w:val="0"/>
            <w:vAlign w:val="center"/>
          </w:tcPr>
          <w:p w14:paraId="35A69DDB">
            <w:pPr>
              <w:pStyle w:val="86"/>
              <w:jc w:val="center"/>
              <w:rPr>
                <w:color w:val="auto"/>
                <w:kern w:val="0"/>
                <w:sz w:val="22"/>
                <w:szCs w:val="22"/>
                <w:highlight w:val="none"/>
                <w:lang w:eastAsia="zh-CN"/>
              </w:rPr>
            </w:pPr>
            <w:r>
              <w:rPr>
                <w:color w:val="auto"/>
                <w:kern w:val="0"/>
                <w:sz w:val="22"/>
                <w:szCs w:val="22"/>
                <w:highlight w:val="none"/>
                <w:lang w:eastAsia="zh-CN"/>
              </w:rPr>
              <w:t>项目人员配备</w:t>
            </w:r>
          </w:p>
          <w:p w14:paraId="50B64A59">
            <w:pPr>
              <w:pStyle w:val="86"/>
              <w:jc w:val="center"/>
              <w:rPr>
                <w:rFonts w:hint="eastAsia" w:ascii="宋体" w:hAnsi="宋体" w:eastAsia="宋体" w:cs="宋体"/>
                <w:color w:val="auto"/>
                <w:kern w:val="0"/>
                <w:sz w:val="22"/>
                <w:szCs w:val="22"/>
                <w:highlight w:val="none"/>
              </w:rPr>
            </w:pPr>
            <w:r>
              <w:rPr>
                <w:color w:val="auto"/>
                <w:kern w:val="0"/>
                <w:sz w:val="22"/>
                <w:szCs w:val="22"/>
                <w:highlight w:val="none"/>
                <w:lang w:eastAsia="zh-CN"/>
              </w:rPr>
              <w:t>（</w:t>
            </w:r>
            <w:r>
              <w:rPr>
                <w:rFonts w:hint="eastAsia"/>
                <w:color w:val="auto"/>
                <w:kern w:val="0"/>
                <w:sz w:val="22"/>
                <w:szCs w:val="22"/>
                <w:highlight w:val="none"/>
                <w:lang w:eastAsia="zh-CN"/>
              </w:rPr>
              <w:t>1</w:t>
            </w:r>
            <w:r>
              <w:rPr>
                <w:rFonts w:hint="eastAsia"/>
                <w:color w:val="auto"/>
                <w:kern w:val="0"/>
                <w:sz w:val="22"/>
                <w:szCs w:val="22"/>
                <w:highlight w:val="none"/>
                <w:lang w:val="en-US" w:eastAsia="zh-CN"/>
              </w:rPr>
              <w:t>8</w:t>
            </w:r>
            <w:r>
              <w:rPr>
                <w:color w:val="auto"/>
                <w:kern w:val="0"/>
                <w:sz w:val="22"/>
                <w:szCs w:val="22"/>
                <w:highlight w:val="none"/>
                <w:lang w:eastAsia="zh-CN"/>
              </w:rPr>
              <w:t>分）</w:t>
            </w:r>
          </w:p>
        </w:tc>
        <w:tc>
          <w:tcPr>
            <w:tcW w:w="7619" w:type="dxa"/>
            <w:noWrap w:val="0"/>
            <w:vAlign w:val="top"/>
          </w:tcPr>
          <w:p w14:paraId="5E7DBEE6">
            <w:pPr>
              <w:pStyle w:val="86"/>
              <w:rPr>
                <w:rFonts w:hint="eastAsia" w:ascii="宋体" w:hAnsi="宋体" w:eastAsia="宋体" w:cs="宋体"/>
                <w:color w:val="auto"/>
                <w:kern w:val="0"/>
                <w:sz w:val="22"/>
                <w:szCs w:val="22"/>
                <w:highlight w:val="none"/>
                <w:lang w:eastAsia="zh-CN"/>
              </w:rPr>
            </w:pPr>
            <w:r>
              <w:rPr>
                <w:color w:val="auto"/>
                <w:kern w:val="0"/>
                <w:sz w:val="22"/>
                <w:szCs w:val="22"/>
                <w:highlight w:val="none"/>
                <w:lang w:eastAsia="zh-CN"/>
              </w:rPr>
              <w:t>项目组人员（项目负责人除外）配备有注册公用设备工程师</w:t>
            </w:r>
            <w:r>
              <w:rPr>
                <w:rFonts w:hint="eastAsia"/>
                <w:color w:val="auto"/>
                <w:kern w:val="0"/>
                <w:sz w:val="22"/>
                <w:szCs w:val="22"/>
                <w:highlight w:val="none"/>
                <w:lang w:eastAsia="zh-CN"/>
              </w:rPr>
              <w:t>（</w:t>
            </w:r>
            <w:r>
              <w:rPr>
                <w:color w:val="auto"/>
                <w:kern w:val="0"/>
                <w:sz w:val="22"/>
                <w:szCs w:val="22"/>
                <w:highlight w:val="none"/>
                <w:lang w:eastAsia="zh-CN"/>
              </w:rPr>
              <w:t>给水排水</w:t>
            </w:r>
            <w:r>
              <w:rPr>
                <w:rFonts w:hint="eastAsia"/>
                <w:color w:val="auto"/>
                <w:kern w:val="0"/>
                <w:sz w:val="22"/>
                <w:szCs w:val="22"/>
                <w:highlight w:val="none"/>
                <w:lang w:eastAsia="zh-CN"/>
              </w:rPr>
              <w:t>）、</w:t>
            </w:r>
            <w:r>
              <w:rPr>
                <w:color w:val="auto"/>
                <w:kern w:val="0"/>
                <w:sz w:val="22"/>
                <w:szCs w:val="22"/>
                <w:highlight w:val="none"/>
                <w:lang w:eastAsia="zh-CN"/>
              </w:rPr>
              <w:t>注册土木工程师（岩土）、</w:t>
            </w:r>
            <w:r>
              <w:rPr>
                <w:rFonts w:hint="eastAsia"/>
                <w:color w:val="auto"/>
                <w:kern w:val="0"/>
                <w:sz w:val="22"/>
                <w:szCs w:val="22"/>
                <w:highlight w:val="none"/>
                <w:lang w:val="en-US" w:eastAsia="zh-CN"/>
              </w:rPr>
              <w:t>注册结构工程师、</w:t>
            </w:r>
            <w:r>
              <w:rPr>
                <w:color w:val="auto"/>
                <w:kern w:val="0"/>
                <w:sz w:val="22"/>
                <w:szCs w:val="22"/>
                <w:highlight w:val="none"/>
                <w:lang w:eastAsia="zh-CN"/>
              </w:rPr>
              <w:t>注册造价工程师、注册电气工程师</w:t>
            </w:r>
            <w:r>
              <w:rPr>
                <w:rFonts w:hint="eastAsia"/>
                <w:color w:val="auto"/>
                <w:kern w:val="0"/>
                <w:sz w:val="22"/>
                <w:szCs w:val="22"/>
                <w:highlight w:val="none"/>
                <w:lang w:eastAsia="zh-CN"/>
              </w:rPr>
              <w:t>（</w:t>
            </w:r>
            <w:r>
              <w:rPr>
                <w:color w:val="auto"/>
                <w:kern w:val="0"/>
                <w:sz w:val="22"/>
                <w:szCs w:val="22"/>
                <w:highlight w:val="none"/>
                <w:lang w:eastAsia="zh-CN"/>
              </w:rPr>
              <w:t>供配电</w:t>
            </w:r>
            <w:r>
              <w:rPr>
                <w:rFonts w:hint="eastAsia"/>
                <w:color w:val="auto"/>
                <w:kern w:val="0"/>
                <w:sz w:val="22"/>
                <w:szCs w:val="22"/>
                <w:highlight w:val="none"/>
                <w:lang w:eastAsia="zh-CN"/>
              </w:rPr>
              <w:t>）</w:t>
            </w:r>
            <w:r>
              <w:rPr>
                <w:rFonts w:hint="eastAsia"/>
                <w:color w:val="auto"/>
                <w:kern w:val="0"/>
                <w:sz w:val="22"/>
                <w:szCs w:val="22"/>
                <w:highlight w:val="none"/>
                <w:lang w:val="en-US" w:eastAsia="zh-CN"/>
              </w:rPr>
              <w:t>或对应</w:t>
            </w:r>
            <w:r>
              <w:rPr>
                <w:rFonts w:hint="eastAsia"/>
                <w:color w:val="auto"/>
                <w:kern w:val="0"/>
                <w:sz w:val="22"/>
                <w:szCs w:val="22"/>
                <w:highlight w:val="none"/>
                <w:lang w:eastAsia="zh-CN"/>
              </w:rPr>
              <w:t>高级</w:t>
            </w:r>
            <w:r>
              <w:rPr>
                <w:rFonts w:hint="eastAsia"/>
                <w:color w:val="auto"/>
                <w:kern w:val="0"/>
                <w:sz w:val="22"/>
                <w:szCs w:val="22"/>
                <w:highlight w:val="none"/>
                <w:lang w:val="en-US" w:eastAsia="zh-CN"/>
              </w:rPr>
              <w:t>及以上</w:t>
            </w:r>
            <w:r>
              <w:rPr>
                <w:rFonts w:hint="eastAsia"/>
                <w:color w:val="auto"/>
                <w:kern w:val="0"/>
                <w:sz w:val="22"/>
                <w:szCs w:val="22"/>
                <w:highlight w:val="none"/>
                <w:lang w:eastAsia="zh-CN"/>
              </w:rPr>
              <w:t>职称证书</w:t>
            </w:r>
            <w:r>
              <w:rPr>
                <w:rFonts w:hint="eastAsia"/>
                <w:color w:val="auto"/>
                <w:kern w:val="0"/>
                <w:sz w:val="22"/>
                <w:szCs w:val="22"/>
                <w:highlight w:val="none"/>
                <w:lang w:val="en-US" w:eastAsia="zh-CN"/>
              </w:rPr>
              <w:t>人员</w:t>
            </w:r>
            <w:r>
              <w:rPr>
                <w:color w:val="auto"/>
                <w:kern w:val="0"/>
                <w:sz w:val="22"/>
                <w:szCs w:val="22"/>
                <w:highlight w:val="none"/>
                <w:lang w:eastAsia="zh-CN"/>
              </w:rPr>
              <w:t>，以上人员需提供本单位为其缴纳的社保证明（</w:t>
            </w:r>
            <w:r>
              <w:rPr>
                <w:rFonts w:hint="eastAsia"/>
                <w:color w:val="auto"/>
                <w:kern w:val="0"/>
                <w:sz w:val="22"/>
                <w:szCs w:val="22"/>
                <w:highlight w:val="none"/>
                <w:lang w:eastAsia="zh-CN"/>
              </w:rPr>
              <w:t>须提供投标人2026年1月以来任意三个月为其缴纳的社保证明材料，</w:t>
            </w:r>
            <w:r>
              <w:rPr>
                <w:rFonts w:hint="eastAsia"/>
                <w:color w:val="auto"/>
                <w:kern w:val="0"/>
                <w:sz w:val="22"/>
                <w:szCs w:val="22"/>
                <w:highlight w:val="none"/>
                <w:lang w:val="en-US" w:eastAsia="zh-CN"/>
              </w:rPr>
              <w:t>新成立企业从成立之日起算</w:t>
            </w:r>
            <w:r>
              <w:rPr>
                <w:color w:val="auto"/>
                <w:kern w:val="0"/>
                <w:sz w:val="22"/>
                <w:szCs w:val="22"/>
                <w:highlight w:val="none"/>
                <w:lang w:eastAsia="zh-CN"/>
              </w:rPr>
              <w:t>，至少应包括养老保险证明）。专业齐全得</w:t>
            </w:r>
            <w:r>
              <w:rPr>
                <w:rFonts w:hint="eastAsia"/>
                <w:color w:val="auto"/>
                <w:kern w:val="0"/>
                <w:sz w:val="22"/>
                <w:szCs w:val="22"/>
                <w:highlight w:val="none"/>
                <w:lang w:eastAsia="zh-CN"/>
              </w:rPr>
              <w:t>1</w:t>
            </w:r>
            <w:r>
              <w:rPr>
                <w:rFonts w:hint="eastAsia"/>
                <w:color w:val="auto"/>
                <w:kern w:val="0"/>
                <w:sz w:val="22"/>
                <w:szCs w:val="22"/>
                <w:highlight w:val="none"/>
                <w:lang w:val="en-US" w:eastAsia="zh-CN"/>
              </w:rPr>
              <w:t>5</w:t>
            </w:r>
            <w:r>
              <w:rPr>
                <w:color w:val="auto"/>
                <w:kern w:val="0"/>
                <w:sz w:val="22"/>
                <w:szCs w:val="22"/>
                <w:highlight w:val="none"/>
                <w:lang w:eastAsia="zh-CN"/>
              </w:rPr>
              <w:t>分，每缺一名人员（或不合格）或一个专业扣</w:t>
            </w:r>
            <w:r>
              <w:rPr>
                <w:rFonts w:hint="eastAsia"/>
                <w:color w:val="auto"/>
                <w:kern w:val="0"/>
                <w:sz w:val="22"/>
                <w:szCs w:val="22"/>
                <w:highlight w:val="none"/>
                <w:lang w:eastAsia="zh-CN"/>
              </w:rPr>
              <w:t>3</w:t>
            </w:r>
            <w:r>
              <w:rPr>
                <w:color w:val="auto"/>
                <w:kern w:val="0"/>
                <w:sz w:val="22"/>
                <w:szCs w:val="22"/>
                <w:highlight w:val="none"/>
                <w:lang w:eastAsia="zh-CN"/>
              </w:rPr>
              <w:t>分，扣完为止</w:t>
            </w:r>
            <w:r>
              <w:rPr>
                <w:rFonts w:hint="eastAsia"/>
                <w:color w:val="auto"/>
                <w:kern w:val="0"/>
                <w:sz w:val="22"/>
                <w:szCs w:val="22"/>
                <w:highlight w:val="none"/>
                <w:lang w:eastAsia="zh-CN"/>
              </w:rPr>
              <w:t>；</w:t>
            </w:r>
            <w:r>
              <w:rPr>
                <w:rFonts w:hint="eastAsia"/>
                <w:color w:val="auto"/>
                <w:kern w:val="0"/>
                <w:sz w:val="22"/>
                <w:szCs w:val="22"/>
                <w:highlight w:val="none"/>
                <w:lang w:val="en-US" w:eastAsia="zh-CN"/>
              </w:rPr>
              <w:t>每增加</w:t>
            </w:r>
            <w:r>
              <w:rPr>
                <w:color w:val="auto"/>
                <w:kern w:val="0"/>
                <w:sz w:val="22"/>
                <w:szCs w:val="22"/>
                <w:highlight w:val="none"/>
                <w:lang w:eastAsia="zh-CN"/>
              </w:rPr>
              <w:t>一名人员或一个专业</w:t>
            </w:r>
            <w:r>
              <w:rPr>
                <w:rFonts w:hint="eastAsia"/>
                <w:color w:val="auto"/>
                <w:kern w:val="0"/>
                <w:sz w:val="22"/>
                <w:szCs w:val="22"/>
                <w:highlight w:val="none"/>
                <w:lang w:val="en-US" w:eastAsia="zh-CN"/>
              </w:rPr>
              <w:t>加</w:t>
            </w:r>
            <w:r>
              <w:rPr>
                <w:rFonts w:hint="eastAsia"/>
                <w:color w:val="auto"/>
                <w:kern w:val="0"/>
                <w:sz w:val="22"/>
                <w:szCs w:val="22"/>
                <w:highlight w:val="none"/>
                <w:lang w:eastAsia="zh-CN"/>
              </w:rPr>
              <w:t>3</w:t>
            </w:r>
            <w:r>
              <w:rPr>
                <w:color w:val="auto"/>
                <w:kern w:val="0"/>
                <w:sz w:val="22"/>
                <w:szCs w:val="22"/>
                <w:highlight w:val="none"/>
                <w:lang w:eastAsia="zh-CN"/>
              </w:rPr>
              <w:t>分</w:t>
            </w:r>
            <w:r>
              <w:rPr>
                <w:rFonts w:hint="eastAsia"/>
                <w:color w:val="auto"/>
                <w:kern w:val="0"/>
                <w:sz w:val="22"/>
                <w:szCs w:val="22"/>
                <w:highlight w:val="none"/>
                <w:lang w:eastAsia="zh-CN"/>
              </w:rPr>
              <w:t>，</w:t>
            </w:r>
            <w:r>
              <w:rPr>
                <w:rFonts w:hint="eastAsia"/>
                <w:color w:val="auto"/>
                <w:kern w:val="0"/>
                <w:sz w:val="22"/>
                <w:szCs w:val="22"/>
                <w:highlight w:val="none"/>
                <w:lang w:val="en-US" w:eastAsia="zh-CN"/>
              </w:rPr>
              <w:t>最多得18分。</w:t>
            </w:r>
            <w:r>
              <w:rPr>
                <w:color w:val="auto"/>
                <w:kern w:val="0"/>
                <w:sz w:val="22"/>
                <w:szCs w:val="22"/>
                <w:highlight w:val="none"/>
                <w:lang w:eastAsia="zh-CN"/>
              </w:rPr>
              <w:t>（注：社保证明指由社保部门出具的在本单位缴纳社保的原件加盖社保部门印章或者在社保部门官方网站下载的带有社保机构印章的证明材料）（投标文件中须附以上证明材料的扫描件并加盖投标人</w:t>
            </w:r>
            <w:r>
              <w:rPr>
                <w:rFonts w:hint="eastAsia"/>
                <w:color w:val="auto"/>
                <w:kern w:val="0"/>
                <w:sz w:val="22"/>
                <w:szCs w:val="22"/>
                <w:highlight w:val="none"/>
                <w:lang w:eastAsia="zh-CN"/>
              </w:rPr>
              <w:t>电子</w:t>
            </w:r>
            <w:r>
              <w:rPr>
                <w:color w:val="auto"/>
                <w:kern w:val="0"/>
                <w:sz w:val="22"/>
                <w:szCs w:val="22"/>
                <w:highlight w:val="none"/>
                <w:lang w:eastAsia="zh-CN"/>
              </w:rPr>
              <w:t>公章，否则不得分）</w:t>
            </w:r>
          </w:p>
        </w:tc>
      </w:tr>
      <w:tr w14:paraId="0C598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199" w:type="dxa"/>
            <w:vMerge w:val="continue"/>
            <w:noWrap w:val="0"/>
            <w:vAlign w:val="center"/>
          </w:tcPr>
          <w:p w14:paraId="6B57BE8B">
            <w:pPr>
              <w:rPr>
                <w:rFonts w:hint="eastAsia" w:ascii="宋体" w:hAnsi="宋体" w:cs="宋体"/>
                <w:color w:val="auto"/>
                <w:kern w:val="0"/>
                <w:sz w:val="22"/>
                <w:szCs w:val="22"/>
                <w:highlight w:val="none"/>
              </w:rPr>
            </w:pPr>
          </w:p>
        </w:tc>
        <w:tc>
          <w:tcPr>
            <w:tcW w:w="1440" w:type="dxa"/>
            <w:noWrap w:val="0"/>
            <w:vAlign w:val="center"/>
          </w:tcPr>
          <w:p w14:paraId="32BA9B66">
            <w:pPr>
              <w:pStyle w:val="86"/>
              <w:jc w:val="center"/>
              <w:rPr>
                <w:rFonts w:hint="eastAsia"/>
                <w:color w:val="auto"/>
                <w:kern w:val="0"/>
                <w:sz w:val="22"/>
                <w:szCs w:val="22"/>
                <w:highlight w:val="none"/>
              </w:rPr>
            </w:pPr>
            <w:r>
              <w:rPr>
                <w:rFonts w:hint="eastAsia"/>
                <w:color w:val="auto"/>
                <w:kern w:val="0"/>
                <w:sz w:val="22"/>
                <w:szCs w:val="22"/>
                <w:highlight w:val="none"/>
              </w:rPr>
              <w:t>服务承诺</w:t>
            </w:r>
          </w:p>
          <w:p w14:paraId="394CD0FF">
            <w:pPr>
              <w:pStyle w:val="86"/>
              <w:jc w:val="center"/>
              <w:rPr>
                <w:rFonts w:hint="eastAsia" w:ascii="宋体" w:hAnsi="宋体" w:eastAsia="宋体" w:cs="宋体"/>
                <w:color w:val="auto"/>
                <w:spacing w:val="-6"/>
                <w:kern w:val="0"/>
                <w:sz w:val="22"/>
                <w:szCs w:val="22"/>
                <w:highlight w:val="none"/>
              </w:rPr>
            </w:pPr>
            <w:r>
              <w:rPr>
                <w:rFonts w:hint="eastAsia"/>
                <w:color w:val="auto"/>
                <w:spacing w:val="-6"/>
                <w:kern w:val="0"/>
                <w:sz w:val="22"/>
                <w:szCs w:val="22"/>
                <w:highlight w:val="none"/>
              </w:rPr>
              <w:t>（</w:t>
            </w:r>
            <w:r>
              <w:rPr>
                <w:rFonts w:hint="eastAsia"/>
                <w:color w:val="auto"/>
                <w:spacing w:val="-6"/>
                <w:kern w:val="0"/>
                <w:sz w:val="22"/>
                <w:szCs w:val="22"/>
                <w:highlight w:val="none"/>
                <w:lang w:val="en-US" w:eastAsia="zh-CN"/>
              </w:rPr>
              <w:t>5</w:t>
            </w:r>
            <w:r>
              <w:rPr>
                <w:rFonts w:hint="eastAsia"/>
                <w:color w:val="auto"/>
                <w:spacing w:val="-6"/>
                <w:kern w:val="0"/>
                <w:sz w:val="22"/>
                <w:szCs w:val="22"/>
                <w:highlight w:val="none"/>
              </w:rPr>
              <w:t>分）</w:t>
            </w:r>
          </w:p>
        </w:tc>
        <w:tc>
          <w:tcPr>
            <w:tcW w:w="7619" w:type="dxa"/>
            <w:noWrap w:val="0"/>
            <w:vAlign w:val="top"/>
          </w:tcPr>
          <w:p w14:paraId="56CC2840">
            <w:pPr>
              <w:pStyle w:val="86"/>
              <w:rPr>
                <w:rFonts w:hint="eastAsia" w:ascii="宋体" w:hAnsi="宋体" w:eastAsia="宋体" w:cs="宋体"/>
                <w:color w:val="auto"/>
                <w:kern w:val="0"/>
                <w:sz w:val="22"/>
                <w:szCs w:val="22"/>
                <w:highlight w:val="none"/>
                <w:lang w:eastAsia="zh-CN"/>
              </w:rPr>
            </w:pPr>
            <w:r>
              <w:rPr>
                <w:rFonts w:hint="eastAsia"/>
                <w:color w:val="auto"/>
                <w:kern w:val="0"/>
                <w:sz w:val="22"/>
                <w:szCs w:val="22"/>
                <w:highlight w:val="none"/>
                <w:lang w:eastAsia="zh-CN"/>
              </w:rPr>
              <w:t>提供具体服务承诺，对本地化、时效性、工作质量、工作进度、安全、保密、环境保护、服务形式、服务人员组成、与采购人的配合、后续服务、采购人的其他要求的</w:t>
            </w:r>
            <w:r>
              <w:rPr>
                <w:rFonts w:hint="eastAsia"/>
                <w:color w:val="auto"/>
                <w:spacing w:val="-3"/>
                <w:kern w:val="0"/>
                <w:sz w:val="22"/>
                <w:szCs w:val="22"/>
                <w:highlight w:val="none"/>
                <w:lang w:eastAsia="zh-CN"/>
              </w:rPr>
              <w:t>得</w:t>
            </w:r>
            <w:r>
              <w:rPr>
                <w:rFonts w:hint="eastAsia"/>
                <w:color w:val="auto"/>
                <w:spacing w:val="-3"/>
                <w:kern w:val="0"/>
                <w:sz w:val="22"/>
                <w:szCs w:val="22"/>
                <w:highlight w:val="none"/>
                <w:lang w:val="en-US" w:eastAsia="zh-CN"/>
              </w:rPr>
              <w:t>5</w:t>
            </w:r>
            <w:r>
              <w:rPr>
                <w:rFonts w:hint="eastAsia"/>
                <w:color w:val="auto"/>
                <w:spacing w:val="-3"/>
                <w:kern w:val="0"/>
                <w:sz w:val="22"/>
                <w:szCs w:val="22"/>
                <w:highlight w:val="none"/>
                <w:lang w:eastAsia="zh-CN"/>
              </w:rPr>
              <w:t>分，不提</w:t>
            </w:r>
            <w:r>
              <w:rPr>
                <w:rFonts w:hint="eastAsia"/>
                <w:color w:val="auto"/>
                <w:kern w:val="0"/>
                <w:sz w:val="22"/>
                <w:szCs w:val="22"/>
                <w:highlight w:val="none"/>
                <w:lang w:eastAsia="zh-CN"/>
              </w:rPr>
              <w:t>供不得分。</w:t>
            </w:r>
          </w:p>
        </w:tc>
      </w:tr>
    </w:tbl>
    <w:p w14:paraId="0CEF071B">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最终得分为磋商小组所有成员计分的算术平均值，计算保留小数点两位，小数点后第三位四舍五入。</w:t>
      </w:r>
    </w:p>
    <w:p w14:paraId="526B5EE8">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22.3磋商小组根据综合评分情况，按照评审得分由高到低顺序推荐成交候选供应商，并编写评审报告。综合得分相同的供应商，报价较低者优先；报价也相同的，由采购人自行确定。</w:t>
      </w:r>
    </w:p>
    <w:p w14:paraId="4D1156DE">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2DA110D6">
      <w:pPr>
        <w:spacing w:line="560" w:lineRule="exact"/>
        <w:ind w:firstLine="480" w:firstLineChars="200"/>
        <w:rPr>
          <w:rFonts w:hint="eastAsia" w:ascii="宋体" w:hAnsi="宋体" w:eastAsia="宋体" w:cs="宋体"/>
          <w:b/>
          <w:color w:val="auto"/>
          <w:sz w:val="24"/>
          <w:highlight w:val="none"/>
        </w:rPr>
      </w:pPr>
      <w:r>
        <w:rPr>
          <w:rFonts w:hint="eastAsia" w:ascii="宋体" w:hAnsi="宋体" w:eastAsia="宋体" w:cs="宋体"/>
          <w:color w:val="auto"/>
          <w:sz w:val="24"/>
          <w:highlight w:val="none"/>
        </w:rPr>
        <w:t>22.5若供应商的报价高于项目预算，磋商小组有权根据采购人意见及其实际情况，拒绝该报价。</w:t>
      </w:r>
    </w:p>
    <w:p w14:paraId="27CFAEB0">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7B8F2ADB">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22.7在竞争性磋商期间，供应商不得向竞争性磋商小组成员询问其它供应商竞争性磋商情况，不得进行旨在影响成交结果的活动。</w:t>
      </w:r>
    </w:p>
    <w:p w14:paraId="62D2B645">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22.8在竞争性磋商期间，采购人将有专门人员与供应商进行联络。</w:t>
      </w:r>
    </w:p>
    <w:p w14:paraId="5A951A25">
      <w:pPr>
        <w:spacing w:line="560" w:lineRule="exact"/>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23.竞争性磋商终止</w:t>
      </w:r>
    </w:p>
    <w:p w14:paraId="701E92A3">
      <w:pPr>
        <w:spacing w:line="560" w:lineRule="exact"/>
        <w:ind w:firstLine="480" w:firstLineChars="200"/>
        <w:rPr>
          <w:rFonts w:hint="eastAsia" w:ascii="宋体" w:hAnsi="宋体" w:eastAsia="宋体" w:cs="宋体"/>
          <w:b/>
          <w:color w:val="auto"/>
          <w:sz w:val="24"/>
          <w:highlight w:val="none"/>
        </w:rPr>
      </w:pPr>
      <w:r>
        <w:rPr>
          <w:rFonts w:hint="eastAsia" w:ascii="宋体" w:hAnsi="宋体" w:eastAsia="宋体" w:cs="宋体"/>
          <w:bCs/>
          <w:color w:val="auto"/>
          <w:sz w:val="24"/>
          <w:highlight w:val="none"/>
        </w:rPr>
        <w:t>23.1出现下列情形之一时，采购人有权宣布竞争性磋商终止，并将理由通知所有供应商：</w:t>
      </w:r>
    </w:p>
    <w:p w14:paraId="41860B1F">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（1）因情况变化，不再符合竞争性磋商适用情形的；</w:t>
      </w:r>
    </w:p>
    <w:p w14:paraId="05DF3B04">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（2）出现影响采购公正的违法、违规行为的；</w:t>
      </w:r>
    </w:p>
    <w:p w14:paraId="3FF47A29">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（3）在采购过程中符合磋商文件要求的供应商不足3家的；</w:t>
      </w:r>
    </w:p>
    <w:p w14:paraId="1B8E2391">
      <w:pPr>
        <w:spacing w:line="560" w:lineRule="exact"/>
        <w:ind w:firstLine="480" w:firstLineChars="200"/>
        <w:rPr>
          <w:rFonts w:hint="eastAsia" w:ascii="宋体" w:hAnsi="宋体" w:eastAsia="宋体" w:cs="宋体"/>
          <w:b/>
          <w:color w:val="auto"/>
          <w:sz w:val="24"/>
          <w:highlight w:val="none"/>
        </w:rPr>
      </w:pPr>
      <w:r>
        <w:rPr>
          <w:rFonts w:hint="eastAsia" w:ascii="宋体" w:hAnsi="宋体" w:eastAsia="宋体" w:cs="宋体"/>
          <w:color w:val="auto"/>
          <w:sz w:val="24"/>
          <w:highlight w:val="none"/>
        </w:rPr>
        <w:t>（4）在采购活动中因重大变故，采购任务取消的；</w:t>
      </w:r>
    </w:p>
    <w:p w14:paraId="2E3AE8AA">
      <w:pPr>
        <w:spacing w:line="720" w:lineRule="auto"/>
        <w:jc w:val="center"/>
        <w:outlineLvl w:val="1"/>
        <w:rPr>
          <w:rFonts w:hint="eastAsia" w:ascii="宋体" w:hAnsi="宋体" w:eastAsia="宋体" w:cs="宋体"/>
          <w:b/>
          <w:color w:val="auto"/>
          <w:sz w:val="24"/>
          <w:highlight w:val="none"/>
        </w:rPr>
      </w:pPr>
      <w:bookmarkStart w:id="40" w:name="_Toc17605"/>
      <w:r>
        <w:rPr>
          <w:rFonts w:hint="eastAsia" w:ascii="宋体" w:hAnsi="宋体" w:eastAsia="宋体" w:cs="宋体"/>
          <w:b/>
          <w:color w:val="auto"/>
          <w:sz w:val="24"/>
          <w:highlight w:val="none"/>
        </w:rPr>
        <w:t>七、成交通知</w:t>
      </w:r>
      <w:bookmarkEnd w:id="40"/>
    </w:p>
    <w:p w14:paraId="51AB62EB">
      <w:pPr>
        <w:spacing w:line="560" w:lineRule="exact"/>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24.成交通知</w:t>
      </w:r>
    </w:p>
    <w:p w14:paraId="1A88BB67">
      <w:pPr>
        <w:pStyle w:val="38"/>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24.1采购人应当自收到评审报告之日起5个工作日内在评审报告推荐的成交候选人中按顺序确定成交供应商。</w:t>
      </w:r>
    </w:p>
    <w:p w14:paraId="6A164446">
      <w:pPr>
        <w:tabs>
          <w:tab w:val="left" w:pos="1800"/>
        </w:tabs>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24.2在发出成交公告后请采购人、中标人登录周口市公共资源交易中心网（http://jyzx.zhoukou.gov.cn）自行下载成交通知书。</w:t>
      </w:r>
    </w:p>
    <w:p w14:paraId="44659BF5">
      <w:pPr>
        <w:tabs>
          <w:tab w:val="left" w:pos="1800"/>
        </w:tabs>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24.3成交通知书对采购人和成交供应商具有同等法律效力。成交通知书发出后，采购人改变成交结果，或者成交供应商放弃成交，应当承担相应的法律责任。</w:t>
      </w:r>
    </w:p>
    <w:p w14:paraId="141FCF38">
      <w:pPr>
        <w:spacing w:line="720" w:lineRule="auto"/>
        <w:jc w:val="center"/>
        <w:outlineLvl w:val="1"/>
        <w:rPr>
          <w:rFonts w:hint="eastAsia" w:ascii="宋体" w:hAnsi="宋体" w:eastAsia="宋体" w:cs="宋体"/>
          <w:color w:val="auto"/>
          <w:sz w:val="24"/>
          <w:highlight w:val="none"/>
        </w:rPr>
      </w:pPr>
      <w:bookmarkStart w:id="41" w:name="_Toc16454"/>
      <w:r>
        <w:rPr>
          <w:rFonts w:hint="eastAsia" w:ascii="宋体" w:hAnsi="宋体" w:eastAsia="宋体" w:cs="宋体"/>
          <w:b/>
          <w:color w:val="auto"/>
          <w:sz w:val="24"/>
          <w:highlight w:val="none"/>
        </w:rPr>
        <w:t>八、合同授予</w:t>
      </w:r>
      <w:bookmarkEnd w:id="41"/>
    </w:p>
    <w:p w14:paraId="1B430CE4">
      <w:pPr>
        <w:tabs>
          <w:tab w:val="left" w:pos="1620"/>
        </w:tabs>
        <w:spacing w:line="560" w:lineRule="exact"/>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25.签订合同及合同的执行</w:t>
      </w:r>
    </w:p>
    <w:p w14:paraId="4BE2F3BC">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25.1采购人、成交供应商按照竞争性磋商文件确定的合同文本签订政府采购合同。</w:t>
      </w:r>
    </w:p>
    <w:p w14:paraId="571E1B33">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25.2采购人不得向成交供应商提出超过竞争性磋商文件以外的任何要求作为签订合同的条件，不得与成交供应商订立背离竞争性磋商文件确定的合同文本协议。</w:t>
      </w:r>
    </w:p>
    <w:p w14:paraId="1ADF0484">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4CA099CE">
      <w:pPr>
        <w:spacing w:line="720" w:lineRule="auto"/>
        <w:jc w:val="center"/>
        <w:outlineLvl w:val="1"/>
        <w:rPr>
          <w:rFonts w:hint="eastAsia" w:ascii="宋体" w:hAnsi="宋体" w:eastAsia="宋体" w:cs="宋体"/>
          <w:b/>
          <w:color w:val="auto"/>
          <w:sz w:val="24"/>
          <w:highlight w:val="none"/>
        </w:rPr>
      </w:pPr>
      <w:bookmarkStart w:id="42" w:name="_Toc563"/>
      <w:r>
        <w:rPr>
          <w:rFonts w:hint="eastAsia" w:ascii="宋体" w:hAnsi="宋体" w:eastAsia="宋体" w:cs="宋体"/>
          <w:b/>
          <w:color w:val="auto"/>
          <w:sz w:val="24"/>
          <w:highlight w:val="none"/>
        </w:rPr>
        <w:t>九、质疑处理</w:t>
      </w:r>
      <w:bookmarkEnd w:id="42"/>
    </w:p>
    <w:p w14:paraId="7028C500">
      <w:pPr>
        <w:tabs>
          <w:tab w:val="left" w:pos="1620"/>
        </w:tabs>
        <w:spacing w:line="560" w:lineRule="exact"/>
        <w:ind w:firstLine="482" w:firstLineChars="200"/>
        <w:rPr>
          <w:rFonts w:hint="eastAsia" w:ascii="宋体" w:hAnsi="宋体" w:eastAsia="宋体" w:cs="宋体"/>
          <w:b/>
          <w:color w:val="auto"/>
          <w:sz w:val="24"/>
          <w:highlight w:val="none"/>
        </w:rPr>
      </w:pPr>
      <w:bookmarkStart w:id="43" w:name="_Toc19018"/>
      <w:r>
        <w:rPr>
          <w:rFonts w:hint="eastAsia" w:ascii="宋体" w:hAnsi="宋体" w:eastAsia="宋体" w:cs="宋体"/>
          <w:b/>
          <w:color w:val="auto"/>
          <w:sz w:val="24"/>
          <w:highlight w:val="none"/>
        </w:rPr>
        <w:t>26.质疑程序及处理</w:t>
      </w:r>
      <w:bookmarkEnd w:id="43"/>
    </w:p>
    <w:p w14:paraId="409A52FB">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26.1</w:t>
      </w:r>
      <w:r>
        <w:rPr>
          <w:rFonts w:hint="eastAsia" w:ascii="宋体" w:hAnsi="宋体" w:eastAsia="宋体" w:cs="宋体"/>
          <w:bCs/>
          <w:color w:val="auto"/>
          <w:sz w:val="24"/>
          <w:highlight w:val="none"/>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15AE319C">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26.2采购人在收到供应商的书面质疑后七个工作日内做出答复，并以书面形式通知质疑供应商和其他供应商，但答复内容不得涉及商业秘密。</w:t>
      </w:r>
    </w:p>
    <w:p w14:paraId="12942B57">
      <w:pPr>
        <w:spacing w:line="560" w:lineRule="exact"/>
        <w:ind w:firstLine="480" w:firstLineChars="200"/>
        <w:rPr>
          <w:rFonts w:hint="eastAsia" w:ascii="宋体" w:hAnsi="宋体" w:eastAsia="宋体" w:cs="宋体"/>
          <w:bCs/>
          <w:color w:val="auto"/>
          <w:sz w:val="24"/>
          <w:highlight w:val="none"/>
        </w:rPr>
      </w:pPr>
      <w:r>
        <w:rPr>
          <w:rFonts w:hint="eastAsia" w:ascii="宋体" w:hAnsi="宋体" w:eastAsia="宋体" w:cs="宋体"/>
          <w:color w:val="auto"/>
          <w:sz w:val="24"/>
          <w:highlight w:val="none"/>
        </w:rPr>
        <w:t>26.3</w:t>
      </w:r>
      <w:r>
        <w:rPr>
          <w:rFonts w:hint="eastAsia" w:ascii="宋体" w:hAnsi="宋体" w:eastAsia="宋体" w:cs="宋体"/>
          <w:bCs/>
          <w:color w:val="auto"/>
          <w:sz w:val="24"/>
          <w:highlight w:val="none"/>
        </w:rPr>
        <w:t>质疑供应商行使质疑权时，必须遵守“实事求是”和“谨慎性”原则，承担使用虚假材料或恶意方式质疑的法律责任，</w:t>
      </w:r>
      <w:r>
        <w:rPr>
          <w:rFonts w:hint="eastAsia" w:ascii="宋体" w:hAnsi="宋体" w:eastAsia="宋体" w:cs="宋体"/>
          <w:color w:val="auto"/>
          <w:sz w:val="24"/>
          <w:highlight w:val="none"/>
        </w:rPr>
        <w:t>采购人</w:t>
      </w:r>
      <w:r>
        <w:rPr>
          <w:rFonts w:hint="eastAsia" w:ascii="宋体" w:hAnsi="宋体" w:eastAsia="宋体" w:cs="宋体"/>
          <w:bCs/>
          <w:color w:val="auto"/>
          <w:sz w:val="24"/>
          <w:highlight w:val="none"/>
        </w:rPr>
        <w:t>将遵循“谁过错谁负担”的原则，由过错方提交相关的调查论证费用。</w:t>
      </w:r>
    </w:p>
    <w:p w14:paraId="2B47D7C5">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2B050900">
      <w:pPr>
        <w:spacing w:line="560" w:lineRule="exact"/>
        <w:ind w:firstLine="480" w:firstLineChars="200"/>
        <w:rPr>
          <w:rFonts w:hint="eastAsia" w:ascii="宋体" w:hAnsi="宋体" w:eastAsia="宋体" w:cs="宋体"/>
          <w:color w:val="auto"/>
          <w:sz w:val="24"/>
          <w:highlight w:val="none"/>
        </w:rPr>
      </w:pPr>
    </w:p>
    <w:p w14:paraId="0FE920B9">
      <w:pPr>
        <w:spacing w:line="560" w:lineRule="exact"/>
        <w:rPr>
          <w:rFonts w:hint="eastAsia" w:ascii="宋体" w:hAnsi="宋体" w:eastAsia="宋体" w:cs="宋体"/>
          <w:color w:val="auto"/>
          <w:sz w:val="24"/>
          <w:highlight w:val="none"/>
        </w:rPr>
        <w:sectPr>
          <w:headerReference r:id="rId3" w:type="default"/>
          <w:footerReference r:id="rId4" w:type="default"/>
          <w:pgSz w:w="11907" w:h="16840"/>
          <w:pgMar w:top="1440" w:right="1080" w:bottom="1440" w:left="1080" w:header="851" w:footer="992" w:gutter="0"/>
          <w:cols w:space="720" w:num="1"/>
          <w:docGrid w:type="lines" w:linePitch="312" w:charSpace="0"/>
        </w:sectPr>
      </w:pPr>
    </w:p>
    <w:p w14:paraId="0E28A8AF">
      <w:pPr>
        <w:spacing w:line="480" w:lineRule="auto"/>
        <w:jc w:val="center"/>
        <w:outlineLvl w:val="0"/>
        <w:rPr>
          <w:rFonts w:hint="eastAsia" w:ascii="宋体" w:hAnsi="宋体" w:eastAsia="宋体" w:cs="宋体"/>
          <w:b/>
          <w:bCs/>
          <w:color w:val="auto"/>
          <w:sz w:val="30"/>
          <w:szCs w:val="30"/>
          <w:highlight w:val="none"/>
        </w:rPr>
      </w:pPr>
      <w:bookmarkStart w:id="44" w:name="_Toc1759"/>
      <w:r>
        <w:rPr>
          <w:rFonts w:hint="eastAsia" w:ascii="宋体" w:hAnsi="宋体" w:eastAsia="宋体" w:cs="宋体"/>
          <w:b/>
          <w:bCs/>
          <w:color w:val="auto"/>
          <w:sz w:val="30"/>
          <w:szCs w:val="30"/>
          <w:highlight w:val="none"/>
        </w:rPr>
        <w:t>第三章</w:t>
      </w:r>
      <w:r>
        <w:rPr>
          <w:rFonts w:hint="eastAsia" w:ascii="宋体" w:hAnsi="宋体" w:eastAsia="宋体" w:cs="宋体"/>
          <w:b/>
          <w:bCs/>
          <w:color w:val="auto"/>
          <w:sz w:val="30"/>
          <w:szCs w:val="30"/>
          <w:highlight w:val="none"/>
          <w:lang w:val="en-US" w:eastAsia="zh-CN"/>
        </w:rPr>
        <w:t xml:space="preserve"> </w:t>
      </w:r>
      <w:r>
        <w:rPr>
          <w:rFonts w:hint="eastAsia" w:ascii="宋体" w:hAnsi="宋体" w:eastAsia="宋体" w:cs="宋体"/>
          <w:b/>
          <w:bCs/>
          <w:color w:val="auto"/>
          <w:sz w:val="30"/>
          <w:szCs w:val="30"/>
          <w:highlight w:val="none"/>
        </w:rPr>
        <w:t>项目服务内容及要求</w:t>
      </w:r>
      <w:bookmarkEnd w:id="44"/>
    </w:p>
    <w:p w14:paraId="67AFB8F1">
      <w:pPr>
        <w:snapToGrid w:val="0"/>
        <w:spacing w:line="360" w:lineRule="auto"/>
        <w:ind w:firstLine="480" w:firstLineChars="200"/>
        <w:rPr>
          <w:rFonts w:hint="eastAsia" w:ascii="宋体" w:hAnsi="宋体" w:eastAsia="宋体" w:cs="宋体"/>
          <w:color w:val="auto"/>
          <w:sz w:val="24"/>
          <w:highlight w:val="none"/>
        </w:rPr>
      </w:pPr>
    </w:p>
    <w:p w14:paraId="4AA859E0">
      <w:pPr>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本项目服务内容及要求：</w:t>
      </w:r>
    </w:p>
    <w:p w14:paraId="33588F36">
      <w:pPr>
        <w:snapToGrid w:val="0"/>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概述：本次招标采购为</w:t>
      </w:r>
      <w:r>
        <w:rPr>
          <w:rFonts w:hint="eastAsia" w:ascii="宋体" w:hAnsi="宋体" w:cs="宋体"/>
          <w:color w:val="auto"/>
          <w:sz w:val="24"/>
          <w:highlight w:val="none"/>
          <w:lang w:val="zh-CN" w:eastAsia="zh-CN"/>
        </w:rPr>
        <w:t>周口市生态环境局西华分局周口市西华县红花集镇周边农村生活污水治理及黑臭水体整治项目勘察、测绘、设计、工程预算等项目</w:t>
      </w:r>
      <w:r>
        <w:rPr>
          <w:rFonts w:hint="eastAsia" w:ascii="宋体" w:hAnsi="宋体" w:cs="宋体"/>
          <w:color w:val="auto"/>
          <w:sz w:val="24"/>
          <w:highlight w:val="none"/>
        </w:rPr>
        <w:t>，投标方应根据招标文件所提出的服务要求，综合考虑现场环境等情况。</w:t>
      </w:r>
    </w:p>
    <w:p w14:paraId="5ACAADD5">
      <w:pPr>
        <w:snapToGrid w:val="0"/>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招标范围：本项目勘察、测绘（1:1000地形图测绘：包括正射影像图、现状管网、河道、桥梁、横纵断面）、初步设计（含概算编制）、施工图设计（设计交底及施工期间相关现场技术服务等工作）、施工图预算编制。</w:t>
      </w:r>
    </w:p>
    <w:p w14:paraId="0F723D74">
      <w:pPr>
        <w:rPr>
          <w:rFonts w:hint="eastAsia"/>
          <w:color w:val="auto"/>
          <w:highlight w:val="none"/>
          <w:lang w:val="zh-CN"/>
        </w:rPr>
      </w:pPr>
    </w:p>
    <w:p w14:paraId="75485013">
      <w:pPr>
        <w:pStyle w:val="35"/>
        <w:ind w:firstLine="480"/>
        <w:rPr>
          <w:rFonts w:hint="eastAsia" w:ascii="宋体" w:hAnsi="宋体" w:eastAsia="宋体" w:cs="宋体"/>
          <w:color w:val="auto"/>
          <w:highlight w:val="none"/>
          <w:lang w:val="zh-CN"/>
        </w:rPr>
      </w:pPr>
      <w:r>
        <w:rPr>
          <w:rFonts w:hint="eastAsia" w:ascii="宋体" w:hAnsi="宋体" w:eastAsia="宋体" w:cs="宋体"/>
          <w:color w:val="auto"/>
          <w:highlight w:val="none"/>
          <w:lang w:val="zh-CN"/>
        </w:rPr>
        <w:t>（2）商务要求</w:t>
      </w:r>
    </w:p>
    <w:p w14:paraId="705208E3">
      <w:pPr>
        <w:pStyle w:val="35"/>
        <w:ind w:firstLine="480"/>
        <w:rPr>
          <w:rFonts w:hint="eastAsia" w:ascii="宋体" w:hAnsi="宋体" w:eastAsia="宋体" w:cs="宋体"/>
          <w:color w:val="auto"/>
          <w:highlight w:val="none"/>
          <w:lang w:val="zh-CN" w:eastAsia="zh-CN"/>
        </w:rPr>
      </w:pPr>
      <w:r>
        <w:rPr>
          <w:rFonts w:hint="eastAsia" w:ascii="宋体" w:hAnsi="宋体" w:eastAsia="宋体" w:cs="宋体"/>
          <w:color w:val="auto"/>
          <w:highlight w:val="none"/>
          <w:lang w:val="zh-CN" w:eastAsia="zh-CN"/>
        </w:rPr>
        <w:t>1.</w:t>
      </w:r>
      <w:r>
        <w:rPr>
          <w:rFonts w:hint="eastAsia" w:ascii="宋体" w:hAnsi="宋体" w:eastAsia="宋体" w:cs="宋体"/>
          <w:color w:val="auto"/>
          <w:sz w:val="24"/>
          <w:highlight w:val="none"/>
        </w:rPr>
        <w:t>自合同签订之日起30日历天</w:t>
      </w:r>
      <w:r>
        <w:rPr>
          <w:rFonts w:hint="eastAsia" w:ascii="宋体" w:hAnsi="宋体" w:eastAsia="宋体" w:cs="宋体"/>
          <w:color w:val="auto"/>
          <w:sz w:val="24"/>
          <w:highlight w:val="none"/>
          <w:lang w:eastAsia="zh-CN"/>
        </w:rPr>
        <w:t>。</w:t>
      </w:r>
    </w:p>
    <w:p w14:paraId="3FCA02A4">
      <w:pPr>
        <w:pStyle w:val="35"/>
        <w:ind w:firstLine="480"/>
        <w:rPr>
          <w:rFonts w:hint="eastAsia" w:ascii="宋体" w:hAnsi="宋体" w:eastAsia="宋体" w:cs="宋体"/>
          <w:color w:val="auto"/>
          <w:highlight w:val="none"/>
          <w:lang w:val="zh-CN" w:eastAsia="zh-CN"/>
        </w:rPr>
      </w:pPr>
      <w:r>
        <w:rPr>
          <w:rFonts w:hint="eastAsia" w:ascii="宋体" w:hAnsi="宋体" w:eastAsia="宋体" w:cs="宋体"/>
          <w:color w:val="auto"/>
          <w:highlight w:val="none"/>
          <w:lang w:val="zh-CN" w:eastAsia="zh-CN"/>
        </w:rPr>
        <w:t>2.质量要求：合格，符合现行国家及行业规范和标准。</w:t>
      </w:r>
    </w:p>
    <w:p w14:paraId="390A7BAC">
      <w:pPr>
        <w:pStyle w:val="35"/>
        <w:ind w:firstLine="480"/>
        <w:rPr>
          <w:rFonts w:hint="eastAsia" w:ascii="宋体" w:hAnsi="宋体" w:eastAsia="宋体" w:cs="宋体"/>
          <w:color w:val="auto"/>
          <w:highlight w:val="none"/>
          <w:lang w:val="zh-CN" w:eastAsia="zh-CN"/>
        </w:rPr>
      </w:pPr>
      <w:r>
        <w:rPr>
          <w:rFonts w:hint="eastAsia" w:ascii="宋体" w:hAnsi="宋体" w:eastAsia="宋体" w:cs="宋体"/>
          <w:color w:val="auto"/>
          <w:highlight w:val="none"/>
          <w:lang w:val="en-US" w:eastAsia="zh-CN"/>
        </w:rPr>
        <w:t>注：</w:t>
      </w:r>
      <w:r>
        <w:rPr>
          <w:rFonts w:hint="eastAsia" w:ascii="宋体" w:hAnsi="宋体" w:eastAsia="宋体" w:cs="宋体"/>
          <w:color w:val="auto"/>
          <w:highlight w:val="none"/>
          <w:lang w:val="zh-CN" w:eastAsia="zh-CN"/>
        </w:rPr>
        <w:t>供应商对其提供的产品出具《关于符合本国产品标准的声明函》或财政部会同有关部门规定的有关证明文件。</w:t>
      </w:r>
    </w:p>
    <w:p w14:paraId="6D7C262C">
      <w:pPr>
        <w:pStyle w:val="35"/>
        <w:ind w:firstLine="480"/>
        <w:rPr>
          <w:rFonts w:hint="eastAsia" w:ascii="宋体" w:hAnsi="宋体" w:eastAsia="宋体" w:cs="宋体"/>
          <w:color w:val="auto"/>
          <w:highlight w:val="none"/>
          <w:lang w:val="zh-CN"/>
        </w:rPr>
      </w:pPr>
    </w:p>
    <w:p w14:paraId="2820A8D3">
      <w:pPr>
        <w:rPr>
          <w:rFonts w:hint="eastAsia" w:ascii="宋体" w:hAnsi="宋体" w:eastAsia="宋体" w:cs="宋体"/>
          <w:color w:val="auto"/>
          <w:highlight w:val="none"/>
          <w:lang w:val="zh-CN"/>
        </w:rPr>
      </w:pPr>
    </w:p>
    <w:p w14:paraId="239C2A4B">
      <w:pPr>
        <w:pStyle w:val="35"/>
        <w:ind w:firstLine="480"/>
        <w:rPr>
          <w:rFonts w:hint="eastAsia" w:ascii="宋体" w:hAnsi="宋体" w:eastAsia="宋体" w:cs="宋体"/>
          <w:color w:val="auto"/>
          <w:highlight w:val="none"/>
          <w:lang w:val="zh-CN"/>
        </w:rPr>
      </w:pPr>
    </w:p>
    <w:p w14:paraId="7F1DC036">
      <w:pPr>
        <w:rPr>
          <w:rFonts w:hint="eastAsia" w:ascii="宋体" w:hAnsi="宋体" w:eastAsia="宋体" w:cs="宋体"/>
          <w:color w:val="auto"/>
          <w:highlight w:val="none"/>
          <w:lang w:val="zh-CN"/>
        </w:rPr>
      </w:pPr>
    </w:p>
    <w:p w14:paraId="1DEDE6F4">
      <w:pPr>
        <w:pStyle w:val="35"/>
        <w:ind w:firstLine="480"/>
        <w:rPr>
          <w:rFonts w:hint="eastAsia" w:ascii="宋体" w:hAnsi="宋体" w:eastAsia="宋体" w:cs="宋体"/>
          <w:color w:val="auto"/>
          <w:highlight w:val="none"/>
          <w:lang w:val="zh-CN"/>
        </w:rPr>
      </w:pPr>
    </w:p>
    <w:p w14:paraId="4634F8A9">
      <w:pPr>
        <w:spacing w:line="480" w:lineRule="auto"/>
        <w:jc w:val="center"/>
        <w:outlineLvl w:val="0"/>
        <w:rPr>
          <w:rFonts w:hint="eastAsia" w:ascii="宋体" w:hAnsi="宋体" w:eastAsia="宋体" w:cs="宋体"/>
          <w:b/>
          <w:bCs/>
          <w:color w:val="auto"/>
          <w:sz w:val="30"/>
          <w:szCs w:val="30"/>
          <w:highlight w:val="none"/>
        </w:rPr>
      </w:pPr>
      <w:bookmarkStart w:id="45" w:name="_Toc5955"/>
    </w:p>
    <w:p w14:paraId="28B4FD6A">
      <w:pPr>
        <w:spacing w:line="480" w:lineRule="auto"/>
        <w:jc w:val="center"/>
        <w:outlineLvl w:val="0"/>
        <w:rPr>
          <w:rFonts w:hint="eastAsia" w:ascii="宋体" w:hAnsi="宋体" w:eastAsia="宋体" w:cs="宋体"/>
          <w:b/>
          <w:bCs/>
          <w:color w:val="auto"/>
          <w:sz w:val="30"/>
          <w:szCs w:val="30"/>
          <w:highlight w:val="none"/>
        </w:rPr>
      </w:pPr>
    </w:p>
    <w:p w14:paraId="18C1D17A">
      <w:pPr>
        <w:spacing w:line="480" w:lineRule="auto"/>
        <w:jc w:val="center"/>
        <w:outlineLvl w:val="0"/>
        <w:rPr>
          <w:rFonts w:hint="eastAsia" w:ascii="宋体" w:hAnsi="宋体" w:eastAsia="宋体" w:cs="宋体"/>
          <w:b/>
          <w:bCs/>
          <w:color w:val="auto"/>
          <w:sz w:val="30"/>
          <w:szCs w:val="30"/>
          <w:highlight w:val="none"/>
        </w:rPr>
      </w:pPr>
    </w:p>
    <w:p w14:paraId="433DC15A">
      <w:pPr>
        <w:spacing w:line="480" w:lineRule="auto"/>
        <w:jc w:val="center"/>
        <w:outlineLvl w:val="0"/>
        <w:rPr>
          <w:rFonts w:hint="eastAsia" w:ascii="宋体" w:hAnsi="宋体" w:eastAsia="宋体" w:cs="宋体"/>
          <w:b/>
          <w:bCs/>
          <w:color w:val="auto"/>
          <w:sz w:val="30"/>
          <w:szCs w:val="30"/>
          <w:highlight w:val="none"/>
        </w:rPr>
      </w:pPr>
    </w:p>
    <w:p w14:paraId="4EF4D5D3">
      <w:pPr>
        <w:spacing w:line="480" w:lineRule="auto"/>
        <w:jc w:val="center"/>
        <w:outlineLvl w:val="0"/>
        <w:rPr>
          <w:rFonts w:hint="eastAsia" w:ascii="宋体" w:hAnsi="宋体" w:eastAsia="宋体" w:cs="宋体"/>
          <w:b/>
          <w:bCs/>
          <w:color w:val="auto"/>
          <w:sz w:val="30"/>
          <w:szCs w:val="30"/>
          <w:highlight w:val="none"/>
        </w:rPr>
      </w:pPr>
    </w:p>
    <w:p w14:paraId="57176050">
      <w:pPr>
        <w:spacing w:line="480" w:lineRule="auto"/>
        <w:jc w:val="center"/>
        <w:outlineLvl w:val="0"/>
        <w:rPr>
          <w:rFonts w:hint="eastAsia" w:ascii="宋体" w:hAnsi="宋体" w:eastAsia="宋体" w:cs="宋体"/>
          <w:b/>
          <w:bCs/>
          <w:color w:val="auto"/>
          <w:sz w:val="30"/>
          <w:szCs w:val="30"/>
          <w:highlight w:val="none"/>
        </w:rPr>
      </w:pPr>
    </w:p>
    <w:p w14:paraId="60C0D82E">
      <w:pPr>
        <w:spacing w:line="480" w:lineRule="auto"/>
        <w:jc w:val="center"/>
        <w:outlineLvl w:val="0"/>
        <w:rPr>
          <w:rFonts w:hint="eastAsia" w:ascii="宋体" w:hAnsi="宋体" w:eastAsia="宋体" w:cs="宋体"/>
          <w:b/>
          <w:bCs/>
          <w:color w:val="auto"/>
          <w:sz w:val="30"/>
          <w:szCs w:val="30"/>
          <w:highlight w:val="none"/>
        </w:rPr>
      </w:pPr>
    </w:p>
    <w:p w14:paraId="425FCECF">
      <w:pPr>
        <w:spacing w:line="480" w:lineRule="auto"/>
        <w:jc w:val="center"/>
        <w:outlineLvl w:val="0"/>
        <w:rPr>
          <w:rFonts w:hint="eastAsia" w:ascii="宋体" w:hAnsi="宋体" w:eastAsia="宋体" w:cs="宋体"/>
          <w:b/>
          <w:bCs/>
          <w:color w:val="auto"/>
          <w:sz w:val="30"/>
          <w:szCs w:val="30"/>
          <w:highlight w:val="none"/>
        </w:rPr>
      </w:pPr>
    </w:p>
    <w:p w14:paraId="10090013">
      <w:pPr>
        <w:spacing w:line="480" w:lineRule="auto"/>
        <w:jc w:val="center"/>
        <w:outlineLvl w:val="0"/>
        <w:rPr>
          <w:rFonts w:hint="eastAsia" w:ascii="宋体" w:hAnsi="宋体" w:eastAsia="宋体" w:cs="宋体"/>
          <w:b/>
          <w:bCs/>
          <w:color w:val="auto"/>
          <w:sz w:val="30"/>
          <w:szCs w:val="30"/>
          <w:highlight w:val="none"/>
        </w:rPr>
      </w:pPr>
    </w:p>
    <w:p w14:paraId="342E242D">
      <w:pPr>
        <w:spacing w:line="480" w:lineRule="auto"/>
        <w:jc w:val="center"/>
        <w:outlineLvl w:val="0"/>
        <w:rPr>
          <w:rFonts w:hint="eastAsia" w:ascii="宋体" w:hAnsi="宋体" w:eastAsia="宋体" w:cs="宋体"/>
          <w:color w:val="auto"/>
          <w:sz w:val="30"/>
          <w:szCs w:val="30"/>
          <w:highlight w:val="none"/>
        </w:rPr>
      </w:pPr>
      <w:r>
        <w:rPr>
          <w:rFonts w:hint="eastAsia" w:ascii="宋体" w:hAnsi="宋体" w:eastAsia="宋体" w:cs="宋体"/>
          <w:b/>
          <w:bCs/>
          <w:color w:val="auto"/>
          <w:sz w:val="30"/>
          <w:szCs w:val="30"/>
          <w:highlight w:val="none"/>
        </w:rPr>
        <w:t>第四章</w:t>
      </w:r>
      <w:r>
        <w:rPr>
          <w:rFonts w:hint="eastAsia" w:ascii="宋体" w:hAnsi="宋体" w:eastAsia="宋体" w:cs="宋体"/>
          <w:b/>
          <w:bCs/>
          <w:color w:val="auto"/>
          <w:sz w:val="30"/>
          <w:szCs w:val="30"/>
          <w:highlight w:val="none"/>
          <w:lang w:val="en-US" w:eastAsia="zh-CN"/>
        </w:rPr>
        <w:t xml:space="preserve"> </w:t>
      </w:r>
      <w:r>
        <w:rPr>
          <w:rFonts w:hint="eastAsia" w:ascii="宋体" w:hAnsi="宋体" w:eastAsia="宋体" w:cs="宋体"/>
          <w:b/>
          <w:bCs/>
          <w:color w:val="auto"/>
          <w:sz w:val="30"/>
          <w:szCs w:val="30"/>
          <w:highlight w:val="none"/>
        </w:rPr>
        <w:t>响应性文件内容及格式</w:t>
      </w:r>
      <w:bookmarkEnd w:id="45"/>
    </w:p>
    <w:p w14:paraId="35F5C643">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注：请供应商按照以下文件的要求格式、内容，顺序制作响应性文件，并编制目录及页码，否则可能将影响对响应性文件的评价。</w:t>
      </w:r>
    </w:p>
    <w:p w14:paraId="15F3404B">
      <w:pPr>
        <w:spacing w:line="560" w:lineRule="exact"/>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重要提示：</w:t>
      </w:r>
    </w:p>
    <w:p w14:paraId="2C697E38">
      <w:pPr>
        <w:snapToGrid w:val="0"/>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1．供应商在编制响应性文件时，对于给定格式的文件内容，必须按照给定的标准格式进行填报；对于没有给定标准格式的文件内容，可以由供应商自行设计。</w:t>
      </w:r>
    </w:p>
    <w:p w14:paraId="24668BA0">
      <w:pPr>
        <w:snapToGrid w:val="0"/>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w:t>
      </w:r>
      <w:r>
        <w:rPr>
          <w:rFonts w:hint="eastAsia" w:ascii="宋体" w:hAnsi="宋体" w:cs="宋体"/>
          <w:color w:val="auto"/>
          <w:sz w:val="24"/>
          <w:highlight w:val="none"/>
          <w:lang w:val="en-US" w:eastAsia="zh-CN"/>
        </w:rPr>
        <w:t xml:space="preserve"> </w:t>
      </w:r>
      <w:r>
        <w:rPr>
          <w:rFonts w:hint="eastAsia" w:ascii="宋体" w:hAnsi="宋体" w:eastAsia="宋体" w:cs="宋体"/>
          <w:color w:val="auto"/>
          <w:sz w:val="24"/>
          <w:highlight w:val="none"/>
        </w:rPr>
        <w:t>法定代表人本人参加竞争性磋商的，不需提供授权委托书。</w:t>
      </w:r>
    </w:p>
    <w:p w14:paraId="4528620D">
      <w:pPr>
        <w:rPr>
          <w:rFonts w:hint="eastAsia" w:ascii="宋体" w:hAnsi="宋体" w:eastAsia="宋体" w:cs="宋体"/>
          <w:color w:val="auto"/>
          <w:sz w:val="24"/>
          <w:highlight w:val="none"/>
        </w:rPr>
      </w:pPr>
      <w:r>
        <w:rPr>
          <w:rFonts w:hint="eastAsia" w:ascii="宋体" w:hAnsi="宋体" w:eastAsia="宋体" w:cs="宋体"/>
          <w:color w:val="auto"/>
          <w:sz w:val="24"/>
          <w:highlight w:val="none"/>
        </w:rPr>
        <w:br w:type="page"/>
      </w:r>
    </w:p>
    <w:p w14:paraId="4140CC8B">
      <w:pPr>
        <w:pStyle w:val="35"/>
        <w:ind w:firstLine="482"/>
        <w:jc w:val="center"/>
        <w:rPr>
          <w:rFonts w:hint="eastAsia" w:ascii="宋体" w:hAnsi="宋体" w:eastAsia="宋体" w:cs="宋体"/>
          <w:b/>
          <w:bCs/>
          <w:color w:val="auto"/>
          <w:highlight w:val="none"/>
        </w:rPr>
      </w:pPr>
      <w:r>
        <w:rPr>
          <w:rFonts w:hint="eastAsia" w:ascii="宋体" w:hAnsi="宋体" w:eastAsia="宋体" w:cs="宋体"/>
          <w:b/>
          <w:bCs/>
          <w:color w:val="auto"/>
          <w:highlight w:val="none"/>
        </w:rPr>
        <w:t>格式1 法定代表人身份证明书</w:t>
      </w:r>
    </w:p>
    <w:p w14:paraId="7ACEC2D5">
      <w:pPr>
        <w:pStyle w:val="35"/>
        <w:ind w:firstLine="480"/>
        <w:rPr>
          <w:rFonts w:hint="eastAsia" w:ascii="宋体" w:hAnsi="宋体" w:eastAsia="宋体" w:cs="宋体"/>
          <w:color w:val="auto"/>
          <w:highlight w:val="none"/>
        </w:rPr>
      </w:pPr>
      <w:r>
        <w:rPr>
          <w:rFonts w:hint="eastAsia" w:ascii="宋体" w:hAnsi="宋体" w:eastAsia="宋体" w:cs="宋体"/>
          <w:color w:val="auto"/>
          <w:highlight w:val="none"/>
        </w:rPr>
        <w:t>（法定代表人参加竞争性磋商的，出具此证明书）</w:t>
      </w:r>
    </w:p>
    <w:p w14:paraId="45F32114">
      <w:pPr>
        <w:pStyle w:val="35"/>
        <w:ind w:firstLine="480"/>
        <w:rPr>
          <w:rFonts w:hint="eastAsia" w:ascii="宋体" w:hAnsi="宋体" w:eastAsia="宋体" w:cs="宋体"/>
          <w:color w:val="auto"/>
          <w:highlight w:val="none"/>
        </w:rPr>
      </w:pPr>
      <w:r>
        <w:rPr>
          <w:rFonts w:hint="eastAsia" w:ascii="宋体" w:hAnsi="宋体" w:eastAsia="宋体" w:cs="宋体"/>
          <w:color w:val="auto"/>
          <w:highlight w:val="none"/>
        </w:rPr>
        <w:t xml:space="preserve"> </w:t>
      </w:r>
    </w:p>
    <w:p w14:paraId="5E18281A">
      <w:pPr>
        <w:pStyle w:val="35"/>
        <w:ind w:firstLine="480"/>
        <w:rPr>
          <w:rFonts w:hint="eastAsia" w:ascii="宋体" w:hAnsi="宋体" w:eastAsia="宋体" w:cs="宋体"/>
          <w:color w:val="auto"/>
          <w:highlight w:val="none"/>
        </w:rPr>
      </w:pP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同志，系我单位法定代表人，任</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职务。</w:t>
      </w:r>
    </w:p>
    <w:p w14:paraId="16709A1E">
      <w:pPr>
        <w:pStyle w:val="35"/>
        <w:ind w:firstLine="480"/>
        <w:rPr>
          <w:rFonts w:hint="eastAsia" w:ascii="宋体" w:hAnsi="宋体" w:eastAsia="宋体" w:cs="宋体"/>
          <w:color w:val="auto"/>
          <w:highlight w:val="none"/>
        </w:rPr>
      </w:pPr>
      <w:r>
        <w:rPr>
          <w:rFonts w:hint="eastAsia" w:ascii="宋体" w:hAnsi="宋体" w:eastAsia="宋体" w:cs="宋体"/>
          <w:color w:val="auto"/>
          <w:highlight w:val="none"/>
        </w:rPr>
        <w:t>特此证明。</w:t>
      </w:r>
    </w:p>
    <w:p w14:paraId="4D893D5D">
      <w:pPr>
        <w:pStyle w:val="35"/>
        <w:ind w:firstLine="480"/>
        <w:rPr>
          <w:rFonts w:hint="eastAsia" w:ascii="宋体" w:hAnsi="宋体" w:eastAsia="宋体" w:cs="宋体"/>
          <w:color w:val="auto"/>
          <w:highlight w:val="none"/>
          <w:u w:val="single"/>
        </w:rPr>
      </w:pPr>
      <w:r>
        <w:rPr>
          <w:rFonts w:hint="eastAsia" w:ascii="宋体" w:hAnsi="宋体" w:eastAsia="宋体" w:cs="宋体"/>
          <w:color w:val="auto"/>
          <w:highlight w:val="none"/>
        </w:rPr>
        <w:t>附：联系地址：</w:t>
      </w:r>
      <w:r>
        <w:rPr>
          <w:rFonts w:hint="eastAsia" w:ascii="宋体" w:hAnsi="宋体" w:eastAsia="宋体" w:cs="宋体"/>
          <w:color w:val="auto"/>
          <w:highlight w:val="none"/>
          <w:u w:val="single"/>
        </w:rPr>
        <w:t xml:space="preserve">          </w:t>
      </w:r>
    </w:p>
    <w:p w14:paraId="609E5B39">
      <w:pPr>
        <w:pStyle w:val="35"/>
        <w:ind w:firstLine="960" w:firstLineChars="400"/>
        <w:rPr>
          <w:rFonts w:hint="eastAsia" w:ascii="宋体" w:hAnsi="宋体" w:eastAsia="宋体" w:cs="宋体"/>
          <w:b/>
          <w:color w:val="auto"/>
          <w:highlight w:val="none"/>
        </w:rPr>
      </w:pPr>
      <w:r>
        <w:rPr>
          <w:rFonts w:hint="eastAsia" w:ascii="宋体" w:hAnsi="宋体" w:eastAsia="宋体" w:cs="宋体"/>
          <w:color w:val="auto"/>
          <w:highlight w:val="none"/>
        </w:rPr>
        <w:t>联系电话：</w:t>
      </w:r>
    </w:p>
    <w:tbl>
      <w:tblPr>
        <w:tblStyle w:val="27"/>
        <w:tblW w:w="53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48247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jc w:val="center"/>
        </w:trPr>
        <w:tc>
          <w:tcPr>
            <w:tcW w:w="5328" w:type="dxa"/>
            <w:tcBorders>
              <w:top w:val="single" w:color="auto" w:sz="4" w:space="0"/>
              <w:left w:val="single" w:color="auto" w:sz="4" w:space="0"/>
              <w:bottom w:val="single" w:color="auto" w:sz="4" w:space="0"/>
              <w:right w:val="single" w:color="auto" w:sz="4" w:space="0"/>
            </w:tcBorders>
          </w:tcPr>
          <w:p w14:paraId="59485F47">
            <w:pPr>
              <w:pStyle w:val="35"/>
              <w:ind w:firstLine="482"/>
              <w:rPr>
                <w:rFonts w:hint="eastAsia" w:ascii="宋体" w:hAnsi="宋体" w:eastAsia="宋体" w:cs="宋体"/>
                <w:b/>
                <w:bCs/>
                <w:color w:val="auto"/>
                <w:highlight w:val="none"/>
              </w:rPr>
            </w:pPr>
          </w:p>
          <w:p w14:paraId="6C81A2B7">
            <w:pPr>
              <w:pStyle w:val="35"/>
              <w:ind w:firstLine="482"/>
              <w:rPr>
                <w:rFonts w:hint="eastAsia" w:ascii="宋体" w:hAnsi="宋体" w:eastAsia="宋体" w:cs="宋体"/>
                <w:b/>
                <w:bCs/>
                <w:color w:val="auto"/>
                <w:highlight w:val="none"/>
              </w:rPr>
            </w:pPr>
          </w:p>
          <w:p w14:paraId="3C570C04">
            <w:pPr>
              <w:pStyle w:val="35"/>
              <w:ind w:firstLine="482"/>
              <w:rPr>
                <w:rFonts w:hint="eastAsia" w:ascii="宋体" w:hAnsi="宋体" w:eastAsia="宋体" w:cs="宋体"/>
                <w:b/>
                <w:bCs/>
                <w:color w:val="auto"/>
                <w:highlight w:val="none"/>
              </w:rPr>
            </w:pPr>
            <w:r>
              <w:rPr>
                <w:rFonts w:hint="eastAsia" w:ascii="宋体" w:hAnsi="宋体" w:eastAsia="宋体" w:cs="宋体"/>
                <w:b/>
                <w:bCs/>
                <w:color w:val="auto"/>
                <w:highlight w:val="none"/>
              </w:rPr>
              <w:t>（※附：法定代表人身份证复印件※）</w:t>
            </w:r>
          </w:p>
          <w:p w14:paraId="47923E66">
            <w:pPr>
              <w:pStyle w:val="35"/>
              <w:ind w:firstLine="480"/>
              <w:rPr>
                <w:rFonts w:hint="eastAsia" w:ascii="宋体" w:hAnsi="宋体" w:eastAsia="宋体" w:cs="宋体"/>
                <w:color w:val="auto"/>
                <w:highlight w:val="none"/>
              </w:rPr>
            </w:pPr>
          </w:p>
          <w:p w14:paraId="29C31830">
            <w:pPr>
              <w:pStyle w:val="35"/>
              <w:ind w:firstLine="480"/>
              <w:rPr>
                <w:rFonts w:hint="eastAsia" w:ascii="宋体" w:hAnsi="宋体" w:eastAsia="宋体" w:cs="宋体"/>
                <w:color w:val="auto"/>
                <w:highlight w:val="none"/>
              </w:rPr>
            </w:pPr>
          </w:p>
        </w:tc>
      </w:tr>
    </w:tbl>
    <w:p w14:paraId="12D9D444">
      <w:pPr>
        <w:pStyle w:val="35"/>
        <w:ind w:firstLine="480"/>
        <w:rPr>
          <w:rFonts w:hint="eastAsia" w:ascii="宋体" w:hAnsi="宋体" w:eastAsia="宋体" w:cs="宋体"/>
          <w:color w:val="auto"/>
          <w:highlight w:val="none"/>
        </w:rPr>
      </w:pPr>
      <w:r>
        <w:rPr>
          <w:rFonts w:hint="eastAsia" w:ascii="宋体" w:hAnsi="宋体" w:eastAsia="宋体" w:cs="宋体"/>
          <w:color w:val="auto"/>
          <w:highlight w:val="none"/>
        </w:rPr>
        <w:t xml:space="preserve"> </w:t>
      </w:r>
    </w:p>
    <w:p w14:paraId="4F3EB25E">
      <w:pPr>
        <w:pStyle w:val="35"/>
        <w:ind w:firstLine="480"/>
        <w:rPr>
          <w:rFonts w:hint="eastAsia" w:ascii="宋体" w:hAnsi="宋体" w:eastAsia="宋体" w:cs="宋体"/>
          <w:color w:val="auto"/>
          <w:highlight w:val="none"/>
        </w:rPr>
      </w:pPr>
      <w:r>
        <w:rPr>
          <w:rFonts w:hint="eastAsia" w:ascii="宋体" w:hAnsi="宋体" w:eastAsia="宋体" w:cs="宋体"/>
          <w:color w:val="auto"/>
          <w:highlight w:val="none"/>
        </w:rPr>
        <w:t xml:space="preserve"> </w:t>
      </w:r>
    </w:p>
    <w:p w14:paraId="395D189F">
      <w:pPr>
        <w:pStyle w:val="35"/>
        <w:ind w:firstLine="480"/>
        <w:rPr>
          <w:rFonts w:hint="eastAsia" w:ascii="宋体" w:hAnsi="宋体" w:eastAsia="宋体" w:cs="宋体"/>
          <w:color w:val="auto"/>
          <w:highlight w:val="none"/>
        </w:rPr>
      </w:pPr>
      <w:r>
        <w:rPr>
          <w:rFonts w:hint="eastAsia" w:ascii="宋体" w:hAnsi="宋体" w:eastAsia="宋体" w:cs="宋体"/>
          <w:color w:val="auto"/>
          <w:highlight w:val="none"/>
        </w:rPr>
        <w:t xml:space="preserve"> </w:t>
      </w:r>
    </w:p>
    <w:p w14:paraId="064E0E2F">
      <w:pPr>
        <w:pStyle w:val="35"/>
        <w:ind w:firstLine="480"/>
        <w:rPr>
          <w:rFonts w:hint="eastAsia" w:ascii="宋体" w:hAnsi="宋体" w:eastAsia="宋体" w:cs="宋体"/>
          <w:color w:val="auto"/>
          <w:highlight w:val="none"/>
        </w:rPr>
      </w:pPr>
      <w:r>
        <w:rPr>
          <w:rFonts w:hint="eastAsia" w:ascii="宋体" w:hAnsi="宋体" w:eastAsia="宋体" w:cs="宋体"/>
          <w:color w:val="auto"/>
          <w:highlight w:val="none"/>
        </w:rPr>
        <w:t xml:space="preserve"> </w:t>
      </w:r>
    </w:p>
    <w:p w14:paraId="7D3D429B">
      <w:pPr>
        <w:pStyle w:val="35"/>
        <w:ind w:firstLine="480"/>
        <w:rPr>
          <w:rFonts w:hint="eastAsia" w:ascii="宋体" w:hAnsi="宋体" w:eastAsia="宋体" w:cs="宋体"/>
          <w:color w:val="auto"/>
          <w:highlight w:val="none"/>
        </w:rPr>
      </w:pPr>
      <w:r>
        <w:rPr>
          <w:rFonts w:hint="eastAsia" w:ascii="宋体" w:hAnsi="宋体" w:eastAsia="宋体" w:cs="宋体"/>
          <w:color w:val="auto"/>
          <w:highlight w:val="none"/>
        </w:rPr>
        <w:t xml:space="preserve"> </w:t>
      </w:r>
    </w:p>
    <w:p w14:paraId="7EFE1A00">
      <w:pPr>
        <w:pStyle w:val="35"/>
        <w:ind w:firstLine="480"/>
        <w:rPr>
          <w:rFonts w:hint="eastAsia" w:ascii="宋体" w:hAnsi="宋体" w:eastAsia="宋体" w:cs="宋体"/>
          <w:color w:val="auto"/>
          <w:highlight w:val="none"/>
        </w:rPr>
      </w:pPr>
      <w:r>
        <w:rPr>
          <w:rFonts w:hint="eastAsia" w:ascii="宋体" w:hAnsi="宋体" w:eastAsia="宋体" w:cs="宋体"/>
          <w:color w:val="auto"/>
          <w:highlight w:val="none"/>
        </w:rPr>
        <w:t xml:space="preserve"> </w:t>
      </w:r>
    </w:p>
    <w:p w14:paraId="0E068C08">
      <w:pPr>
        <w:pStyle w:val="35"/>
        <w:ind w:firstLine="480"/>
        <w:rPr>
          <w:rFonts w:hint="eastAsia" w:ascii="宋体" w:hAnsi="宋体" w:eastAsia="宋体" w:cs="宋体"/>
          <w:color w:val="auto"/>
          <w:highlight w:val="none"/>
          <w:lang w:val="en-US" w:eastAsia="zh-CN"/>
        </w:rPr>
      </w:pPr>
      <w:r>
        <w:rPr>
          <w:rFonts w:hint="eastAsia" w:ascii="宋体" w:hAnsi="宋体" w:eastAsia="宋体" w:cs="宋体"/>
          <w:color w:val="auto"/>
          <w:highlight w:val="none"/>
        </w:rPr>
        <w:t xml:space="preserve"> </w:t>
      </w:r>
      <w:r>
        <w:rPr>
          <w:rFonts w:hint="eastAsia" w:hAnsi="宋体" w:cs="宋体"/>
          <w:color w:val="auto"/>
          <w:highlight w:val="none"/>
          <w:lang w:val="en-US" w:eastAsia="zh-CN"/>
        </w:rPr>
        <w:t xml:space="preserve"> </w:t>
      </w:r>
    </w:p>
    <w:p w14:paraId="78A71823">
      <w:pPr>
        <w:pStyle w:val="35"/>
        <w:ind w:firstLine="5280" w:firstLineChars="2200"/>
        <w:rPr>
          <w:rFonts w:hint="eastAsia" w:ascii="宋体" w:hAnsi="宋体" w:eastAsia="宋体" w:cs="宋体"/>
          <w:color w:val="auto"/>
          <w:highlight w:val="none"/>
        </w:rPr>
      </w:pPr>
      <w:r>
        <w:rPr>
          <w:rFonts w:hint="eastAsia" w:ascii="宋体" w:hAnsi="宋体" w:eastAsia="宋体" w:cs="宋体"/>
          <w:color w:val="auto"/>
          <w:highlight w:val="none"/>
        </w:rPr>
        <w:t xml:space="preserve">供应商电子公章： </w:t>
      </w:r>
    </w:p>
    <w:p w14:paraId="67133E3B">
      <w:pPr>
        <w:pStyle w:val="35"/>
        <w:ind w:firstLine="480"/>
        <w:rPr>
          <w:rFonts w:hint="eastAsia" w:ascii="宋体" w:hAnsi="宋体" w:eastAsia="宋体" w:cs="宋体"/>
          <w:color w:val="auto"/>
          <w:highlight w:val="none"/>
        </w:rPr>
      </w:pPr>
      <w:r>
        <w:rPr>
          <w:rFonts w:hint="eastAsia" w:ascii="宋体" w:hAnsi="宋体" w:eastAsia="宋体" w:cs="宋体"/>
          <w:color w:val="auto"/>
          <w:highlight w:val="none"/>
        </w:rPr>
        <w:t xml:space="preserve">                                  </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年   月  日</w:t>
      </w:r>
    </w:p>
    <w:p w14:paraId="7395C8FF">
      <w:pPr>
        <w:pStyle w:val="35"/>
        <w:ind w:firstLine="480"/>
        <w:rPr>
          <w:rFonts w:hint="eastAsia" w:ascii="宋体" w:hAnsi="宋体" w:eastAsia="宋体" w:cs="宋体"/>
          <w:color w:val="auto"/>
          <w:highlight w:val="none"/>
        </w:rPr>
      </w:pPr>
      <w:r>
        <w:rPr>
          <w:rFonts w:hint="eastAsia" w:ascii="宋体" w:hAnsi="宋体" w:eastAsia="宋体" w:cs="宋体"/>
          <w:color w:val="auto"/>
          <w:highlight w:val="none"/>
        </w:rPr>
        <w:t xml:space="preserve"> </w:t>
      </w:r>
    </w:p>
    <w:p w14:paraId="791487AB">
      <w:pPr>
        <w:pStyle w:val="35"/>
        <w:ind w:firstLine="480"/>
        <w:rPr>
          <w:rFonts w:hint="eastAsia" w:ascii="宋体" w:hAnsi="宋体" w:eastAsia="宋体" w:cs="宋体"/>
          <w:color w:val="auto"/>
          <w:highlight w:val="none"/>
        </w:rPr>
      </w:pPr>
      <w:r>
        <w:rPr>
          <w:rFonts w:hint="eastAsia" w:ascii="宋体" w:hAnsi="宋体" w:eastAsia="宋体" w:cs="宋体"/>
          <w:color w:val="auto"/>
          <w:highlight w:val="none"/>
        </w:rPr>
        <w:t xml:space="preserve"> </w:t>
      </w:r>
    </w:p>
    <w:p w14:paraId="46D31FE4">
      <w:pPr>
        <w:pStyle w:val="35"/>
        <w:ind w:firstLine="480"/>
        <w:rPr>
          <w:rFonts w:hint="eastAsia" w:ascii="宋体" w:hAnsi="宋体" w:eastAsia="宋体" w:cs="宋体"/>
          <w:color w:val="auto"/>
          <w:highlight w:val="none"/>
        </w:rPr>
      </w:pPr>
      <w:r>
        <w:rPr>
          <w:rFonts w:hint="eastAsia" w:ascii="宋体" w:hAnsi="宋体" w:eastAsia="宋体" w:cs="宋体"/>
          <w:color w:val="auto"/>
          <w:highlight w:val="none"/>
        </w:rPr>
        <w:t xml:space="preserve"> </w:t>
      </w:r>
    </w:p>
    <w:p w14:paraId="5BE4793B">
      <w:pPr>
        <w:pStyle w:val="35"/>
        <w:ind w:firstLine="480"/>
        <w:rPr>
          <w:rFonts w:hint="eastAsia" w:ascii="宋体" w:hAnsi="宋体" w:eastAsia="宋体" w:cs="宋体"/>
          <w:color w:val="auto"/>
          <w:highlight w:val="none"/>
        </w:rPr>
      </w:pPr>
      <w:r>
        <w:rPr>
          <w:rFonts w:hint="eastAsia" w:ascii="宋体" w:hAnsi="宋体" w:eastAsia="宋体" w:cs="宋体"/>
          <w:color w:val="auto"/>
          <w:highlight w:val="none"/>
        </w:rPr>
        <w:t xml:space="preserve"> </w:t>
      </w:r>
    </w:p>
    <w:p w14:paraId="55BA6D6A">
      <w:pPr>
        <w:pStyle w:val="35"/>
        <w:ind w:firstLine="480"/>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629BCD3C">
      <w:pPr>
        <w:pStyle w:val="35"/>
        <w:ind w:firstLine="482"/>
        <w:jc w:val="center"/>
        <w:rPr>
          <w:rFonts w:hint="eastAsia" w:ascii="宋体" w:hAnsi="宋体" w:eastAsia="宋体" w:cs="宋体"/>
          <w:b/>
          <w:bCs/>
          <w:color w:val="auto"/>
          <w:highlight w:val="none"/>
        </w:rPr>
      </w:pPr>
      <w:r>
        <w:rPr>
          <w:rFonts w:hint="eastAsia" w:ascii="宋体" w:hAnsi="宋体" w:eastAsia="宋体" w:cs="宋体"/>
          <w:b/>
          <w:bCs/>
          <w:color w:val="auto"/>
          <w:highlight w:val="none"/>
        </w:rPr>
        <w:t>格式2 授权委托书</w:t>
      </w:r>
    </w:p>
    <w:p w14:paraId="0FAA3AC0">
      <w:pPr>
        <w:pStyle w:val="35"/>
        <w:ind w:firstLine="480"/>
        <w:rPr>
          <w:rFonts w:hint="eastAsia" w:ascii="宋体" w:hAnsi="宋体" w:eastAsia="宋体" w:cs="宋体"/>
          <w:color w:val="auto"/>
          <w:highlight w:val="none"/>
        </w:rPr>
      </w:pPr>
      <w:r>
        <w:rPr>
          <w:rFonts w:hint="eastAsia" w:ascii="宋体" w:hAnsi="宋体" w:eastAsia="宋体" w:cs="宋体"/>
          <w:color w:val="auto"/>
          <w:highlight w:val="none"/>
        </w:rPr>
        <w:t>（委托代理人参加竞争性磋商的，出具此证明书）</w:t>
      </w:r>
    </w:p>
    <w:p w14:paraId="1F1D4296">
      <w:pPr>
        <w:pStyle w:val="35"/>
        <w:ind w:firstLine="480"/>
        <w:rPr>
          <w:rFonts w:hint="eastAsia" w:ascii="宋体" w:hAnsi="宋体" w:eastAsia="宋体" w:cs="宋体"/>
          <w:color w:val="auto"/>
          <w:highlight w:val="none"/>
        </w:rPr>
      </w:pPr>
      <w:r>
        <w:rPr>
          <w:rFonts w:hint="eastAsia" w:ascii="宋体" w:hAnsi="宋体" w:eastAsia="宋体" w:cs="宋体"/>
          <w:color w:val="auto"/>
          <w:highlight w:val="none"/>
        </w:rPr>
        <w:t xml:space="preserve"> </w:t>
      </w:r>
    </w:p>
    <w:p w14:paraId="73F47DF4">
      <w:pPr>
        <w:pStyle w:val="35"/>
        <w:ind w:firstLine="480"/>
        <w:rPr>
          <w:rFonts w:hint="eastAsia" w:ascii="宋体" w:hAnsi="宋体" w:eastAsia="宋体" w:cs="宋体"/>
          <w:color w:val="auto"/>
          <w:highlight w:val="none"/>
        </w:rPr>
      </w:pPr>
      <w:r>
        <w:rPr>
          <w:rFonts w:hint="eastAsia" w:ascii="宋体" w:hAnsi="宋体" w:eastAsia="宋体" w:cs="宋体"/>
          <w:color w:val="auto"/>
          <w:highlight w:val="none"/>
        </w:rPr>
        <w:t>委托人授权</w:t>
      </w:r>
      <w:r>
        <w:rPr>
          <w:rFonts w:hint="eastAsia" w:ascii="宋体" w:hAnsi="宋体" w:eastAsia="宋体" w:cs="宋体"/>
          <w:color w:val="auto"/>
          <w:highlight w:val="none"/>
          <w:u w:val="single"/>
        </w:rPr>
        <w:t>（被委托人的姓名、职务）</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rPr>
        <w:t>为委托人</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的委托代理人，就项目编号为</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rPr>
        <w:t>的</w:t>
      </w:r>
      <w:r>
        <w:rPr>
          <w:rFonts w:hint="eastAsia" w:ascii="宋体" w:hAnsi="宋体" w:eastAsia="宋体" w:cs="宋体"/>
          <w:color w:val="auto"/>
          <w:highlight w:val="none"/>
          <w:u w:val="single"/>
        </w:rPr>
        <w:t xml:space="preserve"> （本项目名称）</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rPr>
        <w:t>项目，以本单位名义处理一切与之有关的事务。</w:t>
      </w:r>
    </w:p>
    <w:p w14:paraId="336EA3E3">
      <w:pPr>
        <w:pStyle w:val="35"/>
        <w:ind w:firstLine="480"/>
        <w:rPr>
          <w:rFonts w:hint="eastAsia" w:ascii="宋体" w:hAnsi="宋体" w:eastAsia="宋体" w:cs="宋体"/>
          <w:color w:val="auto"/>
          <w:highlight w:val="none"/>
        </w:rPr>
      </w:pPr>
      <w:r>
        <w:rPr>
          <w:rFonts w:hint="eastAsia" w:ascii="宋体" w:hAnsi="宋体" w:eastAsia="宋体" w:cs="宋体"/>
          <w:color w:val="auto"/>
          <w:highlight w:val="none"/>
        </w:rPr>
        <w:t>本授权书于</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rPr>
        <w:t>年</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rPr>
        <w:t>月</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日签字生效，特此声明。</w:t>
      </w:r>
    </w:p>
    <w:p w14:paraId="5B55487A">
      <w:pPr>
        <w:pStyle w:val="35"/>
        <w:ind w:firstLine="480"/>
        <w:rPr>
          <w:rFonts w:hint="eastAsia" w:ascii="宋体" w:hAnsi="宋体" w:eastAsia="宋体" w:cs="宋体"/>
          <w:color w:val="auto"/>
          <w:highlight w:val="none"/>
        </w:rPr>
      </w:pPr>
      <w:r>
        <w:rPr>
          <w:rFonts w:hint="eastAsia" w:ascii="宋体" w:hAnsi="宋体" w:eastAsia="宋体" w:cs="宋体"/>
          <w:color w:val="auto"/>
          <w:highlight w:val="none"/>
        </w:rPr>
        <w:t xml:space="preserve"> </w:t>
      </w:r>
    </w:p>
    <w:p w14:paraId="0C243201">
      <w:pPr>
        <w:pStyle w:val="35"/>
        <w:ind w:firstLine="480"/>
        <w:rPr>
          <w:rFonts w:hint="eastAsia" w:ascii="宋体" w:hAnsi="宋体" w:eastAsia="宋体" w:cs="宋体"/>
          <w:color w:val="auto"/>
          <w:highlight w:val="none"/>
        </w:rPr>
      </w:pPr>
      <w:r>
        <w:rPr>
          <w:rFonts w:hint="eastAsia" w:ascii="宋体" w:hAnsi="宋体" w:eastAsia="宋体" w:cs="宋体"/>
          <w:color w:val="auto"/>
          <w:highlight w:val="none"/>
        </w:rPr>
        <w:t>被委托人（签字）：</w:t>
      </w:r>
    </w:p>
    <w:p w14:paraId="59132AFB">
      <w:pPr>
        <w:pStyle w:val="35"/>
        <w:ind w:firstLine="480"/>
        <w:rPr>
          <w:rFonts w:hint="eastAsia" w:ascii="宋体" w:hAnsi="宋体" w:eastAsia="宋体" w:cs="宋体"/>
          <w:color w:val="auto"/>
          <w:highlight w:val="none"/>
        </w:rPr>
      </w:pPr>
      <w:r>
        <w:rPr>
          <w:rFonts w:hint="eastAsia" w:ascii="宋体" w:hAnsi="宋体" w:eastAsia="宋体" w:cs="宋体"/>
          <w:color w:val="auto"/>
          <w:highlight w:val="none"/>
        </w:rPr>
        <w:t>法定代表人（签字或盖章）：</w:t>
      </w:r>
    </w:p>
    <w:tbl>
      <w:tblPr>
        <w:tblStyle w:val="27"/>
        <w:tblW w:w="55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58D91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jc w:val="center"/>
        </w:trPr>
        <w:tc>
          <w:tcPr>
            <w:tcW w:w="5508" w:type="dxa"/>
            <w:tcBorders>
              <w:top w:val="single" w:color="auto" w:sz="4" w:space="0"/>
              <w:left w:val="single" w:color="auto" w:sz="4" w:space="0"/>
              <w:bottom w:val="single" w:color="auto" w:sz="4" w:space="0"/>
              <w:right w:val="single" w:color="auto" w:sz="4" w:space="0"/>
            </w:tcBorders>
          </w:tcPr>
          <w:p w14:paraId="763B233A">
            <w:pPr>
              <w:pStyle w:val="35"/>
              <w:ind w:firstLine="482"/>
              <w:rPr>
                <w:rFonts w:hint="eastAsia" w:ascii="宋体" w:hAnsi="宋体" w:eastAsia="宋体" w:cs="宋体"/>
                <w:b/>
                <w:bCs/>
                <w:color w:val="auto"/>
                <w:highlight w:val="none"/>
              </w:rPr>
            </w:pPr>
          </w:p>
          <w:p w14:paraId="2BD349C1">
            <w:pPr>
              <w:pStyle w:val="35"/>
              <w:ind w:firstLine="482"/>
              <w:rPr>
                <w:rFonts w:hint="eastAsia" w:ascii="宋体" w:hAnsi="宋体" w:eastAsia="宋体" w:cs="宋体"/>
                <w:b/>
                <w:bCs/>
                <w:color w:val="auto"/>
                <w:highlight w:val="none"/>
              </w:rPr>
            </w:pPr>
          </w:p>
          <w:p w14:paraId="61817F42">
            <w:pPr>
              <w:pStyle w:val="35"/>
              <w:ind w:firstLine="482"/>
              <w:rPr>
                <w:rFonts w:hint="eastAsia" w:ascii="宋体" w:hAnsi="宋体" w:eastAsia="宋体" w:cs="宋体"/>
                <w:color w:val="auto"/>
                <w:highlight w:val="none"/>
              </w:rPr>
            </w:pPr>
            <w:r>
              <w:rPr>
                <w:rFonts w:hint="eastAsia" w:ascii="宋体" w:hAnsi="宋体" w:eastAsia="宋体" w:cs="宋体"/>
                <w:b/>
                <w:bCs/>
                <w:color w:val="auto"/>
                <w:highlight w:val="none"/>
              </w:rPr>
              <w:t>（※附：被委托人身份证复印件※）</w:t>
            </w:r>
          </w:p>
        </w:tc>
      </w:tr>
    </w:tbl>
    <w:p w14:paraId="522ABE8B">
      <w:pPr>
        <w:pStyle w:val="35"/>
        <w:ind w:firstLine="480"/>
        <w:rPr>
          <w:rFonts w:hint="eastAsia" w:ascii="宋体" w:hAnsi="宋体" w:eastAsia="宋体" w:cs="宋体"/>
          <w:color w:val="auto"/>
          <w:highlight w:val="none"/>
        </w:rPr>
      </w:pPr>
      <w:r>
        <w:rPr>
          <w:rFonts w:hint="eastAsia" w:ascii="宋体" w:hAnsi="宋体" w:eastAsia="宋体" w:cs="宋体"/>
          <w:color w:val="auto"/>
          <w:highlight w:val="none"/>
        </w:rPr>
        <w:t xml:space="preserve"> </w:t>
      </w:r>
    </w:p>
    <w:p w14:paraId="197E0ADB">
      <w:pPr>
        <w:pStyle w:val="35"/>
        <w:ind w:firstLine="480"/>
        <w:rPr>
          <w:rFonts w:hint="eastAsia" w:ascii="宋体" w:hAnsi="宋体" w:eastAsia="宋体" w:cs="宋体"/>
          <w:color w:val="auto"/>
          <w:highlight w:val="none"/>
        </w:rPr>
      </w:pPr>
      <w:r>
        <w:rPr>
          <w:rFonts w:hint="eastAsia" w:ascii="宋体" w:hAnsi="宋体" w:eastAsia="宋体" w:cs="宋体"/>
          <w:color w:val="auto"/>
          <w:highlight w:val="none"/>
        </w:rPr>
        <w:t xml:space="preserve"> </w:t>
      </w:r>
    </w:p>
    <w:p w14:paraId="141E5902">
      <w:pPr>
        <w:pStyle w:val="35"/>
        <w:ind w:firstLine="480"/>
        <w:rPr>
          <w:rFonts w:hint="eastAsia" w:ascii="宋体" w:hAnsi="宋体" w:eastAsia="宋体" w:cs="宋体"/>
          <w:color w:val="auto"/>
          <w:highlight w:val="none"/>
        </w:rPr>
      </w:pPr>
      <w:r>
        <w:rPr>
          <w:rFonts w:hint="eastAsia" w:ascii="宋体" w:hAnsi="宋体" w:eastAsia="宋体" w:cs="宋体"/>
          <w:color w:val="auto"/>
          <w:highlight w:val="none"/>
        </w:rPr>
        <w:t xml:space="preserve"> </w:t>
      </w:r>
    </w:p>
    <w:p w14:paraId="049FA527">
      <w:pPr>
        <w:pStyle w:val="35"/>
        <w:ind w:firstLine="480"/>
        <w:rPr>
          <w:rFonts w:hint="eastAsia" w:ascii="宋体" w:hAnsi="宋体" w:eastAsia="宋体" w:cs="宋体"/>
          <w:color w:val="auto"/>
          <w:highlight w:val="none"/>
        </w:rPr>
      </w:pPr>
      <w:r>
        <w:rPr>
          <w:rFonts w:hint="eastAsia" w:ascii="宋体" w:hAnsi="宋体" w:eastAsia="宋体" w:cs="宋体"/>
          <w:color w:val="auto"/>
          <w:highlight w:val="none"/>
        </w:rPr>
        <w:t xml:space="preserve"> </w:t>
      </w:r>
    </w:p>
    <w:p w14:paraId="6FB257EC">
      <w:pPr>
        <w:pStyle w:val="35"/>
        <w:ind w:firstLine="480"/>
        <w:rPr>
          <w:rFonts w:hint="eastAsia" w:ascii="宋体" w:hAnsi="宋体" w:eastAsia="宋体" w:cs="宋体"/>
          <w:color w:val="auto"/>
          <w:highlight w:val="none"/>
        </w:rPr>
      </w:pPr>
      <w:r>
        <w:rPr>
          <w:rFonts w:hint="eastAsia" w:ascii="宋体" w:hAnsi="宋体" w:eastAsia="宋体" w:cs="宋体"/>
          <w:color w:val="auto"/>
          <w:highlight w:val="none"/>
        </w:rPr>
        <w:t xml:space="preserve"> </w:t>
      </w:r>
    </w:p>
    <w:p w14:paraId="0D9751C8">
      <w:pPr>
        <w:pStyle w:val="35"/>
        <w:ind w:firstLine="480"/>
        <w:rPr>
          <w:rFonts w:hint="eastAsia" w:ascii="宋体" w:hAnsi="宋体" w:eastAsia="宋体" w:cs="宋体"/>
          <w:color w:val="auto"/>
          <w:highlight w:val="none"/>
        </w:rPr>
      </w:pPr>
      <w:r>
        <w:rPr>
          <w:rFonts w:hint="eastAsia" w:ascii="宋体" w:hAnsi="宋体" w:eastAsia="宋体" w:cs="宋体"/>
          <w:color w:val="auto"/>
          <w:highlight w:val="none"/>
        </w:rPr>
        <w:t xml:space="preserve"> </w:t>
      </w:r>
    </w:p>
    <w:p w14:paraId="2AB0E710">
      <w:pPr>
        <w:pStyle w:val="35"/>
        <w:ind w:firstLine="480"/>
        <w:rPr>
          <w:rFonts w:hint="eastAsia" w:ascii="宋体" w:hAnsi="宋体" w:eastAsia="宋体" w:cs="宋体"/>
          <w:color w:val="auto"/>
          <w:highlight w:val="none"/>
        </w:rPr>
      </w:pPr>
      <w:r>
        <w:rPr>
          <w:rFonts w:hint="eastAsia" w:ascii="宋体" w:hAnsi="宋体" w:eastAsia="宋体" w:cs="宋体"/>
          <w:color w:val="auto"/>
          <w:highlight w:val="none"/>
        </w:rPr>
        <w:t xml:space="preserve"> </w:t>
      </w:r>
    </w:p>
    <w:p w14:paraId="628C209F">
      <w:pPr>
        <w:pStyle w:val="35"/>
        <w:ind w:firstLine="4560" w:firstLineChars="1900"/>
        <w:rPr>
          <w:rFonts w:hint="eastAsia" w:ascii="宋体" w:hAnsi="宋体" w:eastAsia="宋体" w:cs="宋体"/>
          <w:color w:val="auto"/>
          <w:highlight w:val="none"/>
        </w:rPr>
      </w:pPr>
      <w:r>
        <w:rPr>
          <w:rFonts w:hint="eastAsia" w:ascii="宋体" w:hAnsi="宋体" w:eastAsia="宋体" w:cs="宋体"/>
          <w:color w:val="auto"/>
          <w:highlight w:val="none"/>
        </w:rPr>
        <w:t xml:space="preserve">供应商电子公章： </w:t>
      </w:r>
    </w:p>
    <w:p w14:paraId="1F3BC6C5">
      <w:pPr>
        <w:pStyle w:val="35"/>
        <w:ind w:firstLine="480"/>
        <w:rPr>
          <w:rFonts w:hint="eastAsia" w:ascii="宋体" w:hAnsi="宋体" w:eastAsia="宋体" w:cs="宋体"/>
          <w:color w:val="auto"/>
          <w:highlight w:val="none"/>
        </w:rPr>
      </w:pPr>
      <w:r>
        <w:rPr>
          <w:rFonts w:hint="eastAsia" w:ascii="宋体" w:hAnsi="宋体" w:eastAsia="宋体" w:cs="宋体"/>
          <w:color w:val="auto"/>
          <w:highlight w:val="none"/>
        </w:rPr>
        <w:t xml:space="preserve">                                  </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年   月  日</w:t>
      </w:r>
    </w:p>
    <w:p w14:paraId="2A8C2B16">
      <w:pPr>
        <w:pStyle w:val="35"/>
        <w:ind w:firstLine="480"/>
        <w:rPr>
          <w:rFonts w:hint="eastAsia" w:ascii="宋体" w:hAnsi="宋体" w:eastAsia="宋体" w:cs="宋体"/>
          <w:color w:val="auto"/>
          <w:highlight w:val="none"/>
        </w:rPr>
      </w:pPr>
      <w:r>
        <w:rPr>
          <w:rFonts w:hint="eastAsia" w:ascii="宋体" w:hAnsi="宋体" w:eastAsia="宋体" w:cs="宋体"/>
          <w:color w:val="auto"/>
          <w:highlight w:val="none"/>
        </w:rPr>
        <w:t xml:space="preserve"> </w:t>
      </w:r>
    </w:p>
    <w:p w14:paraId="5D8F02A2">
      <w:pPr>
        <w:pStyle w:val="35"/>
        <w:ind w:firstLine="480"/>
        <w:rPr>
          <w:rFonts w:hint="eastAsia" w:ascii="宋体" w:hAnsi="宋体" w:eastAsia="宋体" w:cs="宋体"/>
          <w:color w:val="auto"/>
          <w:highlight w:val="none"/>
        </w:rPr>
      </w:pPr>
      <w:r>
        <w:rPr>
          <w:rFonts w:hint="eastAsia" w:ascii="宋体" w:hAnsi="宋体" w:eastAsia="宋体" w:cs="宋体"/>
          <w:color w:val="auto"/>
          <w:highlight w:val="none"/>
        </w:rPr>
        <w:t xml:space="preserve"> </w:t>
      </w:r>
    </w:p>
    <w:p w14:paraId="0375861D">
      <w:pPr>
        <w:pStyle w:val="35"/>
        <w:ind w:firstLine="480"/>
        <w:rPr>
          <w:rFonts w:hint="eastAsia" w:ascii="宋体" w:hAnsi="宋体" w:eastAsia="宋体" w:cs="宋体"/>
          <w:color w:val="auto"/>
          <w:highlight w:val="none"/>
        </w:rPr>
      </w:pPr>
      <w:r>
        <w:rPr>
          <w:rFonts w:hint="eastAsia" w:ascii="宋体" w:hAnsi="宋体" w:eastAsia="宋体" w:cs="宋体"/>
          <w:color w:val="auto"/>
          <w:highlight w:val="none"/>
        </w:rPr>
        <w:t xml:space="preserve"> </w:t>
      </w:r>
    </w:p>
    <w:p w14:paraId="43838384">
      <w:pPr>
        <w:rPr>
          <w:rFonts w:hint="eastAsia" w:ascii="宋体" w:hAnsi="宋体" w:eastAsia="宋体" w:cs="宋体"/>
          <w:color w:val="auto"/>
          <w:highlight w:val="none"/>
        </w:rPr>
      </w:pPr>
    </w:p>
    <w:p w14:paraId="50873430">
      <w:pPr>
        <w:rPr>
          <w:rFonts w:hint="eastAsia" w:ascii="宋体" w:hAnsi="宋体" w:eastAsia="宋体" w:cs="宋体"/>
          <w:color w:val="auto"/>
          <w:highlight w:val="none"/>
        </w:rPr>
      </w:pPr>
    </w:p>
    <w:p w14:paraId="69C0A96B">
      <w:pPr>
        <w:rPr>
          <w:rFonts w:hint="eastAsia" w:ascii="宋体" w:hAnsi="宋体" w:eastAsia="宋体" w:cs="宋体"/>
          <w:color w:val="auto"/>
          <w:highlight w:val="none"/>
        </w:rPr>
      </w:pPr>
    </w:p>
    <w:p w14:paraId="0B71058E">
      <w:pPr>
        <w:rPr>
          <w:rFonts w:hint="eastAsia" w:ascii="宋体" w:hAnsi="宋体" w:eastAsia="宋体" w:cs="宋体"/>
          <w:color w:val="auto"/>
          <w:highlight w:val="none"/>
        </w:rPr>
      </w:pPr>
    </w:p>
    <w:p w14:paraId="7999C1FA">
      <w:pPr>
        <w:pStyle w:val="35"/>
        <w:ind w:firstLine="482"/>
        <w:jc w:val="center"/>
        <w:rPr>
          <w:rFonts w:hint="eastAsia" w:ascii="宋体" w:hAnsi="宋体" w:eastAsia="宋体" w:cs="宋体"/>
          <w:b/>
          <w:bCs/>
          <w:color w:val="auto"/>
          <w:highlight w:val="none"/>
        </w:rPr>
      </w:pPr>
      <w:r>
        <w:rPr>
          <w:rFonts w:hint="eastAsia" w:ascii="宋体" w:hAnsi="宋体" w:eastAsia="宋体" w:cs="宋体"/>
          <w:b/>
          <w:bCs/>
          <w:color w:val="auto"/>
          <w:highlight w:val="none"/>
        </w:rPr>
        <w:t>格式3 企业营业执照副本及资格性证明材料</w:t>
      </w:r>
    </w:p>
    <w:p w14:paraId="080D09DC">
      <w:pPr>
        <w:pStyle w:val="35"/>
        <w:ind w:firstLine="480"/>
        <w:rPr>
          <w:rFonts w:hint="eastAsia" w:ascii="宋体" w:hAnsi="宋体" w:eastAsia="宋体" w:cs="宋体"/>
          <w:color w:val="auto"/>
          <w:highlight w:val="none"/>
        </w:rPr>
      </w:pPr>
      <w:r>
        <w:rPr>
          <w:rFonts w:hint="eastAsia" w:ascii="宋体" w:hAnsi="宋体" w:eastAsia="宋体" w:cs="宋体"/>
          <w:color w:val="auto"/>
          <w:highlight w:val="none"/>
        </w:rPr>
        <w:t xml:space="preserve"> </w:t>
      </w:r>
    </w:p>
    <w:p w14:paraId="367D648A">
      <w:pPr>
        <w:pStyle w:val="35"/>
        <w:ind w:firstLine="480"/>
        <w:rPr>
          <w:rFonts w:hint="eastAsia" w:ascii="宋体" w:hAnsi="宋体" w:eastAsia="宋体" w:cs="宋体"/>
          <w:color w:val="auto"/>
          <w:highlight w:val="none"/>
        </w:rPr>
      </w:pPr>
      <w:r>
        <w:rPr>
          <w:rFonts w:hint="eastAsia" w:ascii="宋体" w:hAnsi="宋体" w:eastAsia="宋体" w:cs="宋体"/>
          <w:color w:val="auto"/>
          <w:highlight w:val="none"/>
        </w:rPr>
        <w:t xml:space="preserve"> </w:t>
      </w:r>
    </w:p>
    <w:p w14:paraId="3BBBC1E4">
      <w:pPr>
        <w:pStyle w:val="35"/>
        <w:ind w:firstLine="480"/>
        <w:rPr>
          <w:rFonts w:hint="eastAsia" w:ascii="宋体" w:hAnsi="宋体" w:eastAsia="宋体" w:cs="宋体"/>
          <w:color w:val="auto"/>
          <w:highlight w:val="none"/>
        </w:rPr>
      </w:pPr>
      <w:r>
        <w:rPr>
          <w:rFonts w:hint="eastAsia" w:ascii="宋体" w:hAnsi="宋体" w:eastAsia="宋体" w:cs="宋体"/>
          <w:color w:val="auto"/>
          <w:highlight w:val="none"/>
        </w:rPr>
        <w:t xml:space="preserve"> </w:t>
      </w:r>
    </w:p>
    <w:p w14:paraId="3A2334CA">
      <w:pPr>
        <w:pStyle w:val="35"/>
        <w:ind w:firstLine="480"/>
        <w:rPr>
          <w:rFonts w:hint="eastAsia" w:ascii="宋体" w:hAnsi="宋体" w:eastAsia="宋体" w:cs="宋体"/>
          <w:color w:val="auto"/>
          <w:highlight w:val="none"/>
        </w:rPr>
      </w:pPr>
      <w:r>
        <w:rPr>
          <w:rFonts w:hint="eastAsia" w:ascii="宋体" w:hAnsi="宋体" w:eastAsia="宋体" w:cs="宋体"/>
          <w:color w:val="auto"/>
          <w:highlight w:val="none"/>
        </w:rPr>
        <w:t xml:space="preserve"> </w:t>
      </w:r>
    </w:p>
    <w:p w14:paraId="4D0A3C42">
      <w:pPr>
        <w:pStyle w:val="35"/>
        <w:ind w:firstLine="480"/>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07893A6A">
      <w:pPr>
        <w:pStyle w:val="35"/>
        <w:ind w:firstLine="241" w:firstLineChars="100"/>
        <w:rPr>
          <w:rFonts w:hint="eastAsia" w:ascii="宋体" w:hAnsi="宋体" w:eastAsia="宋体" w:cs="宋体"/>
          <w:b/>
          <w:bCs/>
          <w:color w:val="auto"/>
          <w:highlight w:val="none"/>
        </w:rPr>
      </w:pPr>
      <w:r>
        <w:rPr>
          <w:rFonts w:hint="eastAsia" w:ascii="宋体" w:hAnsi="宋体" w:eastAsia="宋体" w:cs="宋体"/>
          <w:b/>
          <w:bCs/>
          <w:color w:val="auto"/>
          <w:highlight w:val="none"/>
        </w:rPr>
        <w:t>格式4 政府采购法第二十二条及参加政府采购活动前三年内无重大违法记录的书面声明</w:t>
      </w:r>
    </w:p>
    <w:p w14:paraId="61A0DAEF">
      <w:pPr>
        <w:pStyle w:val="35"/>
        <w:ind w:firstLine="480"/>
        <w:rPr>
          <w:rFonts w:hint="eastAsia" w:ascii="宋体" w:hAnsi="宋体" w:eastAsia="宋体" w:cs="宋体"/>
          <w:color w:val="auto"/>
          <w:highlight w:val="none"/>
        </w:rPr>
      </w:pPr>
      <w:r>
        <w:rPr>
          <w:rFonts w:hint="eastAsia" w:ascii="宋体" w:hAnsi="宋体" w:eastAsia="宋体" w:cs="宋体"/>
          <w:color w:val="auto"/>
          <w:highlight w:val="none"/>
        </w:rPr>
        <w:t xml:space="preserve"> </w:t>
      </w:r>
    </w:p>
    <w:p w14:paraId="32C0AE41">
      <w:pPr>
        <w:pStyle w:val="35"/>
        <w:ind w:firstLine="480"/>
        <w:rPr>
          <w:rFonts w:hint="eastAsia" w:ascii="宋体" w:hAnsi="宋体" w:eastAsia="宋体" w:cs="宋体"/>
          <w:color w:val="auto"/>
          <w:highlight w:val="none"/>
        </w:rPr>
      </w:pPr>
      <w:r>
        <w:rPr>
          <w:rFonts w:hint="eastAsia" w:ascii="宋体" w:hAnsi="宋体" w:eastAsia="宋体" w:cs="宋体"/>
          <w:color w:val="auto"/>
          <w:highlight w:val="none"/>
        </w:rPr>
        <w:t xml:space="preserve"> </w:t>
      </w:r>
    </w:p>
    <w:p w14:paraId="7C785A10">
      <w:pPr>
        <w:pStyle w:val="35"/>
        <w:ind w:firstLine="480"/>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4642D714">
      <w:pPr>
        <w:pStyle w:val="35"/>
        <w:ind w:firstLine="482"/>
        <w:jc w:val="center"/>
        <w:rPr>
          <w:rFonts w:hint="eastAsia" w:ascii="宋体" w:hAnsi="宋体" w:eastAsia="宋体" w:cs="宋体"/>
          <w:b/>
          <w:bCs/>
          <w:color w:val="auto"/>
          <w:highlight w:val="none"/>
        </w:rPr>
      </w:pPr>
      <w:r>
        <w:rPr>
          <w:rFonts w:hint="eastAsia" w:ascii="宋体" w:hAnsi="宋体" w:eastAsia="宋体" w:cs="宋体"/>
          <w:b/>
          <w:bCs/>
          <w:color w:val="auto"/>
          <w:highlight w:val="none"/>
        </w:rPr>
        <w:t>格式5 投标函</w:t>
      </w:r>
    </w:p>
    <w:p w14:paraId="70555B51">
      <w:pPr>
        <w:pStyle w:val="35"/>
        <w:ind w:firstLine="480"/>
        <w:rPr>
          <w:rFonts w:hint="eastAsia" w:ascii="宋体" w:hAnsi="宋体" w:eastAsia="宋体" w:cs="宋体"/>
          <w:color w:val="auto"/>
          <w:highlight w:val="none"/>
          <w:u w:val="single"/>
        </w:rPr>
      </w:pPr>
      <w:r>
        <w:rPr>
          <w:rFonts w:hint="eastAsia" w:ascii="宋体" w:hAnsi="宋体" w:eastAsia="宋体" w:cs="宋体"/>
          <w:color w:val="auto"/>
          <w:highlight w:val="none"/>
        </w:rPr>
        <w:t>致：</w:t>
      </w:r>
      <w:r>
        <w:rPr>
          <w:rFonts w:hint="eastAsia" w:ascii="宋体" w:hAnsi="宋体" w:eastAsia="宋体" w:cs="宋体"/>
          <w:color w:val="auto"/>
          <w:highlight w:val="none"/>
          <w:u w:val="single"/>
        </w:rPr>
        <w:t>（采购人和采购代理机构）</w:t>
      </w:r>
    </w:p>
    <w:p w14:paraId="445EB6F4">
      <w:pPr>
        <w:pStyle w:val="35"/>
        <w:ind w:firstLine="480"/>
        <w:rPr>
          <w:rFonts w:hint="eastAsia" w:ascii="宋体" w:hAnsi="宋体" w:eastAsia="宋体" w:cs="宋体"/>
          <w:color w:val="auto"/>
          <w:highlight w:val="none"/>
        </w:rPr>
      </w:pPr>
      <w:r>
        <w:rPr>
          <w:rFonts w:hint="eastAsia" w:ascii="宋体" w:hAnsi="宋体" w:eastAsia="宋体" w:cs="宋体"/>
          <w:color w:val="auto"/>
          <w:highlight w:val="none"/>
        </w:rPr>
        <w:t>根据贵方</w:t>
      </w:r>
      <w:r>
        <w:rPr>
          <w:rFonts w:hint="eastAsia" w:ascii="宋体" w:hAnsi="宋体" w:eastAsia="宋体" w:cs="宋体"/>
          <w:color w:val="auto"/>
          <w:highlight w:val="none"/>
          <w:u w:val="single"/>
        </w:rPr>
        <w:t>（本项目名称）</w:t>
      </w:r>
      <w:r>
        <w:rPr>
          <w:rFonts w:hint="eastAsia" w:ascii="宋体" w:hAnsi="宋体" w:eastAsia="宋体" w:cs="宋体"/>
          <w:color w:val="auto"/>
          <w:highlight w:val="none"/>
        </w:rPr>
        <w:t>项目的竞争性磋商邀请（项目编号</w:t>
      </w:r>
      <w:r>
        <w:rPr>
          <w:rFonts w:hint="eastAsia" w:ascii="宋体" w:hAnsi="宋体" w:eastAsia="宋体" w:cs="宋体"/>
          <w:color w:val="auto"/>
          <w:highlight w:val="none"/>
          <w:u w:val="none"/>
        </w:rPr>
        <w:t>：</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），委托代理人</w:t>
      </w:r>
      <w:r>
        <w:rPr>
          <w:rFonts w:hint="eastAsia" w:ascii="宋体" w:hAnsi="宋体" w:eastAsia="宋体" w:cs="宋体"/>
          <w:color w:val="auto"/>
          <w:highlight w:val="none"/>
          <w:u w:val="single"/>
        </w:rPr>
        <w:t>(全名、职务)</w:t>
      </w:r>
      <w:r>
        <w:rPr>
          <w:rFonts w:hint="eastAsia" w:ascii="宋体" w:hAnsi="宋体" w:eastAsia="宋体" w:cs="宋体"/>
          <w:color w:val="auto"/>
          <w:highlight w:val="none"/>
        </w:rPr>
        <w:t>代表</w:t>
      </w:r>
      <w:r>
        <w:rPr>
          <w:rFonts w:hint="eastAsia" w:ascii="宋体" w:hAnsi="宋体" w:eastAsia="宋体" w:cs="宋体"/>
          <w:color w:val="auto"/>
          <w:highlight w:val="none"/>
          <w:u w:val="single"/>
        </w:rPr>
        <w:t>（供应商名称、地址)</w:t>
      </w:r>
      <w:r>
        <w:rPr>
          <w:rFonts w:hint="eastAsia" w:ascii="宋体" w:hAnsi="宋体" w:eastAsia="宋体" w:cs="宋体"/>
          <w:color w:val="auto"/>
          <w:highlight w:val="none"/>
        </w:rPr>
        <w:t>提交投标文件，报价为</w:t>
      </w:r>
      <w:r>
        <w:rPr>
          <w:rFonts w:hint="eastAsia" w:ascii="宋体" w:hAnsi="宋体" w:eastAsia="宋体" w:cs="宋体"/>
          <w:color w:val="auto"/>
          <w:highlight w:val="none"/>
          <w:u w:val="none"/>
        </w:rPr>
        <w:t>：</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none"/>
        </w:rPr>
        <w:t>元，</w:t>
      </w:r>
      <w:r>
        <w:rPr>
          <w:rFonts w:hint="eastAsia" w:ascii="宋体" w:hAnsi="宋体" w:eastAsia="宋体" w:cs="宋体"/>
          <w:color w:val="auto"/>
          <w:highlight w:val="none"/>
        </w:rPr>
        <w:t>并对之负法律责任。</w:t>
      </w:r>
    </w:p>
    <w:p w14:paraId="62428D4E">
      <w:pPr>
        <w:pStyle w:val="35"/>
        <w:ind w:firstLine="480"/>
        <w:rPr>
          <w:rFonts w:hint="eastAsia" w:ascii="宋体" w:hAnsi="宋体" w:eastAsia="宋体" w:cs="宋体"/>
          <w:color w:val="auto"/>
          <w:highlight w:val="none"/>
        </w:rPr>
      </w:pPr>
      <w:r>
        <w:rPr>
          <w:rFonts w:hint="eastAsia" w:ascii="宋体" w:hAnsi="宋体" w:eastAsia="宋体" w:cs="宋体"/>
          <w:color w:val="auto"/>
          <w:highlight w:val="none"/>
        </w:rPr>
        <w:t>据此函，宣布同意如下：</w:t>
      </w:r>
    </w:p>
    <w:p w14:paraId="2728DCAC">
      <w:pPr>
        <w:pStyle w:val="35"/>
        <w:ind w:firstLine="480"/>
        <w:rPr>
          <w:rFonts w:hint="eastAsia" w:ascii="宋体" w:hAnsi="宋体" w:eastAsia="宋体" w:cs="宋体"/>
          <w:color w:val="auto"/>
          <w:highlight w:val="none"/>
        </w:rPr>
      </w:pPr>
      <w:r>
        <w:rPr>
          <w:rFonts w:hint="eastAsia" w:ascii="宋体" w:hAnsi="宋体" w:eastAsia="宋体" w:cs="宋体"/>
          <w:color w:val="auto"/>
          <w:highlight w:val="none"/>
        </w:rPr>
        <w:t>(1)我们完全理解贵方不一定要接受最低报价，并同意本文件规定的响应性文件有效期。</w:t>
      </w:r>
    </w:p>
    <w:p w14:paraId="0848A759">
      <w:pPr>
        <w:pStyle w:val="35"/>
        <w:ind w:firstLine="480"/>
        <w:rPr>
          <w:rFonts w:hint="eastAsia" w:ascii="宋体" w:hAnsi="宋体" w:eastAsia="宋体" w:cs="宋体"/>
          <w:color w:val="auto"/>
          <w:highlight w:val="none"/>
        </w:rPr>
      </w:pPr>
      <w:r>
        <w:rPr>
          <w:rFonts w:hint="eastAsia" w:ascii="宋体" w:hAnsi="宋体" w:eastAsia="宋体" w:cs="宋体"/>
          <w:color w:val="auto"/>
          <w:highlight w:val="none"/>
        </w:rPr>
        <w:t>(2)我们已详细审核全部竞争性磋商文件，我们知道必须放弃提出含糊不清或误解的问题的权利。</w:t>
      </w:r>
    </w:p>
    <w:p w14:paraId="6B5A3E59">
      <w:pPr>
        <w:pStyle w:val="35"/>
        <w:numPr>
          <w:ilvl w:val="0"/>
          <w:numId w:val="0"/>
        </w:numPr>
        <w:ind w:left="0" w:leftChars="0"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3</w:t>
      </w:r>
      <w:r>
        <w:rPr>
          <w:rFonts w:hint="eastAsia" w:ascii="宋体" w:hAnsi="宋体" w:eastAsia="宋体" w:cs="宋体"/>
          <w:color w:val="auto"/>
          <w:highlight w:val="none"/>
        </w:rPr>
        <w:t>)同意向贵方提供贵方可能另外要求的与其竞争性磋商有关的任何证据和资料。投标函按统一格式填写，由供应商加盖公章，并由供应商法定代表人或其</w:t>
      </w:r>
      <w:r>
        <w:rPr>
          <w:rFonts w:hint="eastAsia" w:hAnsi="宋体" w:cs="宋体"/>
          <w:color w:val="auto"/>
          <w:highlight w:val="none"/>
          <w:lang w:val="en-US" w:eastAsia="zh-CN"/>
        </w:rPr>
        <w:t>委托代理人</w:t>
      </w:r>
      <w:r>
        <w:rPr>
          <w:rFonts w:hint="eastAsia" w:ascii="宋体" w:hAnsi="宋体" w:eastAsia="宋体" w:cs="宋体"/>
          <w:color w:val="auto"/>
          <w:highlight w:val="none"/>
        </w:rPr>
        <w:t>签字</w:t>
      </w:r>
      <w:r>
        <w:rPr>
          <w:rFonts w:hint="eastAsia" w:hAnsi="宋体" w:cs="宋体"/>
          <w:color w:val="auto"/>
          <w:highlight w:val="none"/>
          <w:lang w:val="en-US" w:eastAsia="zh-CN"/>
        </w:rPr>
        <w:t>或</w:t>
      </w:r>
      <w:r>
        <w:rPr>
          <w:rFonts w:hint="eastAsia" w:ascii="宋体" w:hAnsi="宋体" w:eastAsia="宋体" w:cs="宋体"/>
          <w:color w:val="auto"/>
          <w:highlight w:val="none"/>
        </w:rPr>
        <w:t>盖章。</w:t>
      </w:r>
    </w:p>
    <w:p w14:paraId="1EEB5E43">
      <w:pPr>
        <w:pStyle w:val="35"/>
        <w:ind w:firstLine="480"/>
        <w:rPr>
          <w:rFonts w:hint="eastAsia" w:ascii="宋体" w:hAnsi="宋体" w:eastAsia="宋体" w:cs="宋体"/>
          <w:color w:val="auto"/>
          <w:highlight w:val="none"/>
        </w:rPr>
      </w:pPr>
      <w:r>
        <w:rPr>
          <w:rFonts w:hint="eastAsia" w:ascii="宋体" w:hAnsi="宋体" w:eastAsia="宋体" w:cs="宋体"/>
          <w:color w:val="auto"/>
          <w:highlight w:val="none"/>
        </w:rPr>
        <w:t>(4)一旦我们成交，我们将严格履行合同责任和义务。</w:t>
      </w:r>
    </w:p>
    <w:p w14:paraId="3FC15EE0">
      <w:pPr>
        <w:pStyle w:val="35"/>
        <w:ind w:firstLine="480"/>
        <w:rPr>
          <w:rFonts w:hint="eastAsia" w:ascii="宋体" w:hAnsi="宋体" w:eastAsia="宋体" w:cs="宋体"/>
          <w:color w:val="auto"/>
          <w:highlight w:val="none"/>
        </w:rPr>
      </w:pPr>
      <w:r>
        <w:rPr>
          <w:rFonts w:hint="eastAsia" w:ascii="宋体" w:hAnsi="宋体" w:eastAsia="宋体" w:cs="宋体"/>
          <w:color w:val="auto"/>
          <w:highlight w:val="none"/>
        </w:rPr>
        <w:t>(5)我们完全理解不向未成交人解释未成交理由的义务。</w:t>
      </w:r>
    </w:p>
    <w:p w14:paraId="5509ADFE">
      <w:pPr>
        <w:pStyle w:val="35"/>
        <w:ind w:firstLine="480"/>
        <w:rPr>
          <w:rFonts w:hint="eastAsia" w:ascii="宋体" w:hAnsi="宋体" w:eastAsia="宋体" w:cs="宋体"/>
          <w:color w:val="auto"/>
          <w:highlight w:val="none"/>
        </w:rPr>
      </w:pPr>
      <w:r>
        <w:rPr>
          <w:rFonts w:hint="eastAsia" w:ascii="宋体" w:hAnsi="宋体" w:eastAsia="宋体" w:cs="宋体"/>
          <w:color w:val="auto"/>
          <w:highlight w:val="none"/>
        </w:rPr>
        <w:t>(6)如果我们的谈判响应文件被接受，我们将履行谈判文件中规定的每一项要求，按期、按质、按量履行合同。</w:t>
      </w:r>
    </w:p>
    <w:p w14:paraId="484C2B4A">
      <w:pPr>
        <w:pStyle w:val="35"/>
        <w:ind w:firstLine="480"/>
        <w:rPr>
          <w:rFonts w:hint="eastAsia" w:ascii="宋体" w:hAnsi="宋体" w:eastAsia="宋体" w:cs="宋体"/>
          <w:color w:val="auto"/>
          <w:highlight w:val="none"/>
        </w:rPr>
      </w:pPr>
      <w:r>
        <w:rPr>
          <w:rFonts w:hint="eastAsia" w:ascii="宋体" w:hAnsi="宋体" w:eastAsia="宋体" w:cs="宋体"/>
          <w:color w:val="auto"/>
          <w:highlight w:val="none"/>
        </w:rPr>
        <w:t>(7)我方愿按《中华人民共和国民法典》履行我方的全部责任。</w:t>
      </w:r>
    </w:p>
    <w:p w14:paraId="0A240BD6">
      <w:pPr>
        <w:pStyle w:val="35"/>
        <w:ind w:firstLine="480"/>
        <w:rPr>
          <w:rFonts w:hint="eastAsia" w:ascii="宋体" w:hAnsi="宋体" w:eastAsia="宋体" w:cs="宋体"/>
          <w:color w:val="auto"/>
          <w:highlight w:val="none"/>
        </w:rPr>
      </w:pPr>
      <w:r>
        <w:rPr>
          <w:rFonts w:hint="eastAsia" w:ascii="宋体" w:hAnsi="宋体" w:eastAsia="宋体" w:cs="宋体"/>
          <w:color w:val="auto"/>
          <w:highlight w:val="none"/>
        </w:rPr>
        <w:t>(8)与本次竞争性磋商有关的正式通讯地址为：</w:t>
      </w:r>
    </w:p>
    <w:p w14:paraId="6E99605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u w:val="none"/>
          <w:lang w:eastAsia="zh-CN"/>
        </w:rPr>
      </w:pPr>
      <w:r>
        <w:rPr>
          <w:rFonts w:hint="eastAsia" w:ascii="宋体" w:hAnsi="宋体" w:eastAsia="宋体" w:cs="宋体"/>
          <w:color w:val="auto"/>
          <w:sz w:val="24"/>
          <w:szCs w:val="24"/>
          <w:highlight w:val="none"/>
        </w:rPr>
        <w:t>地 址：</w:t>
      </w:r>
      <w:r>
        <w:rPr>
          <w:rFonts w:hint="eastAsia" w:ascii="宋体" w:hAnsi="宋体" w:eastAsia="宋体" w:cs="宋体"/>
          <w:color w:val="auto"/>
          <w:sz w:val="24"/>
          <w:szCs w:val="24"/>
          <w:highlight w:val="none"/>
          <w:u w:val="none"/>
        </w:rPr>
        <w:t xml:space="preserve">              邮 编</w:t>
      </w:r>
      <w:r>
        <w:rPr>
          <w:rFonts w:hint="eastAsia" w:ascii="宋体" w:hAnsi="宋体" w:eastAsia="宋体" w:cs="宋体"/>
          <w:color w:val="auto"/>
          <w:sz w:val="24"/>
          <w:szCs w:val="24"/>
          <w:highlight w:val="none"/>
          <w:u w:val="none"/>
          <w:lang w:eastAsia="zh-CN"/>
        </w:rPr>
        <w:t>：</w:t>
      </w:r>
      <w:r>
        <w:rPr>
          <w:rFonts w:hint="eastAsia" w:ascii="宋体" w:hAnsi="宋体" w:eastAsia="宋体" w:cs="宋体"/>
          <w:color w:val="auto"/>
          <w:sz w:val="24"/>
          <w:szCs w:val="24"/>
          <w:highlight w:val="none"/>
          <w:u w:val="none"/>
        </w:rPr>
        <w:t xml:space="preserve">                  </w:t>
      </w:r>
    </w:p>
    <w:p w14:paraId="4B579EA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u w:val="none"/>
        </w:rPr>
        <w:t>电 话：              电子信箱</w:t>
      </w:r>
      <w:r>
        <w:rPr>
          <w:rFonts w:hint="eastAsia" w:ascii="宋体" w:hAnsi="宋体" w:eastAsia="宋体" w:cs="宋体"/>
          <w:color w:val="auto"/>
          <w:sz w:val="24"/>
          <w:szCs w:val="24"/>
          <w:highlight w:val="none"/>
          <w:lang w:eastAsia="zh-CN"/>
        </w:rPr>
        <w:t>：</w:t>
      </w:r>
    </w:p>
    <w:p w14:paraId="50FAC0E7">
      <w:pPr>
        <w:pStyle w:val="35"/>
        <w:ind w:firstLine="480"/>
        <w:rPr>
          <w:rFonts w:hint="eastAsia" w:ascii="宋体" w:hAnsi="宋体" w:eastAsia="宋体" w:cs="宋体"/>
          <w:color w:val="auto"/>
          <w:highlight w:val="none"/>
        </w:rPr>
      </w:pPr>
      <w:r>
        <w:rPr>
          <w:rFonts w:hint="eastAsia" w:ascii="宋体" w:hAnsi="宋体" w:eastAsia="宋体" w:cs="宋体"/>
          <w:color w:val="auto"/>
          <w:highlight w:val="none"/>
        </w:rPr>
        <w:t>我们保证：</w:t>
      </w:r>
    </w:p>
    <w:p w14:paraId="4301D879">
      <w:pPr>
        <w:pStyle w:val="35"/>
        <w:ind w:firstLine="480"/>
        <w:rPr>
          <w:rFonts w:hint="eastAsia" w:ascii="宋体" w:hAnsi="宋体" w:eastAsia="宋体" w:cs="宋体"/>
          <w:color w:val="auto"/>
          <w:highlight w:val="none"/>
        </w:rPr>
      </w:pPr>
      <w:r>
        <w:rPr>
          <w:rFonts w:hint="eastAsia" w:ascii="宋体" w:hAnsi="宋体" w:eastAsia="宋体" w:cs="宋体"/>
          <w:color w:val="auto"/>
          <w:highlight w:val="none"/>
        </w:rPr>
        <w:t>(1)不提供虚假材料谋取成交；</w:t>
      </w:r>
    </w:p>
    <w:p w14:paraId="4F1311C3">
      <w:pPr>
        <w:pStyle w:val="35"/>
        <w:ind w:firstLine="480"/>
        <w:rPr>
          <w:rFonts w:hint="eastAsia" w:ascii="宋体" w:hAnsi="宋体" w:eastAsia="宋体" w:cs="宋体"/>
          <w:color w:val="auto"/>
          <w:highlight w:val="none"/>
        </w:rPr>
      </w:pPr>
      <w:r>
        <w:rPr>
          <w:rFonts w:hint="eastAsia" w:ascii="宋体" w:hAnsi="宋体" w:eastAsia="宋体" w:cs="宋体"/>
          <w:color w:val="auto"/>
          <w:highlight w:val="none"/>
        </w:rPr>
        <w:t>(2)不以不正当手段</w:t>
      </w:r>
      <w:r>
        <w:rPr>
          <w:rFonts w:hint="eastAsia" w:hAnsi="宋体" w:cs="宋体"/>
          <w:color w:val="auto"/>
          <w:highlight w:val="none"/>
          <w:lang w:val="en-US" w:eastAsia="zh-CN"/>
        </w:rPr>
        <w:t>诋毁</w:t>
      </w:r>
      <w:r>
        <w:rPr>
          <w:rFonts w:hint="eastAsia" w:ascii="宋体" w:hAnsi="宋体" w:eastAsia="宋体" w:cs="宋体"/>
          <w:color w:val="auto"/>
          <w:highlight w:val="none"/>
        </w:rPr>
        <w:t>、排挤其他供应商；</w:t>
      </w:r>
    </w:p>
    <w:p w14:paraId="67F07750">
      <w:pPr>
        <w:pStyle w:val="35"/>
        <w:ind w:firstLine="480"/>
        <w:rPr>
          <w:rFonts w:hint="eastAsia" w:ascii="宋体" w:hAnsi="宋体" w:eastAsia="宋体" w:cs="宋体"/>
          <w:color w:val="auto"/>
          <w:highlight w:val="none"/>
        </w:rPr>
      </w:pPr>
      <w:r>
        <w:rPr>
          <w:rFonts w:hint="eastAsia" w:ascii="宋体" w:hAnsi="宋体" w:eastAsia="宋体" w:cs="宋体"/>
          <w:color w:val="auto"/>
          <w:highlight w:val="none"/>
        </w:rPr>
        <w:t>(3)不与采购人和其它供应商恶意串通；</w:t>
      </w:r>
    </w:p>
    <w:p w14:paraId="5468AF4E">
      <w:pPr>
        <w:pStyle w:val="35"/>
        <w:ind w:firstLine="480"/>
        <w:rPr>
          <w:rFonts w:hint="eastAsia" w:ascii="宋体" w:hAnsi="宋体" w:eastAsia="宋体" w:cs="宋体"/>
          <w:color w:val="auto"/>
          <w:highlight w:val="none"/>
        </w:rPr>
      </w:pPr>
      <w:r>
        <w:rPr>
          <w:rFonts w:hint="eastAsia" w:ascii="宋体" w:hAnsi="宋体" w:eastAsia="宋体" w:cs="宋体"/>
          <w:color w:val="auto"/>
          <w:highlight w:val="none"/>
        </w:rPr>
        <w:t>(4)不向采购人和采购代理机构提供不正当利益；</w:t>
      </w:r>
    </w:p>
    <w:p w14:paraId="48E6E9B9">
      <w:pPr>
        <w:pStyle w:val="35"/>
        <w:ind w:firstLine="480"/>
        <w:rPr>
          <w:rFonts w:hint="eastAsia" w:ascii="宋体" w:hAnsi="宋体" w:eastAsia="宋体" w:cs="宋体"/>
          <w:color w:val="auto"/>
          <w:highlight w:val="none"/>
        </w:rPr>
      </w:pPr>
      <w:r>
        <w:rPr>
          <w:rFonts w:hint="eastAsia" w:ascii="宋体" w:hAnsi="宋体" w:eastAsia="宋体" w:cs="宋体"/>
          <w:color w:val="auto"/>
          <w:highlight w:val="none"/>
        </w:rPr>
        <w:t>(5)不拒绝有关部门监督检查或提供虚假情况。</w:t>
      </w:r>
    </w:p>
    <w:p w14:paraId="11E82230">
      <w:pPr>
        <w:pStyle w:val="35"/>
        <w:ind w:firstLine="480"/>
        <w:rPr>
          <w:rFonts w:hint="eastAsia" w:ascii="宋体" w:hAnsi="宋体" w:eastAsia="宋体" w:cs="宋体"/>
          <w:color w:val="auto"/>
          <w:highlight w:val="none"/>
        </w:rPr>
      </w:pPr>
      <w:r>
        <w:rPr>
          <w:rFonts w:hint="eastAsia" w:ascii="宋体" w:hAnsi="宋体" w:eastAsia="宋体" w:cs="宋体"/>
          <w:color w:val="auto"/>
          <w:highlight w:val="none"/>
        </w:rPr>
        <w:t>联系人：              联系电话：</w:t>
      </w:r>
    </w:p>
    <w:p w14:paraId="0B3DF94B">
      <w:pPr>
        <w:pStyle w:val="35"/>
        <w:ind w:firstLine="4800" w:firstLineChars="2000"/>
        <w:rPr>
          <w:rFonts w:hint="eastAsia" w:ascii="宋体" w:hAnsi="宋体" w:eastAsia="宋体" w:cs="宋体"/>
          <w:color w:val="auto"/>
          <w:highlight w:val="none"/>
        </w:rPr>
      </w:pPr>
    </w:p>
    <w:p w14:paraId="3C85C791">
      <w:pPr>
        <w:pStyle w:val="35"/>
        <w:ind w:firstLine="4800" w:firstLineChars="2000"/>
        <w:rPr>
          <w:rFonts w:hint="eastAsia" w:ascii="宋体" w:hAnsi="宋体" w:eastAsia="宋体" w:cs="宋体"/>
          <w:color w:val="auto"/>
          <w:highlight w:val="none"/>
        </w:rPr>
      </w:pPr>
      <w:r>
        <w:rPr>
          <w:rFonts w:hint="eastAsia" w:ascii="宋体" w:hAnsi="宋体" w:eastAsia="宋体" w:cs="宋体"/>
          <w:color w:val="auto"/>
          <w:highlight w:val="none"/>
        </w:rPr>
        <w:t xml:space="preserve">供应商电子公章： </w:t>
      </w:r>
    </w:p>
    <w:p w14:paraId="5E709CC6">
      <w:pPr>
        <w:pStyle w:val="35"/>
        <w:ind w:firstLine="480"/>
        <w:rPr>
          <w:rFonts w:hint="eastAsia" w:ascii="宋体" w:hAnsi="宋体" w:eastAsia="宋体" w:cs="宋体"/>
          <w:color w:val="auto"/>
          <w:highlight w:val="none"/>
        </w:rPr>
      </w:pPr>
      <w:r>
        <w:rPr>
          <w:rFonts w:hint="eastAsia" w:ascii="宋体" w:hAnsi="宋体" w:eastAsia="宋体" w:cs="宋体"/>
          <w:color w:val="auto"/>
          <w:highlight w:val="none"/>
        </w:rPr>
        <w:t xml:space="preserve">                                </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 xml:space="preserve">     年   月   日</w:t>
      </w:r>
    </w:p>
    <w:p w14:paraId="24216733">
      <w:pPr>
        <w:pStyle w:val="35"/>
        <w:ind w:firstLine="480"/>
        <w:jc w:val="center"/>
        <w:rPr>
          <w:rFonts w:hint="eastAsia" w:ascii="宋体" w:hAnsi="宋体" w:eastAsia="宋体" w:cs="宋体"/>
          <w:color w:val="auto"/>
          <w:highlight w:val="none"/>
        </w:rPr>
      </w:pPr>
      <w:r>
        <w:rPr>
          <w:rFonts w:hint="eastAsia" w:ascii="宋体" w:hAnsi="宋体" w:eastAsia="宋体" w:cs="宋体"/>
          <w:color w:val="auto"/>
          <w:highlight w:val="none"/>
        </w:rPr>
        <w:br w:type="page"/>
      </w:r>
      <w:r>
        <w:rPr>
          <w:rFonts w:hint="eastAsia" w:ascii="宋体" w:hAnsi="宋体" w:eastAsia="宋体" w:cs="宋体"/>
          <w:b/>
          <w:bCs/>
          <w:color w:val="auto"/>
          <w:highlight w:val="none"/>
        </w:rPr>
        <w:t>格式6 报价一览表</w:t>
      </w:r>
    </w:p>
    <w:tbl>
      <w:tblPr>
        <w:tblStyle w:val="27"/>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08AFA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left w:val="single" w:color="auto" w:sz="4" w:space="0"/>
              <w:bottom w:val="single" w:color="auto" w:sz="4" w:space="0"/>
              <w:right w:val="single" w:color="auto" w:sz="4" w:space="0"/>
            </w:tcBorders>
            <w:vAlign w:val="center"/>
          </w:tcPr>
          <w:p w14:paraId="4DC5ED33">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r>
              <w:rPr>
                <w:rFonts w:hint="eastAsia" w:ascii="宋体" w:hAnsi="宋体" w:eastAsia="宋体" w:cs="宋体"/>
                <w:color w:val="auto"/>
                <w:highlight w:val="none"/>
              </w:rPr>
              <w:t>项目名称</w:t>
            </w:r>
          </w:p>
        </w:tc>
        <w:tc>
          <w:tcPr>
            <w:tcW w:w="6667" w:type="dxa"/>
            <w:tcBorders>
              <w:top w:val="single" w:color="auto" w:sz="4" w:space="0"/>
              <w:left w:val="nil"/>
              <w:bottom w:val="single" w:color="auto" w:sz="4" w:space="0"/>
              <w:right w:val="single" w:color="auto" w:sz="4" w:space="0"/>
            </w:tcBorders>
            <w:vAlign w:val="center"/>
          </w:tcPr>
          <w:p w14:paraId="60AD9FE9">
            <w:pPr>
              <w:pStyle w:val="35"/>
              <w:ind w:firstLine="480"/>
              <w:rPr>
                <w:rFonts w:hint="eastAsia" w:ascii="宋体" w:hAnsi="宋体" w:eastAsia="宋体" w:cs="宋体"/>
                <w:color w:val="auto"/>
                <w:highlight w:val="none"/>
              </w:rPr>
            </w:pPr>
          </w:p>
        </w:tc>
      </w:tr>
      <w:tr w14:paraId="38CB7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left w:val="single" w:color="auto" w:sz="4" w:space="0"/>
              <w:bottom w:val="single" w:color="auto" w:sz="4" w:space="0"/>
              <w:right w:val="single" w:color="auto" w:sz="4" w:space="0"/>
            </w:tcBorders>
            <w:vAlign w:val="center"/>
          </w:tcPr>
          <w:p w14:paraId="0A468B47">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r>
              <w:rPr>
                <w:rFonts w:hint="eastAsia" w:ascii="宋体" w:hAnsi="宋体" w:eastAsia="宋体" w:cs="宋体"/>
                <w:color w:val="auto"/>
                <w:highlight w:val="none"/>
              </w:rPr>
              <w:t>投标人全称</w:t>
            </w:r>
          </w:p>
        </w:tc>
        <w:tc>
          <w:tcPr>
            <w:tcW w:w="6667" w:type="dxa"/>
            <w:tcBorders>
              <w:top w:val="nil"/>
              <w:left w:val="single" w:color="auto" w:sz="4" w:space="0"/>
              <w:bottom w:val="single" w:color="auto" w:sz="4" w:space="0"/>
              <w:right w:val="single" w:color="auto" w:sz="4" w:space="0"/>
            </w:tcBorders>
            <w:vAlign w:val="center"/>
          </w:tcPr>
          <w:p w14:paraId="1AC997CC">
            <w:pPr>
              <w:pStyle w:val="35"/>
              <w:ind w:firstLine="480"/>
              <w:rPr>
                <w:rFonts w:hint="eastAsia" w:ascii="宋体" w:hAnsi="宋体" w:eastAsia="宋体" w:cs="宋体"/>
                <w:color w:val="auto"/>
                <w:highlight w:val="none"/>
              </w:rPr>
            </w:pPr>
          </w:p>
        </w:tc>
      </w:tr>
      <w:tr w14:paraId="599B3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left w:val="single" w:color="auto" w:sz="4" w:space="0"/>
              <w:bottom w:val="single" w:color="auto" w:sz="4" w:space="0"/>
              <w:right w:val="single" w:color="auto" w:sz="4" w:space="0"/>
            </w:tcBorders>
            <w:vAlign w:val="center"/>
          </w:tcPr>
          <w:p w14:paraId="76EB1EF4">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r>
              <w:rPr>
                <w:rFonts w:hint="eastAsia" w:ascii="宋体" w:hAnsi="宋体" w:eastAsia="宋体" w:cs="宋体"/>
                <w:color w:val="auto"/>
                <w:highlight w:val="none"/>
              </w:rPr>
              <w:t>最终投标报价</w:t>
            </w:r>
          </w:p>
          <w:p w14:paraId="560C77EA">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r>
              <w:rPr>
                <w:rFonts w:hint="eastAsia" w:ascii="宋体" w:hAnsi="宋体" w:eastAsia="宋体" w:cs="宋体"/>
                <w:color w:val="auto"/>
                <w:highlight w:val="none"/>
              </w:rPr>
              <w:t>（人民币）</w:t>
            </w:r>
          </w:p>
        </w:tc>
        <w:tc>
          <w:tcPr>
            <w:tcW w:w="6667" w:type="dxa"/>
            <w:tcBorders>
              <w:top w:val="nil"/>
              <w:left w:val="single" w:color="auto" w:sz="4" w:space="0"/>
              <w:bottom w:val="single" w:color="auto" w:sz="4" w:space="0"/>
              <w:right w:val="single" w:color="auto" w:sz="4" w:space="0"/>
            </w:tcBorders>
            <w:vAlign w:val="center"/>
          </w:tcPr>
          <w:p w14:paraId="203081A9">
            <w:pPr>
              <w:pStyle w:val="35"/>
              <w:ind w:firstLine="480"/>
              <w:rPr>
                <w:rFonts w:hint="eastAsia" w:ascii="宋体" w:hAnsi="宋体" w:eastAsia="宋体" w:cs="宋体"/>
                <w:color w:val="auto"/>
                <w:highlight w:val="none"/>
              </w:rPr>
            </w:pPr>
            <w:r>
              <w:rPr>
                <w:rFonts w:hint="eastAsia" w:ascii="宋体" w:hAnsi="宋体" w:eastAsia="宋体" w:cs="宋体"/>
                <w:color w:val="auto"/>
                <w:highlight w:val="none"/>
              </w:rPr>
              <w:t xml:space="preserve">投标总价：       大写：           </w:t>
            </w:r>
          </w:p>
        </w:tc>
      </w:tr>
      <w:tr w14:paraId="179B1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left w:val="single" w:color="auto" w:sz="4" w:space="0"/>
              <w:bottom w:val="single" w:color="auto" w:sz="4" w:space="0"/>
              <w:right w:val="single" w:color="auto" w:sz="4" w:space="0"/>
            </w:tcBorders>
            <w:vAlign w:val="center"/>
          </w:tcPr>
          <w:p w14:paraId="4C6EF9FC">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r>
              <w:rPr>
                <w:rFonts w:hint="eastAsia" w:ascii="宋体" w:hAnsi="宋体" w:eastAsia="宋体" w:cs="宋体"/>
                <w:color w:val="auto"/>
                <w:highlight w:val="none"/>
              </w:rPr>
              <w:t>备注</w:t>
            </w:r>
          </w:p>
        </w:tc>
        <w:tc>
          <w:tcPr>
            <w:tcW w:w="6667" w:type="dxa"/>
            <w:tcBorders>
              <w:top w:val="nil"/>
              <w:left w:val="single" w:color="auto" w:sz="4" w:space="0"/>
              <w:bottom w:val="single" w:color="auto" w:sz="4" w:space="0"/>
              <w:right w:val="single" w:color="auto" w:sz="4" w:space="0"/>
            </w:tcBorders>
            <w:vAlign w:val="center"/>
          </w:tcPr>
          <w:p w14:paraId="63C19DF0">
            <w:pPr>
              <w:pStyle w:val="35"/>
              <w:ind w:firstLine="480"/>
              <w:rPr>
                <w:rFonts w:hint="eastAsia" w:ascii="宋体" w:hAnsi="宋体" w:eastAsia="宋体" w:cs="宋体"/>
                <w:color w:val="auto"/>
                <w:highlight w:val="none"/>
              </w:rPr>
            </w:pPr>
          </w:p>
        </w:tc>
      </w:tr>
    </w:tbl>
    <w:p w14:paraId="3FBE87E1">
      <w:pPr>
        <w:pStyle w:val="35"/>
        <w:ind w:firstLine="4320" w:firstLineChars="1800"/>
        <w:rPr>
          <w:rFonts w:hint="eastAsia" w:ascii="宋体" w:hAnsi="宋体" w:eastAsia="宋体" w:cs="宋体"/>
          <w:color w:val="auto"/>
          <w:highlight w:val="none"/>
        </w:rPr>
      </w:pPr>
    </w:p>
    <w:p w14:paraId="0F801E4C">
      <w:pPr>
        <w:pStyle w:val="35"/>
        <w:ind w:firstLine="4320" w:firstLineChars="1800"/>
        <w:rPr>
          <w:rFonts w:hint="eastAsia" w:ascii="宋体" w:hAnsi="宋体" w:eastAsia="宋体" w:cs="宋体"/>
          <w:color w:val="auto"/>
          <w:highlight w:val="none"/>
        </w:rPr>
      </w:pPr>
      <w:r>
        <w:rPr>
          <w:rFonts w:hint="eastAsia" w:ascii="宋体" w:hAnsi="宋体" w:eastAsia="宋体" w:cs="宋体"/>
          <w:color w:val="auto"/>
          <w:highlight w:val="none"/>
        </w:rPr>
        <w:t>供应商电子公章：</w:t>
      </w:r>
    </w:p>
    <w:p w14:paraId="30B7303D">
      <w:pPr>
        <w:pStyle w:val="35"/>
        <w:ind w:firstLine="4320" w:firstLineChars="1800"/>
        <w:rPr>
          <w:rFonts w:hint="eastAsia" w:ascii="宋体" w:hAnsi="宋体" w:eastAsia="宋体" w:cs="宋体"/>
          <w:color w:val="auto"/>
          <w:highlight w:val="none"/>
        </w:rPr>
      </w:pPr>
      <w:r>
        <w:rPr>
          <w:rFonts w:hint="eastAsia" w:hAnsi="宋体" w:cs="宋体"/>
          <w:color w:val="auto"/>
          <w:highlight w:val="none"/>
          <w:lang w:val="en-US" w:eastAsia="zh-CN"/>
        </w:rPr>
        <w:t>法定代表人或委托</w:t>
      </w:r>
      <w:r>
        <w:rPr>
          <w:rFonts w:hint="eastAsia" w:ascii="宋体" w:hAnsi="宋体" w:eastAsia="宋体" w:cs="宋体"/>
          <w:color w:val="auto"/>
          <w:highlight w:val="none"/>
        </w:rPr>
        <w:t>代理人签字：</w:t>
      </w:r>
    </w:p>
    <w:p w14:paraId="2EF6DE4C">
      <w:pPr>
        <w:pStyle w:val="35"/>
        <w:ind w:firstLine="480"/>
        <w:rPr>
          <w:rFonts w:hint="eastAsia" w:ascii="宋体" w:hAnsi="宋体" w:eastAsia="宋体" w:cs="宋体"/>
          <w:color w:val="auto"/>
          <w:highlight w:val="none"/>
        </w:rPr>
      </w:pPr>
      <w:r>
        <w:rPr>
          <w:rFonts w:hint="eastAsia" w:ascii="宋体" w:hAnsi="宋体" w:eastAsia="宋体" w:cs="宋体"/>
          <w:color w:val="auto"/>
          <w:highlight w:val="none"/>
        </w:rPr>
        <w:t>备注：</w:t>
      </w:r>
    </w:p>
    <w:p w14:paraId="3232E6B3">
      <w:pPr>
        <w:pStyle w:val="35"/>
        <w:ind w:firstLine="480"/>
        <w:rPr>
          <w:rFonts w:hint="eastAsia" w:ascii="宋体" w:hAnsi="宋体" w:eastAsia="宋体" w:cs="宋体"/>
          <w:color w:val="auto"/>
          <w:highlight w:val="none"/>
        </w:rPr>
      </w:pPr>
      <w:r>
        <w:rPr>
          <w:rFonts w:hint="eastAsia" w:ascii="宋体" w:hAnsi="宋体" w:eastAsia="宋体" w:cs="宋体"/>
          <w:color w:val="auto"/>
          <w:highlight w:val="none"/>
        </w:rPr>
        <w:t>1、此表用于开标会唱标之用。</w:t>
      </w:r>
    </w:p>
    <w:p w14:paraId="08463999">
      <w:pPr>
        <w:pStyle w:val="35"/>
        <w:ind w:firstLine="480"/>
        <w:rPr>
          <w:rFonts w:hint="eastAsia" w:ascii="宋体" w:hAnsi="宋体" w:eastAsia="宋体" w:cs="宋体"/>
          <w:color w:val="auto"/>
          <w:highlight w:val="none"/>
        </w:rPr>
      </w:pPr>
      <w:r>
        <w:rPr>
          <w:rFonts w:hint="eastAsia" w:ascii="宋体" w:hAnsi="宋体" w:eastAsia="宋体" w:cs="宋体"/>
          <w:color w:val="auto"/>
          <w:highlight w:val="none"/>
        </w:rPr>
        <w:t>2、表中最终投标报价即为优惠后报价，并作为评审及定标依据。任何有选择或有条件的最终投标报价，或者表中某一包填写多个报价，均为无效报价。</w:t>
      </w:r>
    </w:p>
    <w:p w14:paraId="2ECB0915">
      <w:pPr>
        <w:pStyle w:val="35"/>
        <w:ind w:firstLine="480"/>
        <w:rPr>
          <w:rFonts w:hint="eastAsia" w:ascii="宋体" w:hAnsi="宋体" w:eastAsia="宋体" w:cs="宋体"/>
          <w:color w:val="auto"/>
          <w:highlight w:val="none"/>
        </w:rPr>
      </w:pPr>
      <w:r>
        <w:rPr>
          <w:rFonts w:hint="eastAsia" w:ascii="宋体" w:hAnsi="宋体" w:eastAsia="宋体" w:cs="宋体"/>
          <w:color w:val="auto"/>
          <w:highlight w:val="none"/>
        </w:rPr>
        <w:t xml:space="preserve"> </w:t>
      </w:r>
    </w:p>
    <w:p w14:paraId="3D5BB8E4">
      <w:pPr>
        <w:pStyle w:val="35"/>
        <w:ind w:firstLine="480"/>
        <w:rPr>
          <w:rFonts w:hint="eastAsia" w:ascii="宋体" w:hAnsi="宋体" w:eastAsia="宋体" w:cs="宋体"/>
          <w:color w:val="auto"/>
          <w:highlight w:val="none"/>
        </w:rPr>
      </w:pPr>
      <w:r>
        <w:rPr>
          <w:rFonts w:hint="eastAsia" w:ascii="宋体" w:hAnsi="宋体" w:eastAsia="宋体" w:cs="宋体"/>
          <w:color w:val="auto"/>
          <w:highlight w:val="none"/>
        </w:rPr>
        <w:t xml:space="preserve"> </w:t>
      </w:r>
    </w:p>
    <w:p w14:paraId="525C4107">
      <w:pPr>
        <w:pStyle w:val="35"/>
        <w:ind w:firstLine="480"/>
        <w:rPr>
          <w:rFonts w:hint="eastAsia" w:ascii="宋体" w:hAnsi="宋体" w:eastAsia="宋体" w:cs="宋体"/>
          <w:color w:val="auto"/>
          <w:highlight w:val="none"/>
        </w:rPr>
      </w:pPr>
      <w:r>
        <w:rPr>
          <w:rFonts w:hint="eastAsia" w:ascii="宋体" w:hAnsi="宋体" w:eastAsia="宋体" w:cs="宋体"/>
          <w:color w:val="auto"/>
          <w:highlight w:val="none"/>
        </w:rPr>
        <w:t xml:space="preserve"> </w:t>
      </w:r>
    </w:p>
    <w:p w14:paraId="6BC800E4">
      <w:pPr>
        <w:pStyle w:val="35"/>
        <w:ind w:firstLine="480"/>
        <w:rPr>
          <w:rFonts w:hint="eastAsia" w:ascii="宋体" w:hAnsi="宋体" w:eastAsia="宋体" w:cs="宋体"/>
          <w:color w:val="auto"/>
          <w:highlight w:val="none"/>
        </w:rPr>
      </w:pPr>
      <w:r>
        <w:rPr>
          <w:rFonts w:hint="eastAsia" w:ascii="宋体" w:hAnsi="宋体" w:eastAsia="宋体" w:cs="宋体"/>
          <w:color w:val="auto"/>
          <w:highlight w:val="none"/>
        </w:rPr>
        <w:t xml:space="preserve">  </w:t>
      </w:r>
    </w:p>
    <w:p w14:paraId="4C44B8E3">
      <w:pPr>
        <w:pStyle w:val="35"/>
        <w:ind w:firstLine="480"/>
        <w:rPr>
          <w:rFonts w:hint="eastAsia" w:ascii="宋体" w:hAnsi="宋体" w:eastAsia="宋体" w:cs="宋体"/>
          <w:color w:val="auto"/>
          <w:highlight w:val="none"/>
        </w:rPr>
      </w:pPr>
      <w:r>
        <w:rPr>
          <w:rFonts w:hint="eastAsia" w:ascii="宋体" w:hAnsi="宋体" w:eastAsia="宋体" w:cs="宋体"/>
          <w:color w:val="auto"/>
          <w:highlight w:val="none"/>
        </w:rPr>
        <w:t xml:space="preserve"> </w:t>
      </w:r>
    </w:p>
    <w:p w14:paraId="25FB554A">
      <w:pPr>
        <w:pStyle w:val="35"/>
        <w:ind w:firstLine="480"/>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15B55A60">
      <w:pPr>
        <w:pStyle w:val="35"/>
        <w:ind w:firstLine="482"/>
        <w:jc w:val="center"/>
        <w:rPr>
          <w:rFonts w:hint="eastAsia" w:ascii="宋体" w:hAnsi="宋体" w:eastAsia="宋体" w:cs="宋体"/>
          <w:b/>
          <w:bCs/>
          <w:color w:val="auto"/>
          <w:highlight w:val="none"/>
        </w:rPr>
      </w:pPr>
      <w:r>
        <w:rPr>
          <w:rFonts w:hint="eastAsia" w:ascii="宋体" w:hAnsi="宋体" w:eastAsia="宋体" w:cs="宋体"/>
          <w:b/>
          <w:bCs/>
          <w:color w:val="auto"/>
          <w:highlight w:val="none"/>
        </w:rPr>
        <w:t>格式7 投标分项报价表</w:t>
      </w:r>
    </w:p>
    <w:tbl>
      <w:tblPr>
        <w:tblStyle w:val="27"/>
        <w:tblW w:w="87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39DDE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14:paraId="6D642648">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r>
              <w:rPr>
                <w:rFonts w:hint="eastAsia" w:ascii="宋体" w:hAnsi="宋体" w:eastAsia="宋体" w:cs="宋体"/>
                <w:color w:val="auto"/>
                <w:highlight w:val="none"/>
              </w:rPr>
              <w:t>序号</w:t>
            </w:r>
          </w:p>
        </w:tc>
        <w:tc>
          <w:tcPr>
            <w:tcW w:w="2205" w:type="dxa"/>
            <w:tcBorders>
              <w:top w:val="single" w:color="auto" w:sz="4" w:space="0"/>
              <w:left w:val="single" w:color="auto" w:sz="4" w:space="0"/>
              <w:bottom w:val="single" w:color="auto" w:sz="4" w:space="0"/>
              <w:right w:val="single" w:color="auto" w:sz="4" w:space="0"/>
            </w:tcBorders>
            <w:vAlign w:val="center"/>
          </w:tcPr>
          <w:p w14:paraId="7CEC01CD">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r>
              <w:rPr>
                <w:rFonts w:hint="eastAsia" w:ascii="宋体" w:hAnsi="宋体" w:eastAsia="宋体" w:cs="宋体"/>
                <w:color w:val="auto"/>
                <w:highlight w:val="none"/>
              </w:rPr>
              <w:t>服务项目名称</w:t>
            </w:r>
          </w:p>
        </w:tc>
        <w:tc>
          <w:tcPr>
            <w:tcW w:w="957" w:type="dxa"/>
            <w:tcBorders>
              <w:top w:val="single" w:color="auto" w:sz="4" w:space="0"/>
              <w:left w:val="single" w:color="auto" w:sz="4" w:space="0"/>
              <w:bottom w:val="single" w:color="auto" w:sz="4" w:space="0"/>
              <w:right w:val="single" w:color="auto" w:sz="4" w:space="0"/>
            </w:tcBorders>
            <w:vAlign w:val="center"/>
          </w:tcPr>
          <w:p w14:paraId="11073761">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r>
              <w:rPr>
                <w:rFonts w:hint="eastAsia" w:ascii="宋体" w:hAnsi="宋体" w:eastAsia="宋体" w:cs="宋体"/>
                <w:color w:val="auto"/>
                <w:highlight w:val="none"/>
              </w:rPr>
              <w:t>单位</w:t>
            </w:r>
          </w:p>
        </w:tc>
        <w:tc>
          <w:tcPr>
            <w:tcW w:w="840" w:type="dxa"/>
            <w:tcBorders>
              <w:top w:val="single" w:color="auto" w:sz="4" w:space="0"/>
              <w:left w:val="single" w:color="auto" w:sz="4" w:space="0"/>
              <w:bottom w:val="single" w:color="auto" w:sz="4" w:space="0"/>
              <w:right w:val="single" w:color="auto" w:sz="4" w:space="0"/>
            </w:tcBorders>
            <w:vAlign w:val="center"/>
          </w:tcPr>
          <w:p w14:paraId="6809297A">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r>
              <w:rPr>
                <w:rFonts w:hint="eastAsia" w:ascii="宋体" w:hAnsi="宋体" w:eastAsia="宋体" w:cs="宋体"/>
                <w:color w:val="auto"/>
                <w:highlight w:val="none"/>
              </w:rPr>
              <w:t>数量</w:t>
            </w:r>
          </w:p>
        </w:tc>
        <w:tc>
          <w:tcPr>
            <w:tcW w:w="1260" w:type="dxa"/>
            <w:tcBorders>
              <w:top w:val="single" w:color="auto" w:sz="4" w:space="0"/>
              <w:left w:val="single" w:color="auto" w:sz="4" w:space="0"/>
              <w:bottom w:val="single" w:color="auto" w:sz="4" w:space="0"/>
              <w:right w:val="single" w:color="auto" w:sz="4" w:space="0"/>
            </w:tcBorders>
            <w:vAlign w:val="center"/>
          </w:tcPr>
          <w:p w14:paraId="3EE91BB2">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r>
              <w:rPr>
                <w:rFonts w:hint="eastAsia" w:ascii="宋体" w:hAnsi="宋体" w:eastAsia="宋体" w:cs="宋体"/>
                <w:color w:val="auto"/>
                <w:highlight w:val="none"/>
              </w:rPr>
              <w:t>单价</w:t>
            </w:r>
          </w:p>
        </w:tc>
        <w:tc>
          <w:tcPr>
            <w:tcW w:w="1340" w:type="dxa"/>
            <w:tcBorders>
              <w:top w:val="single" w:color="auto" w:sz="4" w:space="0"/>
              <w:left w:val="single" w:color="auto" w:sz="4" w:space="0"/>
              <w:bottom w:val="single" w:color="auto" w:sz="4" w:space="0"/>
              <w:right w:val="single" w:color="auto" w:sz="4" w:space="0"/>
            </w:tcBorders>
            <w:vAlign w:val="center"/>
          </w:tcPr>
          <w:p w14:paraId="29C5339F">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r>
              <w:rPr>
                <w:rFonts w:hint="eastAsia" w:ascii="宋体" w:hAnsi="宋体" w:eastAsia="宋体" w:cs="宋体"/>
                <w:bCs/>
                <w:color w:val="auto"/>
                <w:highlight w:val="none"/>
              </w:rPr>
              <w:t>小计</w:t>
            </w:r>
          </w:p>
        </w:tc>
        <w:tc>
          <w:tcPr>
            <w:tcW w:w="1347" w:type="dxa"/>
            <w:tcBorders>
              <w:top w:val="single" w:color="auto" w:sz="4" w:space="0"/>
              <w:left w:val="single" w:color="auto" w:sz="4" w:space="0"/>
              <w:bottom w:val="single" w:color="auto" w:sz="4" w:space="0"/>
              <w:right w:val="single" w:color="auto" w:sz="4" w:space="0"/>
            </w:tcBorders>
            <w:vAlign w:val="center"/>
          </w:tcPr>
          <w:p w14:paraId="3F9D6003">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r>
              <w:rPr>
                <w:rFonts w:hint="eastAsia" w:ascii="宋体" w:hAnsi="宋体" w:eastAsia="宋体" w:cs="宋体"/>
                <w:color w:val="auto"/>
                <w:highlight w:val="none"/>
              </w:rPr>
              <w:t>备注</w:t>
            </w:r>
          </w:p>
        </w:tc>
      </w:tr>
      <w:tr w14:paraId="04129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14:paraId="1B58C612">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r>
              <w:rPr>
                <w:rFonts w:hint="eastAsia" w:ascii="宋体" w:hAnsi="宋体" w:eastAsia="宋体" w:cs="宋体"/>
                <w:color w:val="auto"/>
                <w:highlight w:val="none"/>
              </w:rPr>
              <w:t>1</w:t>
            </w:r>
          </w:p>
        </w:tc>
        <w:tc>
          <w:tcPr>
            <w:tcW w:w="2205" w:type="dxa"/>
            <w:tcBorders>
              <w:top w:val="single" w:color="auto" w:sz="4" w:space="0"/>
              <w:left w:val="single" w:color="auto" w:sz="4" w:space="0"/>
              <w:bottom w:val="single" w:color="auto" w:sz="4" w:space="0"/>
              <w:right w:val="single" w:color="auto" w:sz="4" w:space="0"/>
            </w:tcBorders>
            <w:vAlign w:val="center"/>
          </w:tcPr>
          <w:p w14:paraId="18AD5CF5">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p>
        </w:tc>
        <w:tc>
          <w:tcPr>
            <w:tcW w:w="957" w:type="dxa"/>
            <w:tcBorders>
              <w:top w:val="single" w:color="auto" w:sz="4" w:space="0"/>
              <w:left w:val="single" w:color="auto" w:sz="4" w:space="0"/>
              <w:bottom w:val="single" w:color="auto" w:sz="4" w:space="0"/>
              <w:right w:val="single" w:color="auto" w:sz="4" w:space="0"/>
            </w:tcBorders>
            <w:vAlign w:val="center"/>
          </w:tcPr>
          <w:p w14:paraId="01E25E3D">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p>
        </w:tc>
        <w:tc>
          <w:tcPr>
            <w:tcW w:w="840" w:type="dxa"/>
            <w:tcBorders>
              <w:top w:val="single" w:color="auto" w:sz="4" w:space="0"/>
              <w:left w:val="single" w:color="auto" w:sz="4" w:space="0"/>
              <w:bottom w:val="single" w:color="auto" w:sz="4" w:space="0"/>
              <w:right w:val="single" w:color="auto" w:sz="4" w:space="0"/>
            </w:tcBorders>
            <w:vAlign w:val="center"/>
          </w:tcPr>
          <w:p w14:paraId="6DFD9E48">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p>
        </w:tc>
        <w:tc>
          <w:tcPr>
            <w:tcW w:w="1260" w:type="dxa"/>
            <w:tcBorders>
              <w:top w:val="single" w:color="auto" w:sz="4" w:space="0"/>
              <w:left w:val="single" w:color="auto" w:sz="4" w:space="0"/>
              <w:bottom w:val="single" w:color="auto" w:sz="4" w:space="0"/>
              <w:right w:val="single" w:color="auto" w:sz="4" w:space="0"/>
            </w:tcBorders>
            <w:vAlign w:val="center"/>
          </w:tcPr>
          <w:p w14:paraId="74C1436E">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p>
        </w:tc>
        <w:tc>
          <w:tcPr>
            <w:tcW w:w="1340" w:type="dxa"/>
            <w:tcBorders>
              <w:top w:val="single" w:color="auto" w:sz="4" w:space="0"/>
              <w:left w:val="single" w:color="auto" w:sz="4" w:space="0"/>
              <w:bottom w:val="single" w:color="auto" w:sz="4" w:space="0"/>
              <w:right w:val="single" w:color="auto" w:sz="4" w:space="0"/>
            </w:tcBorders>
            <w:vAlign w:val="center"/>
          </w:tcPr>
          <w:p w14:paraId="11F4C686">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p>
        </w:tc>
        <w:tc>
          <w:tcPr>
            <w:tcW w:w="1347" w:type="dxa"/>
            <w:tcBorders>
              <w:top w:val="single" w:color="auto" w:sz="4" w:space="0"/>
              <w:left w:val="single" w:color="auto" w:sz="4" w:space="0"/>
              <w:bottom w:val="single" w:color="auto" w:sz="4" w:space="0"/>
              <w:right w:val="single" w:color="auto" w:sz="4" w:space="0"/>
            </w:tcBorders>
            <w:vAlign w:val="center"/>
          </w:tcPr>
          <w:p w14:paraId="5C90425E">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p>
        </w:tc>
      </w:tr>
      <w:tr w14:paraId="235D8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14:paraId="2597578B">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r>
              <w:rPr>
                <w:rFonts w:hint="eastAsia" w:ascii="宋体" w:hAnsi="宋体" w:eastAsia="宋体" w:cs="宋体"/>
                <w:color w:val="auto"/>
                <w:highlight w:val="none"/>
              </w:rPr>
              <w:t>2</w:t>
            </w:r>
          </w:p>
        </w:tc>
        <w:tc>
          <w:tcPr>
            <w:tcW w:w="2205" w:type="dxa"/>
            <w:tcBorders>
              <w:top w:val="single" w:color="auto" w:sz="4" w:space="0"/>
              <w:left w:val="single" w:color="auto" w:sz="4" w:space="0"/>
              <w:bottom w:val="single" w:color="auto" w:sz="4" w:space="0"/>
              <w:right w:val="single" w:color="auto" w:sz="4" w:space="0"/>
            </w:tcBorders>
            <w:vAlign w:val="center"/>
          </w:tcPr>
          <w:p w14:paraId="2C21F2BF">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p>
        </w:tc>
        <w:tc>
          <w:tcPr>
            <w:tcW w:w="957" w:type="dxa"/>
            <w:tcBorders>
              <w:top w:val="single" w:color="auto" w:sz="4" w:space="0"/>
              <w:left w:val="single" w:color="auto" w:sz="4" w:space="0"/>
              <w:bottom w:val="single" w:color="auto" w:sz="4" w:space="0"/>
              <w:right w:val="single" w:color="auto" w:sz="4" w:space="0"/>
            </w:tcBorders>
            <w:vAlign w:val="center"/>
          </w:tcPr>
          <w:p w14:paraId="49322527">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p>
        </w:tc>
        <w:tc>
          <w:tcPr>
            <w:tcW w:w="840" w:type="dxa"/>
            <w:tcBorders>
              <w:top w:val="single" w:color="auto" w:sz="4" w:space="0"/>
              <w:left w:val="single" w:color="auto" w:sz="4" w:space="0"/>
              <w:bottom w:val="single" w:color="auto" w:sz="4" w:space="0"/>
              <w:right w:val="single" w:color="auto" w:sz="4" w:space="0"/>
            </w:tcBorders>
            <w:vAlign w:val="center"/>
          </w:tcPr>
          <w:p w14:paraId="1392900B">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p>
        </w:tc>
        <w:tc>
          <w:tcPr>
            <w:tcW w:w="1260" w:type="dxa"/>
            <w:tcBorders>
              <w:top w:val="single" w:color="auto" w:sz="4" w:space="0"/>
              <w:left w:val="single" w:color="auto" w:sz="4" w:space="0"/>
              <w:bottom w:val="single" w:color="auto" w:sz="4" w:space="0"/>
              <w:right w:val="single" w:color="auto" w:sz="4" w:space="0"/>
            </w:tcBorders>
            <w:vAlign w:val="center"/>
          </w:tcPr>
          <w:p w14:paraId="62674A1A">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p>
        </w:tc>
        <w:tc>
          <w:tcPr>
            <w:tcW w:w="1340" w:type="dxa"/>
            <w:tcBorders>
              <w:top w:val="single" w:color="auto" w:sz="4" w:space="0"/>
              <w:left w:val="single" w:color="auto" w:sz="4" w:space="0"/>
              <w:bottom w:val="single" w:color="auto" w:sz="4" w:space="0"/>
              <w:right w:val="single" w:color="auto" w:sz="4" w:space="0"/>
            </w:tcBorders>
            <w:vAlign w:val="center"/>
          </w:tcPr>
          <w:p w14:paraId="3FBC7F6D">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p>
        </w:tc>
        <w:tc>
          <w:tcPr>
            <w:tcW w:w="1347" w:type="dxa"/>
            <w:tcBorders>
              <w:top w:val="single" w:color="auto" w:sz="4" w:space="0"/>
              <w:left w:val="single" w:color="auto" w:sz="4" w:space="0"/>
              <w:bottom w:val="single" w:color="auto" w:sz="4" w:space="0"/>
              <w:right w:val="single" w:color="auto" w:sz="4" w:space="0"/>
            </w:tcBorders>
            <w:vAlign w:val="center"/>
          </w:tcPr>
          <w:p w14:paraId="79323A50">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p>
        </w:tc>
      </w:tr>
      <w:tr w14:paraId="3AC97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14:paraId="50F8CC36">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r>
              <w:rPr>
                <w:rFonts w:hint="eastAsia" w:ascii="宋体" w:hAnsi="宋体" w:eastAsia="宋体" w:cs="宋体"/>
                <w:color w:val="auto"/>
                <w:highlight w:val="none"/>
              </w:rPr>
              <w:t>3</w:t>
            </w:r>
          </w:p>
        </w:tc>
        <w:tc>
          <w:tcPr>
            <w:tcW w:w="2205" w:type="dxa"/>
            <w:tcBorders>
              <w:top w:val="single" w:color="auto" w:sz="4" w:space="0"/>
              <w:left w:val="single" w:color="auto" w:sz="4" w:space="0"/>
              <w:bottom w:val="single" w:color="auto" w:sz="4" w:space="0"/>
              <w:right w:val="single" w:color="auto" w:sz="4" w:space="0"/>
            </w:tcBorders>
            <w:vAlign w:val="center"/>
          </w:tcPr>
          <w:p w14:paraId="32E2283F">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p>
        </w:tc>
        <w:tc>
          <w:tcPr>
            <w:tcW w:w="957" w:type="dxa"/>
            <w:tcBorders>
              <w:top w:val="single" w:color="auto" w:sz="4" w:space="0"/>
              <w:left w:val="single" w:color="auto" w:sz="4" w:space="0"/>
              <w:bottom w:val="single" w:color="auto" w:sz="4" w:space="0"/>
              <w:right w:val="single" w:color="auto" w:sz="4" w:space="0"/>
            </w:tcBorders>
            <w:vAlign w:val="center"/>
          </w:tcPr>
          <w:p w14:paraId="6C46296F">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p>
        </w:tc>
        <w:tc>
          <w:tcPr>
            <w:tcW w:w="840" w:type="dxa"/>
            <w:tcBorders>
              <w:top w:val="single" w:color="auto" w:sz="4" w:space="0"/>
              <w:left w:val="single" w:color="auto" w:sz="4" w:space="0"/>
              <w:bottom w:val="single" w:color="auto" w:sz="4" w:space="0"/>
              <w:right w:val="single" w:color="auto" w:sz="4" w:space="0"/>
            </w:tcBorders>
            <w:vAlign w:val="center"/>
          </w:tcPr>
          <w:p w14:paraId="079BF9BD">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p>
        </w:tc>
        <w:tc>
          <w:tcPr>
            <w:tcW w:w="1260" w:type="dxa"/>
            <w:tcBorders>
              <w:top w:val="single" w:color="auto" w:sz="4" w:space="0"/>
              <w:left w:val="single" w:color="auto" w:sz="4" w:space="0"/>
              <w:bottom w:val="single" w:color="auto" w:sz="4" w:space="0"/>
              <w:right w:val="single" w:color="auto" w:sz="4" w:space="0"/>
            </w:tcBorders>
            <w:vAlign w:val="center"/>
          </w:tcPr>
          <w:p w14:paraId="444DC7D0">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p>
        </w:tc>
        <w:tc>
          <w:tcPr>
            <w:tcW w:w="1340" w:type="dxa"/>
            <w:tcBorders>
              <w:top w:val="single" w:color="auto" w:sz="4" w:space="0"/>
              <w:left w:val="single" w:color="auto" w:sz="4" w:space="0"/>
              <w:bottom w:val="single" w:color="auto" w:sz="4" w:space="0"/>
              <w:right w:val="single" w:color="auto" w:sz="4" w:space="0"/>
            </w:tcBorders>
            <w:vAlign w:val="center"/>
          </w:tcPr>
          <w:p w14:paraId="65C7208B">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p>
        </w:tc>
        <w:tc>
          <w:tcPr>
            <w:tcW w:w="1347" w:type="dxa"/>
            <w:tcBorders>
              <w:top w:val="single" w:color="auto" w:sz="4" w:space="0"/>
              <w:left w:val="single" w:color="auto" w:sz="4" w:space="0"/>
              <w:bottom w:val="single" w:color="auto" w:sz="4" w:space="0"/>
              <w:right w:val="single" w:color="auto" w:sz="4" w:space="0"/>
            </w:tcBorders>
            <w:vAlign w:val="center"/>
          </w:tcPr>
          <w:p w14:paraId="45FE8AE8">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p>
        </w:tc>
      </w:tr>
      <w:tr w14:paraId="25629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14:paraId="7CD5BF5E">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r>
              <w:rPr>
                <w:rFonts w:hint="eastAsia" w:ascii="宋体" w:hAnsi="宋体" w:eastAsia="宋体" w:cs="宋体"/>
                <w:color w:val="auto"/>
                <w:highlight w:val="none"/>
              </w:rPr>
              <w:t>4</w:t>
            </w:r>
          </w:p>
        </w:tc>
        <w:tc>
          <w:tcPr>
            <w:tcW w:w="2205" w:type="dxa"/>
            <w:tcBorders>
              <w:top w:val="single" w:color="auto" w:sz="4" w:space="0"/>
              <w:left w:val="single" w:color="auto" w:sz="4" w:space="0"/>
              <w:bottom w:val="single" w:color="auto" w:sz="4" w:space="0"/>
              <w:right w:val="single" w:color="auto" w:sz="4" w:space="0"/>
            </w:tcBorders>
            <w:vAlign w:val="center"/>
          </w:tcPr>
          <w:p w14:paraId="720BE75D">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p>
        </w:tc>
        <w:tc>
          <w:tcPr>
            <w:tcW w:w="957" w:type="dxa"/>
            <w:tcBorders>
              <w:top w:val="single" w:color="auto" w:sz="4" w:space="0"/>
              <w:left w:val="single" w:color="auto" w:sz="4" w:space="0"/>
              <w:bottom w:val="single" w:color="auto" w:sz="4" w:space="0"/>
              <w:right w:val="single" w:color="auto" w:sz="4" w:space="0"/>
            </w:tcBorders>
            <w:vAlign w:val="center"/>
          </w:tcPr>
          <w:p w14:paraId="7D570836">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p>
        </w:tc>
        <w:tc>
          <w:tcPr>
            <w:tcW w:w="840" w:type="dxa"/>
            <w:tcBorders>
              <w:top w:val="single" w:color="auto" w:sz="4" w:space="0"/>
              <w:left w:val="single" w:color="auto" w:sz="4" w:space="0"/>
              <w:bottom w:val="single" w:color="auto" w:sz="4" w:space="0"/>
              <w:right w:val="single" w:color="auto" w:sz="4" w:space="0"/>
            </w:tcBorders>
            <w:vAlign w:val="center"/>
          </w:tcPr>
          <w:p w14:paraId="1040D529">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p>
        </w:tc>
        <w:tc>
          <w:tcPr>
            <w:tcW w:w="1260" w:type="dxa"/>
            <w:tcBorders>
              <w:top w:val="single" w:color="auto" w:sz="4" w:space="0"/>
              <w:left w:val="single" w:color="auto" w:sz="4" w:space="0"/>
              <w:bottom w:val="single" w:color="auto" w:sz="4" w:space="0"/>
              <w:right w:val="single" w:color="auto" w:sz="4" w:space="0"/>
            </w:tcBorders>
            <w:vAlign w:val="center"/>
          </w:tcPr>
          <w:p w14:paraId="100AEB17">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p>
        </w:tc>
        <w:tc>
          <w:tcPr>
            <w:tcW w:w="1340" w:type="dxa"/>
            <w:tcBorders>
              <w:top w:val="single" w:color="auto" w:sz="4" w:space="0"/>
              <w:left w:val="single" w:color="auto" w:sz="4" w:space="0"/>
              <w:bottom w:val="single" w:color="auto" w:sz="4" w:space="0"/>
              <w:right w:val="single" w:color="auto" w:sz="4" w:space="0"/>
            </w:tcBorders>
            <w:vAlign w:val="center"/>
          </w:tcPr>
          <w:p w14:paraId="02A154A7">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p>
        </w:tc>
        <w:tc>
          <w:tcPr>
            <w:tcW w:w="1347" w:type="dxa"/>
            <w:tcBorders>
              <w:top w:val="single" w:color="auto" w:sz="4" w:space="0"/>
              <w:left w:val="single" w:color="auto" w:sz="4" w:space="0"/>
              <w:bottom w:val="single" w:color="auto" w:sz="4" w:space="0"/>
              <w:right w:val="single" w:color="auto" w:sz="4" w:space="0"/>
            </w:tcBorders>
            <w:vAlign w:val="center"/>
          </w:tcPr>
          <w:p w14:paraId="2195D90A">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p>
        </w:tc>
      </w:tr>
      <w:tr w14:paraId="1E194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14:paraId="548250CF">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r>
              <w:rPr>
                <w:rFonts w:hint="eastAsia" w:ascii="宋体" w:hAnsi="宋体" w:eastAsia="宋体" w:cs="宋体"/>
                <w:color w:val="auto"/>
                <w:highlight w:val="none"/>
              </w:rPr>
              <w:t>5</w:t>
            </w:r>
          </w:p>
        </w:tc>
        <w:tc>
          <w:tcPr>
            <w:tcW w:w="2205" w:type="dxa"/>
            <w:tcBorders>
              <w:top w:val="single" w:color="auto" w:sz="4" w:space="0"/>
              <w:left w:val="single" w:color="auto" w:sz="4" w:space="0"/>
              <w:bottom w:val="single" w:color="auto" w:sz="4" w:space="0"/>
              <w:right w:val="single" w:color="auto" w:sz="4" w:space="0"/>
            </w:tcBorders>
            <w:vAlign w:val="center"/>
          </w:tcPr>
          <w:p w14:paraId="55207982">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p>
        </w:tc>
        <w:tc>
          <w:tcPr>
            <w:tcW w:w="957" w:type="dxa"/>
            <w:tcBorders>
              <w:top w:val="single" w:color="auto" w:sz="4" w:space="0"/>
              <w:left w:val="single" w:color="auto" w:sz="4" w:space="0"/>
              <w:bottom w:val="single" w:color="auto" w:sz="4" w:space="0"/>
              <w:right w:val="single" w:color="auto" w:sz="4" w:space="0"/>
            </w:tcBorders>
            <w:vAlign w:val="center"/>
          </w:tcPr>
          <w:p w14:paraId="3E63B844">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p>
        </w:tc>
        <w:tc>
          <w:tcPr>
            <w:tcW w:w="840" w:type="dxa"/>
            <w:tcBorders>
              <w:top w:val="single" w:color="auto" w:sz="4" w:space="0"/>
              <w:left w:val="single" w:color="auto" w:sz="4" w:space="0"/>
              <w:bottom w:val="single" w:color="auto" w:sz="4" w:space="0"/>
              <w:right w:val="single" w:color="auto" w:sz="4" w:space="0"/>
            </w:tcBorders>
            <w:vAlign w:val="center"/>
          </w:tcPr>
          <w:p w14:paraId="63F76029">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p>
        </w:tc>
        <w:tc>
          <w:tcPr>
            <w:tcW w:w="1260" w:type="dxa"/>
            <w:tcBorders>
              <w:top w:val="single" w:color="auto" w:sz="4" w:space="0"/>
              <w:left w:val="single" w:color="auto" w:sz="4" w:space="0"/>
              <w:bottom w:val="single" w:color="auto" w:sz="4" w:space="0"/>
              <w:right w:val="single" w:color="auto" w:sz="4" w:space="0"/>
            </w:tcBorders>
            <w:vAlign w:val="center"/>
          </w:tcPr>
          <w:p w14:paraId="3E2A7ABC">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p>
        </w:tc>
        <w:tc>
          <w:tcPr>
            <w:tcW w:w="1340" w:type="dxa"/>
            <w:tcBorders>
              <w:top w:val="single" w:color="auto" w:sz="4" w:space="0"/>
              <w:left w:val="single" w:color="auto" w:sz="4" w:space="0"/>
              <w:bottom w:val="single" w:color="auto" w:sz="4" w:space="0"/>
              <w:right w:val="single" w:color="auto" w:sz="4" w:space="0"/>
            </w:tcBorders>
            <w:vAlign w:val="center"/>
          </w:tcPr>
          <w:p w14:paraId="7C455415">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p>
        </w:tc>
        <w:tc>
          <w:tcPr>
            <w:tcW w:w="1347" w:type="dxa"/>
            <w:tcBorders>
              <w:top w:val="single" w:color="auto" w:sz="4" w:space="0"/>
              <w:left w:val="single" w:color="auto" w:sz="4" w:space="0"/>
              <w:bottom w:val="single" w:color="auto" w:sz="4" w:space="0"/>
              <w:right w:val="single" w:color="auto" w:sz="4" w:space="0"/>
            </w:tcBorders>
            <w:vAlign w:val="center"/>
          </w:tcPr>
          <w:p w14:paraId="19BDFB80">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p>
        </w:tc>
      </w:tr>
      <w:tr w14:paraId="230C1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14:paraId="03501FBE">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r>
              <w:rPr>
                <w:rFonts w:hint="eastAsia" w:ascii="宋体" w:hAnsi="宋体" w:eastAsia="宋体" w:cs="宋体"/>
                <w:color w:val="auto"/>
                <w:highlight w:val="none"/>
              </w:rPr>
              <w:t>6</w:t>
            </w:r>
          </w:p>
        </w:tc>
        <w:tc>
          <w:tcPr>
            <w:tcW w:w="2205" w:type="dxa"/>
            <w:tcBorders>
              <w:top w:val="single" w:color="auto" w:sz="4" w:space="0"/>
              <w:left w:val="single" w:color="auto" w:sz="4" w:space="0"/>
              <w:bottom w:val="single" w:color="auto" w:sz="4" w:space="0"/>
              <w:right w:val="single" w:color="auto" w:sz="4" w:space="0"/>
            </w:tcBorders>
            <w:vAlign w:val="center"/>
          </w:tcPr>
          <w:p w14:paraId="06CADA8A">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p>
        </w:tc>
        <w:tc>
          <w:tcPr>
            <w:tcW w:w="957" w:type="dxa"/>
            <w:tcBorders>
              <w:top w:val="single" w:color="auto" w:sz="4" w:space="0"/>
              <w:left w:val="single" w:color="auto" w:sz="4" w:space="0"/>
              <w:bottom w:val="single" w:color="auto" w:sz="4" w:space="0"/>
              <w:right w:val="single" w:color="auto" w:sz="4" w:space="0"/>
            </w:tcBorders>
            <w:vAlign w:val="center"/>
          </w:tcPr>
          <w:p w14:paraId="16B0270D">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p>
        </w:tc>
        <w:tc>
          <w:tcPr>
            <w:tcW w:w="840" w:type="dxa"/>
            <w:tcBorders>
              <w:top w:val="single" w:color="auto" w:sz="4" w:space="0"/>
              <w:left w:val="single" w:color="auto" w:sz="4" w:space="0"/>
              <w:bottom w:val="single" w:color="auto" w:sz="4" w:space="0"/>
              <w:right w:val="single" w:color="auto" w:sz="4" w:space="0"/>
            </w:tcBorders>
            <w:vAlign w:val="center"/>
          </w:tcPr>
          <w:p w14:paraId="249C307D">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p>
        </w:tc>
        <w:tc>
          <w:tcPr>
            <w:tcW w:w="1260" w:type="dxa"/>
            <w:tcBorders>
              <w:top w:val="single" w:color="auto" w:sz="4" w:space="0"/>
              <w:left w:val="single" w:color="auto" w:sz="4" w:space="0"/>
              <w:bottom w:val="single" w:color="auto" w:sz="4" w:space="0"/>
              <w:right w:val="single" w:color="auto" w:sz="4" w:space="0"/>
            </w:tcBorders>
            <w:vAlign w:val="center"/>
          </w:tcPr>
          <w:p w14:paraId="130F50DE">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p>
        </w:tc>
        <w:tc>
          <w:tcPr>
            <w:tcW w:w="1340" w:type="dxa"/>
            <w:tcBorders>
              <w:top w:val="single" w:color="auto" w:sz="4" w:space="0"/>
              <w:left w:val="single" w:color="auto" w:sz="4" w:space="0"/>
              <w:bottom w:val="single" w:color="auto" w:sz="4" w:space="0"/>
              <w:right w:val="single" w:color="auto" w:sz="4" w:space="0"/>
            </w:tcBorders>
            <w:vAlign w:val="center"/>
          </w:tcPr>
          <w:p w14:paraId="40B73F65">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p>
        </w:tc>
        <w:tc>
          <w:tcPr>
            <w:tcW w:w="1347" w:type="dxa"/>
            <w:tcBorders>
              <w:top w:val="single" w:color="auto" w:sz="4" w:space="0"/>
              <w:left w:val="single" w:color="auto" w:sz="4" w:space="0"/>
              <w:bottom w:val="single" w:color="auto" w:sz="4" w:space="0"/>
              <w:right w:val="single" w:color="auto" w:sz="4" w:space="0"/>
            </w:tcBorders>
            <w:vAlign w:val="center"/>
          </w:tcPr>
          <w:p w14:paraId="65789477">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p>
        </w:tc>
      </w:tr>
      <w:tr w14:paraId="2762B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14:paraId="51CD23F8">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r>
              <w:rPr>
                <w:rFonts w:hint="eastAsia" w:ascii="宋体" w:hAnsi="宋体" w:eastAsia="宋体" w:cs="宋体"/>
                <w:color w:val="auto"/>
                <w:highlight w:val="none"/>
              </w:rPr>
              <w:t>7</w:t>
            </w:r>
          </w:p>
        </w:tc>
        <w:tc>
          <w:tcPr>
            <w:tcW w:w="2205" w:type="dxa"/>
            <w:tcBorders>
              <w:top w:val="single" w:color="auto" w:sz="4" w:space="0"/>
              <w:left w:val="single" w:color="auto" w:sz="4" w:space="0"/>
              <w:bottom w:val="single" w:color="auto" w:sz="4" w:space="0"/>
              <w:right w:val="single" w:color="auto" w:sz="4" w:space="0"/>
            </w:tcBorders>
            <w:vAlign w:val="center"/>
          </w:tcPr>
          <w:p w14:paraId="3C0A9329">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p>
        </w:tc>
        <w:tc>
          <w:tcPr>
            <w:tcW w:w="957" w:type="dxa"/>
            <w:tcBorders>
              <w:top w:val="single" w:color="auto" w:sz="4" w:space="0"/>
              <w:left w:val="single" w:color="auto" w:sz="4" w:space="0"/>
              <w:bottom w:val="single" w:color="auto" w:sz="4" w:space="0"/>
              <w:right w:val="single" w:color="auto" w:sz="4" w:space="0"/>
            </w:tcBorders>
            <w:vAlign w:val="center"/>
          </w:tcPr>
          <w:p w14:paraId="79A9D36F">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p>
        </w:tc>
        <w:tc>
          <w:tcPr>
            <w:tcW w:w="840" w:type="dxa"/>
            <w:tcBorders>
              <w:top w:val="single" w:color="auto" w:sz="4" w:space="0"/>
              <w:left w:val="single" w:color="auto" w:sz="4" w:space="0"/>
              <w:bottom w:val="single" w:color="auto" w:sz="4" w:space="0"/>
              <w:right w:val="single" w:color="auto" w:sz="4" w:space="0"/>
            </w:tcBorders>
            <w:vAlign w:val="center"/>
          </w:tcPr>
          <w:p w14:paraId="6A74B667">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p>
        </w:tc>
        <w:tc>
          <w:tcPr>
            <w:tcW w:w="1260" w:type="dxa"/>
            <w:tcBorders>
              <w:top w:val="single" w:color="auto" w:sz="4" w:space="0"/>
              <w:left w:val="single" w:color="auto" w:sz="4" w:space="0"/>
              <w:bottom w:val="single" w:color="auto" w:sz="4" w:space="0"/>
              <w:right w:val="single" w:color="auto" w:sz="4" w:space="0"/>
            </w:tcBorders>
            <w:vAlign w:val="center"/>
          </w:tcPr>
          <w:p w14:paraId="5380D349">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p>
        </w:tc>
        <w:tc>
          <w:tcPr>
            <w:tcW w:w="1340" w:type="dxa"/>
            <w:tcBorders>
              <w:top w:val="single" w:color="auto" w:sz="4" w:space="0"/>
              <w:left w:val="single" w:color="auto" w:sz="4" w:space="0"/>
              <w:bottom w:val="single" w:color="auto" w:sz="4" w:space="0"/>
              <w:right w:val="single" w:color="auto" w:sz="4" w:space="0"/>
            </w:tcBorders>
            <w:vAlign w:val="center"/>
          </w:tcPr>
          <w:p w14:paraId="3F5A1417">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p>
        </w:tc>
        <w:tc>
          <w:tcPr>
            <w:tcW w:w="1347" w:type="dxa"/>
            <w:tcBorders>
              <w:top w:val="single" w:color="auto" w:sz="4" w:space="0"/>
              <w:left w:val="single" w:color="auto" w:sz="4" w:space="0"/>
              <w:bottom w:val="single" w:color="auto" w:sz="4" w:space="0"/>
              <w:right w:val="single" w:color="auto" w:sz="4" w:space="0"/>
            </w:tcBorders>
            <w:vAlign w:val="center"/>
          </w:tcPr>
          <w:p w14:paraId="10D4420D">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p>
        </w:tc>
      </w:tr>
      <w:tr w14:paraId="48CCB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14:paraId="48762763">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r>
              <w:rPr>
                <w:rFonts w:hint="eastAsia" w:ascii="宋体" w:hAnsi="宋体" w:eastAsia="宋体" w:cs="宋体"/>
                <w:color w:val="auto"/>
                <w:highlight w:val="none"/>
              </w:rPr>
              <w:t>8</w:t>
            </w:r>
          </w:p>
        </w:tc>
        <w:tc>
          <w:tcPr>
            <w:tcW w:w="2205" w:type="dxa"/>
            <w:tcBorders>
              <w:top w:val="single" w:color="auto" w:sz="4" w:space="0"/>
              <w:left w:val="single" w:color="auto" w:sz="4" w:space="0"/>
              <w:bottom w:val="single" w:color="auto" w:sz="4" w:space="0"/>
              <w:right w:val="single" w:color="auto" w:sz="4" w:space="0"/>
            </w:tcBorders>
            <w:vAlign w:val="center"/>
          </w:tcPr>
          <w:p w14:paraId="1B6422F2">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p>
        </w:tc>
        <w:tc>
          <w:tcPr>
            <w:tcW w:w="957" w:type="dxa"/>
            <w:tcBorders>
              <w:top w:val="single" w:color="auto" w:sz="4" w:space="0"/>
              <w:left w:val="single" w:color="auto" w:sz="4" w:space="0"/>
              <w:bottom w:val="single" w:color="auto" w:sz="4" w:space="0"/>
              <w:right w:val="single" w:color="auto" w:sz="4" w:space="0"/>
            </w:tcBorders>
            <w:vAlign w:val="center"/>
          </w:tcPr>
          <w:p w14:paraId="40B01E35">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p>
        </w:tc>
        <w:tc>
          <w:tcPr>
            <w:tcW w:w="840" w:type="dxa"/>
            <w:tcBorders>
              <w:top w:val="single" w:color="auto" w:sz="4" w:space="0"/>
              <w:left w:val="single" w:color="auto" w:sz="4" w:space="0"/>
              <w:bottom w:val="single" w:color="auto" w:sz="4" w:space="0"/>
              <w:right w:val="single" w:color="auto" w:sz="4" w:space="0"/>
            </w:tcBorders>
            <w:vAlign w:val="center"/>
          </w:tcPr>
          <w:p w14:paraId="37AE7EA4">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p>
        </w:tc>
        <w:tc>
          <w:tcPr>
            <w:tcW w:w="1260" w:type="dxa"/>
            <w:tcBorders>
              <w:top w:val="single" w:color="auto" w:sz="4" w:space="0"/>
              <w:left w:val="single" w:color="auto" w:sz="4" w:space="0"/>
              <w:bottom w:val="single" w:color="auto" w:sz="4" w:space="0"/>
              <w:right w:val="single" w:color="auto" w:sz="4" w:space="0"/>
            </w:tcBorders>
            <w:vAlign w:val="center"/>
          </w:tcPr>
          <w:p w14:paraId="424AE074">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p>
        </w:tc>
        <w:tc>
          <w:tcPr>
            <w:tcW w:w="1340" w:type="dxa"/>
            <w:tcBorders>
              <w:top w:val="single" w:color="auto" w:sz="4" w:space="0"/>
              <w:left w:val="single" w:color="auto" w:sz="4" w:space="0"/>
              <w:bottom w:val="single" w:color="auto" w:sz="4" w:space="0"/>
              <w:right w:val="single" w:color="auto" w:sz="4" w:space="0"/>
            </w:tcBorders>
            <w:vAlign w:val="center"/>
          </w:tcPr>
          <w:p w14:paraId="3C03C65D">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p>
        </w:tc>
        <w:tc>
          <w:tcPr>
            <w:tcW w:w="1347" w:type="dxa"/>
            <w:tcBorders>
              <w:top w:val="single" w:color="auto" w:sz="4" w:space="0"/>
              <w:left w:val="single" w:color="auto" w:sz="4" w:space="0"/>
              <w:bottom w:val="single" w:color="auto" w:sz="4" w:space="0"/>
              <w:right w:val="single" w:color="auto" w:sz="4" w:space="0"/>
            </w:tcBorders>
            <w:vAlign w:val="center"/>
          </w:tcPr>
          <w:p w14:paraId="33C51F44">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p>
        </w:tc>
      </w:tr>
      <w:tr w14:paraId="18F00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14:paraId="785583E8">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r>
              <w:rPr>
                <w:rFonts w:hint="eastAsia" w:ascii="宋体" w:hAnsi="宋体" w:eastAsia="宋体" w:cs="宋体"/>
                <w:color w:val="auto"/>
                <w:highlight w:val="none"/>
              </w:rPr>
              <w:t>9</w:t>
            </w:r>
          </w:p>
        </w:tc>
        <w:tc>
          <w:tcPr>
            <w:tcW w:w="2205" w:type="dxa"/>
            <w:tcBorders>
              <w:top w:val="single" w:color="auto" w:sz="4" w:space="0"/>
              <w:left w:val="single" w:color="auto" w:sz="4" w:space="0"/>
              <w:bottom w:val="single" w:color="auto" w:sz="4" w:space="0"/>
              <w:right w:val="single" w:color="auto" w:sz="4" w:space="0"/>
            </w:tcBorders>
            <w:vAlign w:val="center"/>
          </w:tcPr>
          <w:p w14:paraId="2AE2EDB4">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p>
        </w:tc>
        <w:tc>
          <w:tcPr>
            <w:tcW w:w="957" w:type="dxa"/>
            <w:tcBorders>
              <w:top w:val="single" w:color="auto" w:sz="4" w:space="0"/>
              <w:left w:val="single" w:color="auto" w:sz="4" w:space="0"/>
              <w:bottom w:val="single" w:color="auto" w:sz="4" w:space="0"/>
              <w:right w:val="single" w:color="auto" w:sz="4" w:space="0"/>
            </w:tcBorders>
            <w:vAlign w:val="center"/>
          </w:tcPr>
          <w:p w14:paraId="2F0209A1">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p>
        </w:tc>
        <w:tc>
          <w:tcPr>
            <w:tcW w:w="840" w:type="dxa"/>
            <w:tcBorders>
              <w:top w:val="single" w:color="auto" w:sz="4" w:space="0"/>
              <w:left w:val="single" w:color="auto" w:sz="4" w:space="0"/>
              <w:bottom w:val="single" w:color="auto" w:sz="4" w:space="0"/>
              <w:right w:val="single" w:color="auto" w:sz="4" w:space="0"/>
            </w:tcBorders>
            <w:vAlign w:val="center"/>
          </w:tcPr>
          <w:p w14:paraId="2310FE7D">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p>
        </w:tc>
        <w:tc>
          <w:tcPr>
            <w:tcW w:w="1260" w:type="dxa"/>
            <w:tcBorders>
              <w:top w:val="single" w:color="auto" w:sz="4" w:space="0"/>
              <w:left w:val="single" w:color="auto" w:sz="4" w:space="0"/>
              <w:bottom w:val="single" w:color="auto" w:sz="4" w:space="0"/>
              <w:right w:val="single" w:color="auto" w:sz="4" w:space="0"/>
            </w:tcBorders>
            <w:vAlign w:val="center"/>
          </w:tcPr>
          <w:p w14:paraId="2ADF83C6">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p>
        </w:tc>
        <w:tc>
          <w:tcPr>
            <w:tcW w:w="1340" w:type="dxa"/>
            <w:tcBorders>
              <w:top w:val="single" w:color="auto" w:sz="4" w:space="0"/>
              <w:left w:val="single" w:color="auto" w:sz="4" w:space="0"/>
              <w:bottom w:val="single" w:color="auto" w:sz="4" w:space="0"/>
              <w:right w:val="single" w:color="auto" w:sz="4" w:space="0"/>
            </w:tcBorders>
            <w:vAlign w:val="center"/>
          </w:tcPr>
          <w:p w14:paraId="3DB4C8A7">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p>
        </w:tc>
        <w:tc>
          <w:tcPr>
            <w:tcW w:w="1347" w:type="dxa"/>
            <w:tcBorders>
              <w:top w:val="single" w:color="auto" w:sz="4" w:space="0"/>
              <w:left w:val="single" w:color="auto" w:sz="4" w:space="0"/>
              <w:bottom w:val="single" w:color="auto" w:sz="4" w:space="0"/>
              <w:right w:val="single" w:color="auto" w:sz="4" w:space="0"/>
            </w:tcBorders>
            <w:vAlign w:val="center"/>
          </w:tcPr>
          <w:p w14:paraId="33CA4A87">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p>
        </w:tc>
      </w:tr>
      <w:tr w14:paraId="7AAFC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14:paraId="02EC6080">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r>
              <w:rPr>
                <w:rFonts w:hint="eastAsia" w:ascii="宋体" w:hAnsi="宋体" w:eastAsia="宋体" w:cs="宋体"/>
                <w:color w:val="auto"/>
                <w:highlight w:val="none"/>
              </w:rPr>
              <w:t>10</w:t>
            </w:r>
          </w:p>
        </w:tc>
        <w:tc>
          <w:tcPr>
            <w:tcW w:w="2205" w:type="dxa"/>
            <w:tcBorders>
              <w:top w:val="single" w:color="auto" w:sz="4" w:space="0"/>
              <w:left w:val="single" w:color="auto" w:sz="4" w:space="0"/>
              <w:bottom w:val="single" w:color="auto" w:sz="4" w:space="0"/>
              <w:right w:val="single" w:color="auto" w:sz="4" w:space="0"/>
            </w:tcBorders>
            <w:vAlign w:val="center"/>
          </w:tcPr>
          <w:p w14:paraId="1F7E3391">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p>
        </w:tc>
        <w:tc>
          <w:tcPr>
            <w:tcW w:w="957" w:type="dxa"/>
            <w:tcBorders>
              <w:top w:val="single" w:color="auto" w:sz="4" w:space="0"/>
              <w:left w:val="single" w:color="auto" w:sz="4" w:space="0"/>
              <w:bottom w:val="single" w:color="auto" w:sz="4" w:space="0"/>
              <w:right w:val="single" w:color="auto" w:sz="4" w:space="0"/>
            </w:tcBorders>
            <w:vAlign w:val="center"/>
          </w:tcPr>
          <w:p w14:paraId="052A49AE">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p>
        </w:tc>
        <w:tc>
          <w:tcPr>
            <w:tcW w:w="840" w:type="dxa"/>
            <w:tcBorders>
              <w:top w:val="single" w:color="auto" w:sz="4" w:space="0"/>
              <w:left w:val="single" w:color="auto" w:sz="4" w:space="0"/>
              <w:bottom w:val="single" w:color="auto" w:sz="4" w:space="0"/>
              <w:right w:val="single" w:color="auto" w:sz="4" w:space="0"/>
            </w:tcBorders>
            <w:vAlign w:val="center"/>
          </w:tcPr>
          <w:p w14:paraId="41BA923F">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p>
        </w:tc>
        <w:tc>
          <w:tcPr>
            <w:tcW w:w="1260" w:type="dxa"/>
            <w:tcBorders>
              <w:top w:val="single" w:color="auto" w:sz="4" w:space="0"/>
              <w:left w:val="single" w:color="auto" w:sz="4" w:space="0"/>
              <w:bottom w:val="single" w:color="auto" w:sz="4" w:space="0"/>
              <w:right w:val="single" w:color="auto" w:sz="4" w:space="0"/>
            </w:tcBorders>
            <w:vAlign w:val="center"/>
          </w:tcPr>
          <w:p w14:paraId="0EFAB1E9">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p>
        </w:tc>
        <w:tc>
          <w:tcPr>
            <w:tcW w:w="1340" w:type="dxa"/>
            <w:tcBorders>
              <w:top w:val="single" w:color="auto" w:sz="4" w:space="0"/>
              <w:left w:val="single" w:color="auto" w:sz="4" w:space="0"/>
              <w:bottom w:val="single" w:color="auto" w:sz="4" w:space="0"/>
              <w:right w:val="single" w:color="auto" w:sz="4" w:space="0"/>
            </w:tcBorders>
            <w:vAlign w:val="center"/>
          </w:tcPr>
          <w:p w14:paraId="5D4804F3">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p>
        </w:tc>
        <w:tc>
          <w:tcPr>
            <w:tcW w:w="1347" w:type="dxa"/>
            <w:tcBorders>
              <w:top w:val="single" w:color="auto" w:sz="4" w:space="0"/>
              <w:left w:val="single" w:color="auto" w:sz="4" w:space="0"/>
              <w:bottom w:val="single" w:color="auto" w:sz="4" w:space="0"/>
              <w:right w:val="single" w:color="auto" w:sz="4" w:space="0"/>
            </w:tcBorders>
            <w:vAlign w:val="center"/>
          </w:tcPr>
          <w:p w14:paraId="204EE150">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p>
        </w:tc>
      </w:tr>
      <w:tr w14:paraId="1D9CA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14:paraId="092A5E49">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r>
              <w:rPr>
                <w:rFonts w:hint="eastAsia" w:ascii="宋体" w:hAnsi="宋体" w:eastAsia="宋体" w:cs="宋体"/>
                <w:color w:val="auto"/>
                <w:highlight w:val="none"/>
              </w:rPr>
              <w:t>11</w:t>
            </w:r>
          </w:p>
        </w:tc>
        <w:tc>
          <w:tcPr>
            <w:tcW w:w="2205" w:type="dxa"/>
            <w:tcBorders>
              <w:top w:val="single" w:color="auto" w:sz="4" w:space="0"/>
              <w:left w:val="single" w:color="auto" w:sz="4" w:space="0"/>
              <w:bottom w:val="single" w:color="auto" w:sz="4" w:space="0"/>
              <w:right w:val="single" w:color="auto" w:sz="4" w:space="0"/>
            </w:tcBorders>
            <w:vAlign w:val="center"/>
          </w:tcPr>
          <w:p w14:paraId="237FB002">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p>
        </w:tc>
        <w:tc>
          <w:tcPr>
            <w:tcW w:w="957" w:type="dxa"/>
            <w:tcBorders>
              <w:top w:val="single" w:color="auto" w:sz="4" w:space="0"/>
              <w:left w:val="single" w:color="auto" w:sz="4" w:space="0"/>
              <w:bottom w:val="single" w:color="auto" w:sz="4" w:space="0"/>
              <w:right w:val="single" w:color="auto" w:sz="4" w:space="0"/>
            </w:tcBorders>
            <w:vAlign w:val="center"/>
          </w:tcPr>
          <w:p w14:paraId="2BF7238E">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p>
        </w:tc>
        <w:tc>
          <w:tcPr>
            <w:tcW w:w="840" w:type="dxa"/>
            <w:tcBorders>
              <w:top w:val="single" w:color="auto" w:sz="4" w:space="0"/>
              <w:left w:val="single" w:color="auto" w:sz="4" w:space="0"/>
              <w:bottom w:val="single" w:color="auto" w:sz="4" w:space="0"/>
              <w:right w:val="single" w:color="auto" w:sz="4" w:space="0"/>
            </w:tcBorders>
            <w:vAlign w:val="center"/>
          </w:tcPr>
          <w:p w14:paraId="04C8898E">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p>
        </w:tc>
        <w:tc>
          <w:tcPr>
            <w:tcW w:w="1260" w:type="dxa"/>
            <w:tcBorders>
              <w:top w:val="single" w:color="auto" w:sz="4" w:space="0"/>
              <w:left w:val="single" w:color="auto" w:sz="4" w:space="0"/>
              <w:bottom w:val="single" w:color="auto" w:sz="4" w:space="0"/>
              <w:right w:val="single" w:color="auto" w:sz="4" w:space="0"/>
            </w:tcBorders>
            <w:vAlign w:val="center"/>
          </w:tcPr>
          <w:p w14:paraId="43A74D5B">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p>
        </w:tc>
        <w:tc>
          <w:tcPr>
            <w:tcW w:w="1340" w:type="dxa"/>
            <w:tcBorders>
              <w:top w:val="single" w:color="auto" w:sz="4" w:space="0"/>
              <w:left w:val="single" w:color="auto" w:sz="4" w:space="0"/>
              <w:bottom w:val="single" w:color="auto" w:sz="4" w:space="0"/>
              <w:right w:val="single" w:color="auto" w:sz="4" w:space="0"/>
            </w:tcBorders>
            <w:vAlign w:val="center"/>
          </w:tcPr>
          <w:p w14:paraId="29DB611C">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p>
        </w:tc>
        <w:tc>
          <w:tcPr>
            <w:tcW w:w="1347" w:type="dxa"/>
            <w:tcBorders>
              <w:top w:val="single" w:color="auto" w:sz="4" w:space="0"/>
              <w:left w:val="single" w:color="auto" w:sz="4" w:space="0"/>
              <w:bottom w:val="single" w:color="auto" w:sz="4" w:space="0"/>
              <w:right w:val="single" w:color="auto" w:sz="4" w:space="0"/>
            </w:tcBorders>
            <w:vAlign w:val="center"/>
          </w:tcPr>
          <w:p w14:paraId="2C53D251">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p>
        </w:tc>
      </w:tr>
      <w:tr w14:paraId="66963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14:paraId="0439D525">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r>
              <w:rPr>
                <w:rFonts w:hint="eastAsia" w:ascii="宋体" w:hAnsi="宋体" w:eastAsia="宋体" w:cs="宋体"/>
                <w:color w:val="auto"/>
                <w:highlight w:val="none"/>
              </w:rPr>
              <w:t>12</w:t>
            </w:r>
          </w:p>
        </w:tc>
        <w:tc>
          <w:tcPr>
            <w:tcW w:w="2205" w:type="dxa"/>
            <w:tcBorders>
              <w:top w:val="single" w:color="auto" w:sz="4" w:space="0"/>
              <w:left w:val="single" w:color="auto" w:sz="4" w:space="0"/>
              <w:bottom w:val="single" w:color="auto" w:sz="4" w:space="0"/>
              <w:right w:val="single" w:color="auto" w:sz="4" w:space="0"/>
            </w:tcBorders>
            <w:vAlign w:val="center"/>
          </w:tcPr>
          <w:p w14:paraId="3721FFFF">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p>
        </w:tc>
        <w:tc>
          <w:tcPr>
            <w:tcW w:w="957" w:type="dxa"/>
            <w:tcBorders>
              <w:top w:val="single" w:color="auto" w:sz="4" w:space="0"/>
              <w:left w:val="single" w:color="auto" w:sz="4" w:space="0"/>
              <w:bottom w:val="single" w:color="auto" w:sz="4" w:space="0"/>
              <w:right w:val="single" w:color="auto" w:sz="4" w:space="0"/>
            </w:tcBorders>
            <w:vAlign w:val="center"/>
          </w:tcPr>
          <w:p w14:paraId="458BC5C6">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p>
        </w:tc>
        <w:tc>
          <w:tcPr>
            <w:tcW w:w="840" w:type="dxa"/>
            <w:tcBorders>
              <w:top w:val="single" w:color="auto" w:sz="4" w:space="0"/>
              <w:left w:val="single" w:color="auto" w:sz="4" w:space="0"/>
              <w:bottom w:val="single" w:color="auto" w:sz="4" w:space="0"/>
              <w:right w:val="single" w:color="auto" w:sz="4" w:space="0"/>
            </w:tcBorders>
            <w:vAlign w:val="center"/>
          </w:tcPr>
          <w:p w14:paraId="31A9464C">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p>
        </w:tc>
        <w:tc>
          <w:tcPr>
            <w:tcW w:w="1260" w:type="dxa"/>
            <w:tcBorders>
              <w:top w:val="single" w:color="auto" w:sz="4" w:space="0"/>
              <w:left w:val="single" w:color="auto" w:sz="4" w:space="0"/>
              <w:bottom w:val="single" w:color="auto" w:sz="4" w:space="0"/>
              <w:right w:val="single" w:color="auto" w:sz="4" w:space="0"/>
            </w:tcBorders>
            <w:vAlign w:val="center"/>
          </w:tcPr>
          <w:p w14:paraId="0854E917">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p>
        </w:tc>
        <w:tc>
          <w:tcPr>
            <w:tcW w:w="1340" w:type="dxa"/>
            <w:tcBorders>
              <w:top w:val="single" w:color="auto" w:sz="4" w:space="0"/>
              <w:left w:val="single" w:color="auto" w:sz="4" w:space="0"/>
              <w:bottom w:val="single" w:color="auto" w:sz="4" w:space="0"/>
              <w:right w:val="single" w:color="auto" w:sz="4" w:space="0"/>
            </w:tcBorders>
            <w:vAlign w:val="center"/>
          </w:tcPr>
          <w:p w14:paraId="6186965D">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p>
        </w:tc>
        <w:tc>
          <w:tcPr>
            <w:tcW w:w="1347" w:type="dxa"/>
            <w:tcBorders>
              <w:top w:val="single" w:color="auto" w:sz="4" w:space="0"/>
              <w:left w:val="single" w:color="auto" w:sz="4" w:space="0"/>
              <w:bottom w:val="single" w:color="auto" w:sz="4" w:space="0"/>
              <w:right w:val="single" w:color="auto" w:sz="4" w:space="0"/>
            </w:tcBorders>
            <w:vAlign w:val="center"/>
          </w:tcPr>
          <w:p w14:paraId="59A6676D">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p>
        </w:tc>
      </w:tr>
      <w:tr w14:paraId="7B434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14:paraId="03EA3570">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r>
              <w:rPr>
                <w:rFonts w:hint="eastAsia" w:ascii="宋体" w:hAnsi="宋体" w:eastAsia="宋体" w:cs="宋体"/>
                <w:color w:val="auto"/>
                <w:highlight w:val="none"/>
              </w:rPr>
              <w:t>13</w:t>
            </w:r>
          </w:p>
        </w:tc>
        <w:tc>
          <w:tcPr>
            <w:tcW w:w="2205" w:type="dxa"/>
            <w:tcBorders>
              <w:top w:val="single" w:color="auto" w:sz="4" w:space="0"/>
              <w:left w:val="single" w:color="auto" w:sz="4" w:space="0"/>
              <w:bottom w:val="single" w:color="auto" w:sz="4" w:space="0"/>
              <w:right w:val="single" w:color="auto" w:sz="4" w:space="0"/>
            </w:tcBorders>
            <w:vAlign w:val="center"/>
          </w:tcPr>
          <w:p w14:paraId="3854ED78">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p>
        </w:tc>
        <w:tc>
          <w:tcPr>
            <w:tcW w:w="957" w:type="dxa"/>
            <w:tcBorders>
              <w:top w:val="single" w:color="auto" w:sz="4" w:space="0"/>
              <w:left w:val="single" w:color="auto" w:sz="4" w:space="0"/>
              <w:bottom w:val="single" w:color="auto" w:sz="4" w:space="0"/>
              <w:right w:val="single" w:color="auto" w:sz="4" w:space="0"/>
            </w:tcBorders>
            <w:vAlign w:val="center"/>
          </w:tcPr>
          <w:p w14:paraId="717FA22E">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p>
        </w:tc>
        <w:tc>
          <w:tcPr>
            <w:tcW w:w="840" w:type="dxa"/>
            <w:tcBorders>
              <w:top w:val="single" w:color="auto" w:sz="4" w:space="0"/>
              <w:left w:val="single" w:color="auto" w:sz="4" w:space="0"/>
              <w:bottom w:val="single" w:color="auto" w:sz="4" w:space="0"/>
              <w:right w:val="single" w:color="auto" w:sz="4" w:space="0"/>
            </w:tcBorders>
            <w:vAlign w:val="center"/>
          </w:tcPr>
          <w:p w14:paraId="1F6DD8D1">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p>
        </w:tc>
        <w:tc>
          <w:tcPr>
            <w:tcW w:w="1260" w:type="dxa"/>
            <w:tcBorders>
              <w:top w:val="single" w:color="auto" w:sz="4" w:space="0"/>
              <w:left w:val="single" w:color="auto" w:sz="4" w:space="0"/>
              <w:bottom w:val="single" w:color="auto" w:sz="4" w:space="0"/>
              <w:right w:val="single" w:color="auto" w:sz="4" w:space="0"/>
            </w:tcBorders>
            <w:vAlign w:val="center"/>
          </w:tcPr>
          <w:p w14:paraId="0DF2DCB6">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p>
        </w:tc>
        <w:tc>
          <w:tcPr>
            <w:tcW w:w="1340" w:type="dxa"/>
            <w:tcBorders>
              <w:top w:val="single" w:color="auto" w:sz="4" w:space="0"/>
              <w:left w:val="single" w:color="auto" w:sz="4" w:space="0"/>
              <w:bottom w:val="single" w:color="auto" w:sz="4" w:space="0"/>
              <w:right w:val="single" w:color="auto" w:sz="4" w:space="0"/>
            </w:tcBorders>
            <w:vAlign w:val="center"/>
          </w:tcPr>
          <w:p w14:paraId="17D43FA3">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p>
        </w:tc>
        <w:tc>
          <w:tcPr>
            <w:tcW w:w="1347" w:type="dxa"/>
            <w:tcBorders>
              <w:top w:val="single" w:color="auto" w:sz="4" w:space="0"/>
              <w:left w:val="single" w:color="auto" w:sz="4" w:space="0"/>
              <w:bottom w:val="single" w:color="auto" w:sz="4" w:space="0"/>
              <w:right w:val="single" w:color="auto" w:sz="4" w:space="0"/>
            </w:tcBorders>
            <w:vAlign w:val="center"/>
          </w:tcPr>
          <w:p w14:paraId="58BD5147">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p>
        </w:tc>
      </w:tr>
      <w:tr w14:paraId="07ABA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14:paraId="4DE1362B">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p>
        </w:tc>
        <w:tc>
          <w:tcPr>
            <w:tcW w:w="2205" w:type="dxa"/>
            <w:tcBorders>
              <w:top w:val="single" w:color="auto" w:sz="4" w:space="0"/>
              <w:left w:val="single" w:color="auto" w:sz="4" w:space="0"/>
              <w:bottom w:val="single" w:color="auto" w:sz="4" w:space="0"/>
              <w:right w:val="single" w:color="auto" w:sz="4" w:space="0"/>
            </w:tcBorders>
            <w:vAlign w:val="center"/>
          </w:tcPr>
          <w:p w14:paraId="3BB288BD">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r>
              <w:rPr>
                <w:rFonts w:hint="eastAsia" w:ascii="宋体" w:hAnsi="宋体" w:eastAsia="宋体" w:cs="宋体"/>
                <w:color w:val="auto"/>
                <w:highlight w:val="none"/>
              </w:rPr>
              <w:t>其他费用</w:t>
            </w:r>
          </w:p>
        </w:tc>
        <w:tc>
          <w:tcPr>
            <w:tcW w:w="957" w:type="dxa"/>
            <w:tcBorders>
              <w:top w:val="single" w:color="auto" w:sz="4" w:space="0"/>
              <w:left w:val="single" w:color="auto" w:sz="4" w:space="0"/>
              <w:bottom w:val="single" w:color="auto" w:sz="4" w:space="0"/>
              <w:right w:val="single" w:color="auto" w:sz="4" w:space="0"/>
            </w:tcBorders>
            <w:vAlign w:val="center"/>
          </w:tcPr>
          <w:p w14:paraId="7356B884">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p>
        </w:tc>
        <w:tc>
          <w:tcPr>
            <w:tcW w:w="840" w:type="dxa"/>
            <w:tcBorders>
              <w:top w:val="single" w:color="auto" w:sz="4" w:space="0"/>
              <w:left w:val="single" w:color="auto" w:sz="4" w:space="0"/>
              <w:bottom w:val="single" w:color="auto" w:sz="4" w:space="0"/>
              <w:right w:val="single" w:color="auto" w:sz="4" w:space="0"/>
            </w:tcBorders>
            <w:vAlign w:val="center"/>
          </w:tcPr>
          <w:p w14:paraId="36D4CFA6">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p>
        </w:tc>
        <w:tc>
          <w:tcPr>
            <w:tcW w:w="1260" w:type="dxa"/>
            <w:tcBorders>
              <w:top w:val="single" w:color="auto" w:sz="4" w:space="0"/>
              <w:left w:val="single" w:color="auto" w:sz="4" w:space="0"/>
              <w:bottom w:val="single" w:color="auto" w:sz="4" w:space="0"/>
              <w:right w:val="single" w:color="auto" w:sz="4" w:space="0"/>
            </w:tcBorders>
            <w:vAlign w:val="center"/>
          </w:tcPr>
          <w:p w14:paraId="08CD6C45">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p>
        </w:tc>
        <w:tc>
          <w:tcPr>
            <w:tcW w:w="1340" w:type="dxa"/>
            <w:tcBorders>
              <w:top w:val="single" w:color="auto" w:sz="4" w:space="0"/>
              <w:left w:val="single" w:color="auto" w:sz="4" w:space="0"/>
              <w:bottom w:val="single" w:color="auto" w:sz="4" w:space="0"/>
              <w:right w:val="single" w:color="auto" w:sz="4" w:space="0"/>
            </w:tcBorders>
            <w:vAlign w:val="center"/>
          </w:tcPr>
          <w:p w14:paraId="4A43D92A">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p>
        </w:tc>
        <w:tc>
          <w:tcPr>
            <w:tcW w:w="1347" w:type="dxa"/>
            <w:tcBorders>
              <w:top w:val="single" w:color="auto" w:sz="4" w:space="0"/>
              <w:left w:val="single" w:color="auto" w:sz="4" w:space="0"/>
              <w:bottom w:val="single" w:color="auto" w:sz="4" w:space="0"/>
              <w:right w:val="single" w:color="auto" w:sz="4" w:space="0"/>
            </w:tcBorders>
            <w:vAlign w:val="center"/>
          </w:tcPr>
          <w:p w14:paraId="3AED818B">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p>
        </w:tc>
      </w:tr>
      <w:tr w14:paraId="31BFC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14:paraId="07D0D846">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p>
        </w:tc>
        <w:tc>
          <w:tcPr>
            <w:tcW w:w="2205" w:type="dxa"/>
            <w:tcBorders>
              <w:top w:val="single" w:color="auto" w:sz="4" w:space="0"/>
              <w:left w:val="single" w:color="auto" w:sz="4" w:space="0"/>
              <w:bottom w:val="single" w:color="auto" w:sz="4" w:space="0"/>
              <w:right w:val="single" w:color="auto" w:sz="4" w:space="0"/>
            </w:tcBorders>
            <w:vAlign w:val="center"/>
          </w:tcPr>
          <w:p w14:paraId="211FB9FD">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r>
              <w:rPr>
                <w:rFonts w:hint="eastAsia" w:ascii="宋体" w:hAnsi="宋体" w:eastAsia="宋体" w:cs="宋体"/>
                <w:color w:val="auto"/>
                <w:highlight w:val="none"/>
              </w:rPr>
              <w:t>…</w:t>
            </w:r>
          </w:p>
        </w:tc>
        <w:tc>
          <w:tcPr>
            <w:tcW w:w="957" w:type="dxa"/>
            <w:tcBorders>
              <w:top w:val="single" w:color="auto" w:sz="4" w:space="0"/>
              <w:left w:val="single" w:color="auto" w:sz="4" w:space="0"/>
              <w:bottom w:val="single" w:color="auto" w:sz="4" w:space="0"/>
              <w:right w:val="single" w:color="auto" w:sz="4" w:space="0"/>
            </w:tcBorders>
            <w:vAlign w:val="center"/>
          </w:tcPr>
          <w:p w14:paraId="1591CB66">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p>
        </w:tc>
        <w:tc>
          <w:tcPr>
            <w:tcW w:w="840" w:type="dxa"/>
            <w:tcBorders>
              <w:top w:val="single" w:color="auto" w:sz="4" w:space="0"/>
              <w:left w:val="single" w:color="auto" w:sz="4" w:space="0"/>
              <w:bottom w:val="single" w:color="auto" w:sz="4" w:space="0"/>
              <w:right w:val="single" w:color="auto" w:sz="4" w:space="0"/>
            </w:tcBorders>
            <w:vAlign w:val="center"/>
          </w:tcPr>
          <w:p w14:paraId="18842C51">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p>
        </w:tc>
        <w:tc>
          <w:tcPr>
            <w:tcW w:w="1260" w:type="dxa"/>
            <w:tcBorders>
              <w:top w:val="single" w:color="auto" w:sz="4" w:space="0"/>
              <w:left w:val="single" w:color="auto" w:sz="4" w:space="0"/>
              <w:bottom w:val="single" w:color="auto" w:sz="4" w:space="0"/>
              <w:right w:val="single" w:color="auto" w:sz="4" w:space="0"/>
            </w:tcBorders>
            <w:vAlign w:val="center"/>
          </w:tcPr>
          <w:p w14:paraId="211E46BD">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p>
        </w:tc>
        <w:tc>
          <w:tcPr>
            <w:tcW w:w="1340" w:type="dxa"/>
            <w:tcBorders>
              <w:top w:val="single" w:color="auto" w:sz="4" w:space="0"/>
              <w:left w:val="single" w:color="auto" w:sz="4" w:space="0"/>
              <w:bottom w:val="single" w:color="auto" w:sz="4" w:space="0"/>
              <w:right w:val="single" w:color="auto" w:sz="4" w:space="0"/>
            </w:tcBorders>
            <w:vAlign w:val="center"/>
          </w:tcPr>
          <w:p w14:paraId="772B66DE">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p>
        </w:tc>
        <w:tc>
          <w:tcPr>
            <w:tcW w:w="1347" w:type="dxa"/>
            <w:tcBorders>
              <w:top w:val="single" w:color="auto" w:sz="4" w:space="0"/>
              <w:left w:val="single" w:color="auto" w:sz="4" w:space="0"/>
              <w:bottom w:val="single" w:color="auto" w:sz="4" w:space="0"/>
              <w:right w:val="single" w:color="auto" w:sz="4" w:space="0"/>
            </w:tcBorders>
            <w:vAlign w:val="center"/>
          </w:tcPr>
          <w:p w14:paraId="277A1EAC">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p>
        </w:tc>
      </w:tr>
      <w:tr w14:paraId="4BBCA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14:paraId="3E8675F6">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p>
        </w:tc>
        <w:tc>
          <w:tcPr>
            <w:tcW w:w="2205" w:type="dxa"/>
            <w:tcBorders>
              <w:top w:val="single" w:color="auto" w:sz="4" w:space="0"/>
              <w:left w:val="single" w:color="auto" w:sz="4" w:space="0"/>
              <w:bottom w:val="single" w:color="auto" w:sz="4" w:space="0"/>
              <w:right w:val="single" w:color="auto" w:sz="4" w:space="0"/>
            </w:tcBorders>
            <w:vAlign w:val="center"/>
          </w:tcPr>
          <w:p w14:paraId="126EE81A">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r>
              <w:rPr>
                <w:rFonts w:hint="eastAsia" w:ascii="宋体" w:hAnsi="宋体" w:eastAsia="宋体" w:cs="宋体"/>
                <w:color w:val="auto"/>
                <w:highlight w:val="none"/>
              </w:rPr>
              <w:t>…</w:t>
            </w:r>
          </w:p>
        </w:tc>
        <w:tc>
          <w:tcPr>
            <w:tcW w:w="957" w:type="dxa"/>
            <w:tcBorders>
              <w:top w:val="single" w:color="auto" w:sz="4" w:space="0"/>
              <w:left w:val="single" w:color="auto" w:sz="4" w:space="0"/>
              <w:bottom w:val="single" w:color="auto" w:sz="4" w:space="0"/>
              <w:right w:val="single" w:color="auto" w:sz="4" w:space="0"/>
            </w:tcBorders>
            <w:vAlign w:val="center"/>
          </w:tcPr>
          <w:p w14:paraId="726CEECE">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p>
        </w:tc>
        <w:tc>
          <w:tcPr>
            <w:tcW w:w="840" w:type="dxa"/>
            <w:tcBorders>
              <w:top w:val="single" w:color="auto" w:sz="4" w:space="0"/>
              <w:left w:val="single" w:color="auto" w:sz="4" w:space="0"/>
              <w:bottom w:val="single" w:color="auto" w:sz="4" w:space="0"/>
              <w:right w:val="single" w:color="auto" w:sz="4" w:space="0"/>
            </w:tcBorders>
            <w:vAlign w:val="center"/>
          </w:tcPr>
          <w:p w14:paraId="48524AAD">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p>
        </w:tc>
        <w:tc>
          <w:tcPr>
            <w:tcW w:w="1260" w:type="dxa"/>
            <w:tcBorders>
              <w:top w:val="single" w:color="auto" w:sz="4" w:space="0"/>
              <w:left w:val="single" w:color="auto" w:sz="4" w:space="0"/>
              <w:bottom w:val="single" w:color="auto" w:sz="4" w:space="0"/>
              <w:right w:val="single" w:color="auto" w:sz="4" w:space="0"/>
            </w:tcBorders>
            <w:vAlign w:val="center"/>
          </w:tcPr>
          <w:p w14:paraId="44D3F9B8">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p>
        </w:tc>
        <w:tc>
          <w:tcPr>
            <w:tcW w:w="1340" w:type="dxa"/>
            <w:tcBorders>
              <w:top w:val="single" w:color="auto" w:sz="4" w:space="0"/>
              <w:left w:val="single" w:color="auto" w:sz="4" w:space="0"/>
              <w:bottom w:val="single" w:color="auto" w:sz="4" w:space="0"/>
              <w:right w:val="single" w:color="auto" w:sz="4" w:space="0"/>
            </w:tcBorders>
            <w:vAlign w:val="center"/>
          </w:tcPr>
          <w:p w14:paraId="072E3294">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p>
        </w:tc>
        <w:tc>
          <w:tcPr>
            <w:tcW w:w="1347" w:type="dxa"/>
            <w:tcBorders>
              <w:top w:val="single" w:color="auto" w:sz="4" w:space="0"/>
              <w:left w:val="single" w:color="auto" w:sz="4" w:space="0"/>
              <w:bottom w:val="single" w:color="auto" w:sz="4" w:space="0"/>
              <w:right w:val="single" w:color="auto" w:sz="4" w:space="0"/>
            </w:tcBorders>
            <w:vAlign w:val="center"/>
          </w:tcPr>
          <w:p w14:paraId="01EDBC5D">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p>
        </w:tc>
      </w:tr>
      <w:tr w14:paraId="3A0A4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14:paraId="37599611">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p>
        </w:tc>
        <w:tc>
          <w:tcPr>
            <w:tcW w:w="2205" w:type="dxa"/>
            <w:tcBorders>
              <w:top w:val="single" w:color="auto" w:sz="4" w:space="0"/>
              <w:left w:val="single" w:color="auto" w:sz="4" w:space="0"/>
              <w:bottom w:val="single" w:color="auto" w:sz="4" w:space="0"/>
              <w:right w:val="single" w:color="auto" w:sz="4" w:space="0"/>
            </w:tcBorders>
            <w:vAlign w:val="center"/>
          </w:tcPr>
          <w:p w14:paraId="736BD3ED">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r>
              <w:rPr>
                <w:rFonts w:hint="eastAsia" w:ascii="宋体" w:hAnsi="宋体" w:eastAsia="宋体" w:cs="宋体"/>
                <w:color w:val="auto"/>
                <w:highlight w:val="none"/>
              </w:rPr>
              <w:t>…</w:t>
            </w:r>
          </w:p>
        </w:tc>
        <w:tc>
          <w:tcPr>
            <w:tcW w:w="957" w:type="dxa"/>
            <w:tcBorders>
              <w:top w:val="single" w:color="auto" w:sz="4" w:space="0"/>
              <w:left w:val="single" w:color="auto" w:sz="4" w:space="0"/>
              <w:bottom w:val="single" w:color="auto" w:sz="4" w:space="0"/>
              <w:right w:val="single" w:color="auto" w:sz="4" w:space="0"/>
            </w:tcBorders>
            <w:vAlign w:val="center"/>
          </w:tcPr>
          <w:p w14:paraId="59A78E8C">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p>
        </w:tc>
        <w:tc>
          <w:tcPr>
            <w:tcW w:w="840" w:type="dxa"/>
            <w:tcBorders>
              <w:top w:val="single" w:color="auto" w:sz="4" w:space="0"/>
              <w:left w:val="single" w:color="auto" w:sz="4" w:space="0"/>
              <w:bottom w:val="single" w:color="auto" w:sz="4" w:space="0"/>
              <w:right w:val="single" w:color="auto" w:sz="4" w:space="0"/>
            </w:tcBorders>
            <w:vAlign w:val="center"/>
          </w:tcPr>
          <w:p w14:paraId="45C7EACF">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p>
        </w:tc>
        <w:tc>
          <w:tcPr>
            <w:tcW w:w="1260" w:type="dxa"/>
            <w:tcBorders>
              <w:top w:val="single" w:color="auto" w:sz="4" w:space="0"/>
              <w:left w:val="single" w:color="auto" w:sz="4" w:space="0"/>
              <w:bottom w:val="single" w:color="auto" w:sz="4" w:space="0"/>
              <w:right w:val="single" w:color="auto" w:sz="4" w:space="0"/>
            </w:tcBorders>
            <w:vAlign w:val="center"/>
          </w:tcPr>
          <w:p w14:paraId="4621164F">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p>
        </w:tc>
        <w:tc>
          <w:tcPr>
            <w:tcW w:w="1340" w:type="dxa"/>
            <w:tcBorders>
              <w:top w:val="single" w:color="auto" w:sz="4" w:space="0"/>
              <w:left w:val="single" w:color="auto" w:sz="4" w:space="0"/>
              <w:bottom w:val="single" w:color="auto" w:sz="4" w:space="0"/>
              <w:right w:val="single" w:color="auto" w:sz="4" w:space="0"/>
            </w:tcBorders>
            <w:vAlign w:val="center"/>
          </w:tcPr>
          <w:p w14:paraId="6F20C56B">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p>
        </w:tc>
        <w:tc>
          <w:tcPr>
            <w:tcW w:w="1347" w:type="dxa"/>
            <w:tcBorders>
              <w:top w:val="single" w:color="auto" w:sz="4" w:space="0"/>
              <w:left w:val="single" w:color="auto" w:sz="4" w:space="0"/>
              <w:bottom w:val="single" w:color="auto" w:sz="4" w:space="0"/>
              <w:right w:val="single" w:color="auto" w:sz="4" w:space="0"/>
            </w:tcBorders>
            <w:vAlign w:val="center"/>
          </w:tcPr>
          <w:p w14:paraId="14D82253">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p>
        </w:tc>
      </w:tr>
      <w:tr w14:paraId="2EF57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14:paraId="68462923">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p>
        </w:tc>
        <w:tc>
          <w:tcPr>
            <w:tcW w:w="2205" w:type="dxa"/>
            <w:tcBorders>
              <w:top w:val="single" w:color="auto" w:sz="4" w:space="0"/>
              <w:left w:val="single" w:color="auto" w:sz="4" w:space="0"/>
              <w:bottom w:val="single" w:color="auto" w:sz="4" w:space="0"/>
              <w:right w:val="single" w:color="auto" w:sz="4" w:space="0"/>
            </w:tcBorders>
            <w:vAlign w:val="center"/>
          </w:tcPr>
          <w:p w14:paraId="7B8ED0E8">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r>
              <w:rPr>
                <w:rFonts w:hint="eastAsia" w:ascii="宋体" w:hAnsi="宋体" w:eastAsia="宋体" w:cs="宋体"/>
                <w:color w:val="auto"/>
                <w:highlight w:val="none"/>
              </w:rPr>
              <w:t>合计</w:t>
            </w:r>
          </w:p>
        </w:tc>
        <w:tc>
          <w:tcPr>
            <w:tcW w:w="957" w:type="dxa"/>
            <w:tcBorders>
              <w:top w:val="single" w:color="auto" w:sz="4" w:space="0"/>
              <w:left w:val="single" w:color="auto" w:sz="4" w:space="0"/>
              <w:bottom w:val="single" w:color="auto" w:sz="4" w:space="0"/>
              <w:right w:val="single" w:color="auto" w:sz="4" w:space="0"/>
            </w:tcBorders>
            <w:vAlign w:val="center"/>
          </w:tcPr>
          <w:p w14:paraId="16B46745">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p>
        </w:tc>
        <w:tc>
          <w:tcPr>
            <w:tcW w:w="840" w:type="dxa"/>
            <w:tcBorders>
              <w:top w:val="single" w:color="auto" w:sz="4" w:space="0"/>
              <w:left w:val="single" w:color="auto" w:sz="4" w:space="0"/>
              <w:bottom w:val="single" w:color="auto" w:sz="4" w:space="0"/>
              <w:right w:val="single" w:color="auto" w:sz="4" w:space="0"/>
            </w:tcBorders>
            <w:vAlign w:val="center"/>
          </w:tcPr>
          <w:p w14:paraId="7CF6B120">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p>
        </w:tc>
        <w:tc>
          <w:tcPr>
            <w:tcW w:w="1260" w:type="dxa"/>
            <w:tcBorders>
              <w:top w:val="single" w:color="auto" w:sz="4" w:space="0"/>
              <w:left w:val="single" w:color="auto" w:sz="4" w:space="0"/>
              <w:bottom w:val="single" w:color="auto" w:sz="4" w:space="0"/>
              <w:right w:val="single" w:color="auto" w:sz="4" w:space="0"/>
            </w:tcBorders>
            <w:vAlign w:val="center"/>
          </w:tcPr>
          <w:p w14:paraId="664A945B">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p>
        </w:tc>
        <w:tc>
          <w:tcPr>
            <w:tcW w:w="1340" w:type="dxa"/>
            <w:tcBorders>
              <w:top w:val="single" w:color="auto" w:sz="4" w:space="0"/>
              <w:left w:val="single" w:color="auto" w:sz="4" w:space="0"/>
              <w:bottom w:val="single" w:color="auto" w:sz="4" w:space="0"/>
              <w:right w:val="single" w:color="auto" w:sz="4" w:space="0"/>
            </w:tcBorders>
            <w:vAlign w:val="center"/>
          </w:tcPr>
          <w:p w14:paraId="17492636">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p>
        </w:tc>
        <w:tc>
          <w:tcPr>
            <w:tcW w:w="1347" w:type="dxa"/>
            <w:tcBorders>
              <w:top w:val="single" w:color="auto" w:sz="4" w:space="0"/>
              <w:left w:val="single" w:color="auto" w:sz="4" w:space="0"/>
              <w:bottom w:val="single" w:color="auto" w:sz="4" w:space="0"/>
              <w:right w:val="single" w:color="auto" w:sz="4" w:space="0"/>
            </w:tcBorders>
            <w:vAlign w:val="center"/>
          </w:tcPr>
          <w:p w14:paraId="43D370C4">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p>
        </w:tc>
      </w:tr>
    </w:tbl>
    <w:p w14:paraId="6B9ADD1F">
      <w:pPr>
        <w:pStyle w:val="35"/>
        <w:ind w:firstLine="5760" w:firstLineChars="2400"/>
        <w:rPr>
          <w:rFonts w:hint="eastAsia" w:ascii="宋体" w:hAnsi="宋体" w:eastAsia="宋体" w:cs="宋体"/>
          <w:color w:val="auto"/>
          <w:highlight w:val="none"/>
        </w:rPr>
      </w:pPr>
    </w:p>
    <w:p w14:paraId="2407A932">
      <w:pPr>
        <w:pStyle w:val="35"/>
        <w:ind w:firstLine="5760" w:firstLineChars="2400"/>
        <w:rPr>
          <w:rFonts w:hint="eastAsia" w:ascii="宋体" w:hAnsi="宋体" w:eastAsia="宋体" w:cs="宋体"/>
          <w:color w:val="auto"/>
          <w:highlight w:val="none"/>
        </w:rPr>
      </w:pPr>
      <w:r>
        <w:rPr>
          <w:rFonts w:hint="eastAsia" w:ascii="宋体" w:hAnsi="宋体" w:eastAsia="宋体" w:cs="宋体"/>
          <w:color w:val="auto"/>
          <w:highlight w:val="none"/>
        </w:rPr>
        <w:t xml:space="preserve">供应商电子公章： </w:t>
      </w:r>
    </w:p>
    <w:p w14:paraId="21B218DF">
      <w:pPr>
        <w:pStyle w:val="35"/>
        <w:ind w:firstLine="480"/>
        <w:rPr>
          <w:rFonts w:hint="eastAsia" w:ascii="宋体" w:hAnsi="宋体" w:eastAsia="宋体" w:cs="宋体"/>
          <w:color w:val="auto"/>
          <w:highlight w:val="none"/>
        </w:rPr>
      </w:pPr>
      <w:r>
        <w:rPr>
          <w:rFonts w:hint="eastAsia" w:ascii="宋体" w:hAnsi="宋体" w:eastAsia="宋体" w:cs="宋体"/>
          <w:color w:val="auto"/>
          <w:highlight w:val="none"/>
        </w:rPr>
        <w:t xml:space="preserve">                                          </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 xml:space="preserve">   年  月  日</w:t>
      </w:r>
    </w:p>
    <w:p w14:paraId="7BA2EC1D">
      <w:pPr>
        <w:pStyle w:val="35"/>
        <w:ind w:firstLine="480"/>
        <w:rPr>
          <w:rFonts w:hint="eastAsia" w:ascii="宋体" w:hAnsi="宋体" w:eastAsia="宋体" w:cs="宋体"/>
          <w:color w:val="auto"/>
          <w:highlight w:val="none"/>
        </w:rPr>
      </w:pPr>
      <w:r>
        <w:rPr>
          <w:rFonts w:hint="eastAsia" w:ascii="宋体" w:hAnsi="宋体" w:eastAsia="宋体" w:cs="宋体"/>
          <w:color w:val="auto"/>
          <w:highlight w:val="none"/>
        </w:rPr>
        <w:t>备注：</w:t>
      </w:r>
    </w:p>
    <w:p w14:paraId="4208A30C">
      <w:pPr>
        <w:pStyle w:val="35"/>
        <w:ind w:firstLine="480"/>
        <w:rPr>
          <w:rFonts w:hint="eastAsia" w:ascii="宋体" w:hAnsi="宋体" w:eastAsia="宋体" w:cs="宋体"/>
          <w:color w:val="auto"/>
          <w:highlight w:val="none"/>
        </w:rPr>
      </w:pPr>
      <w:r>
        <w:rPr>
          <w:rFonts w:hint="eastAsia" w:ascii="宋体" w:hAnsi="宋体" w:eastAsia="宋体" w:cs="宋体"/>
          <w:color w:val="auto"/>
          <w:highlight w:val="none"/>
        </w:rPr>
        <w:t>表中所列内容为对应本项目需求的全部要求。如有漏项或缺项，投标人承担全部责任。</w:t>
      </w:r>
    </w:p>
    <w:p w14:paraId="64F726F2">
      <w:pPr>
        <w:pStyle w:val="35"/>
        <w:ind w:firstLine="482"/>
        <w:rPr>
          <w:rFonts w:hint="eastAsia" w:ascii="宋体" w:hAnsi="宋体" w:eastAsia="宋体" w:cs="宋体"/>
          <w:b/>
          <w:color w:val="auto"/>
          <w:highlight w:val="none"/>
        </w:rPr>
      </w:pPr>
      <w:r>
        <w:rPr>
          <w:rFonts w:hint="eastAsia" w:ascii="宋体" w:hAnsi="宋体" w:eastAsia="宋体" w:cs="宋体"/>
          <w:b/>
          <w:color w:val="auto"/>
          <w:highlight w:val="none"/>
        </w:rPr>
        <w:t xml:space="preserve"> </w:t>
      </w:r>
    </w:p>
    <w:p w14:paraId="60D1B7A9">
      <w:pPr>
        <w:pStyle w:val="35"/>
        <w:ind w:firstLine="482"/>
        <w:rPr>
          <w:rFonts w:hint="eastAsia" w:ascii="宋体" w:hAnsi="宋体" w:eastAsia="宋体" w:cs="宋体"/>
          <w:b/>
          <w:color w:val="auto"/>
          <w:highlight w:val="none"/>
        </w:rPr>
      </w:pPr>
      <w:r>
        <w:rPr>
          <w:rFonts w:hint="eastAsia" w:ascii="宋体" w:hAnsi="宋体" w:eastAsia="宋体" w:cs="宋体"/>
          <w:b/>
          <w:color w:val="auto"/>
          <w:highlight w:val="none"/>
        </w:rPr>
        <w:t xml:space="preserve"> </w:t>
      </w:r>
    </w:p>
    <w:p w14:paraId="453A7229">
      <w:pPr>
        <w:pStyle w:val="35"/>
        <w:ind w:firstLine="482"/>
        <w:rPr>
          <w:rFonts w:hint="eastAsia" w:ascii="宋体" w:hAnsi="宋体" w:eastAsia="宋体" w:cs="宋体"/>
          <w:b/>
          <w:color w:val="auto"/>
          <w:highlight w:val="none"/>
        </w:rPr>
      </w:pPr>
      <w:r>
        <w:rPr>
          <w:rFonts w:hint="eastAsia" w:ascii="宋体" w:hAnsi="宋体" w:eastAsia="宋体" w:cs="宋体"/>
          <w:b/>
          <w:color w:val="auto"/>
          <w:highlight w:val="none"/>
        </w:rPr>
        <w:t xml:space="preserve"> </w:t>
      </w:r>
    </w:p>
    <w:p w14:paraId="3309C30D">
      <w:pPr>
        <w:rPr>
          <w:rFonts w:hint="eastAsia" w:ascii="宋体" w:hAnsi="宋体" w:eastAsia="宋体" w:cs="宋体"/>
          <w:b/>
          <w:bCs/>
          <w:color w:val="auto"/>
          <w:highlight w:val="none"/>
        </w:rPr>
      </w:pPr>
      <w:r>
        <w:rPr>
          <w:rFonts w:hint="eastAsia" w:ascii="宋体" w:hAnsi="宋体" w:eastAsia="宋体" w:cs="宋体"/>
          <w:b/>
          <w:bCs/>
          <w:color w:val="auto"/>
          <w:highlight w:val="none"/>
        </w:rPr>
        <w:br w:type="page"/>
      </w:r>
    </w:p>
    <w:p w14:paraId="62CE47ED">
      <w:pPr>
        <w:pStyle w:val="35"/>
        <w:ind w:firstLine="482"/>
        <w:jc w:val="center"/>
        <w:rPr>
          <w:rFonts w:hint="eastAsia" w:ascii="宋体" w:hAnsi="宋体" w:eastAsia="宋体" w:cs="宋体"/>
          <w:b/>
          <w:bCs/>
          <w:color w:val="auto"/>
          <w:highlight w:val="none"/>
        </w:rPr>
      </w:pPr>
      <w:r>
        <w:rPr>
          <w:rFonts w:hint="eastAsia" w:ascii="宋体" w:hAnsi="宋体" w:eastAsia="宋体" w:cs="宋体"/>
          <w:b/>
          <w:bCs/>
          <w:color w:val="auto"/>
          <w:highlight w:val="none"/>
        </w:rPr>
        <w:t>格式8 技术参数响应表</w:t>
      </w:r>
    </w:p>
    <w:p w14:paraId="673203B9">
      <w:pPr>
        <w:pStyle w:val="35"/>
        <w:ind w:firstLine="480"/>
        <w:rPr>
          <w:rFonts w:hint="eastAsia" w:ascii="宋体" w:hAnsi="宋体" w:eastAsia="宋体" w:cs="宋体"/>
          <w:color w:val="auto"/>
          <w:highlight w:val="none"/>
        </w:rPr>
      </w:pPr>
      <w:r>
        <w:rPr>
          <w:rFonts w:hint="eastAsia" w:ascii="宋体" w:hAnsi="宋体" w:eastAsia="宋体" w:cs="宋体"/>
          <w:color w:val="auto"/>
          <w:highlight w:val="none"/>
        </w:rPr>
        <w:t xml:space="preserve"> </w:t>
      </w:r>
    </w:p>
    <w:tbl>
      <w:tblPr>
        <w:tblStyle w:val="27"/>
        <w:tblW w:w="90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14AD7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4937" w:type="dxa"/>
            <w:gridSpan w:val="3"/>
            <w:tcBorders>
              <w:top w:val="single" w:color="auto" w:sz="4" w:space="0"/>
              <w:left w:val="single" w:color="auto" w:sz="4" w:space="0"/>
              <w:bottom w:val="single" w:color="auto" w:sz="4" w:space="0"/>
              <w:right w:val="single" w:color="auto" w:sz="4" w:space="0"/>
            </w:tcBorders>
            <w:vAlign w:val="center"/>
          </w:tcPr>
          <w:p w14:paraId="71D0DDE9">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bCs/>
                <w:color w:val="auto"/>
                <w:highlight w:val="none"/>
              </w:rPr>
            </w:pPr>
            <w:r>
              <w:rPr>
                <w:rFonts w:hint="eastAsia" w:ascii="宋体" w:hAnsi="宋体" w:eastAsia="宋体" w:cs="宋体"/>
                <w:bCs/>
                <w:color w:val="auto"/>
                <w:highlight w:val="none"/>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33ED167D">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bCs/>
                <w:color w:val="auto"/>
                <w:highlight w:val="none"/>
              </w:rPr>
            </w:pPr>
            <w:r>
              <w:rPr>
                <w:rFonts w:hint="eastAsia" w:ascii="宋体" w:hAnsi="宋体" w:eastAsia="宋体" w:cs="宋体"/>
                <w:bCs/>
                <w:color w:val="auto"/>
                <w:highlight w:val="none"/>
              </w:rPr>
              <w:t>按投标人所投内容填写</w:t>
            </w:r>
          </w:p>
        </w:tc>
      </w:tr>
      <w:tr w14:paraId="3114F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724" w:type="dxa"/>
            <w:tcBorders>
              <w:top w:val="single" w:color="auto" w:sz="4" w:space="0"/>
              <w:left w:val="single" w:color="auto" w:sz="4" w:space="0"/>
              <w:bottom w:val="single" w:color="auto" w:sz="4" w:space="0"/>
              <w:right w:val="single" w:color="auto" w:sz="4" w:space="0"/>
            </w:tcBorders>
            <w:vAlign w:val="center"/>
          </w:tcPr>
          <w:p w14:paraId="6D3A23C6">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bCs/>
                <w:color w:val="auto"/>
                <w:highlight w:val="none"/>
              </w:rPr>
            </w:pPr>
            <w:r>
              <w:rPr>
                <w:rFonts w:hint="eastAsia" w:ascii="宋体" w:hAnsi="宋体" w:eastAsia="宋体" w:cs="宋体"/>
                <w:bCs/>
                <w:color w:val="auto"/>
                <w:highlight w:val="none"/>
              </w:rPr>
              <w:t>序号</w:t>
            </w:r>
          </w:p>
        </w:tc>
        <w:tc>
          <w:tcPr>
            <w:tcW w:w="723" w:type="dxa"/>
            <w:tcBorders>
              <w:top w:val="single" w:color="auto" w:sz="4" w:space="0"/>
              <w:left w:val="nil"/>
              <w:bottom w:val="single" w:color="auto" w:sz="4" w:space="0"/>
              <w:right w:val="single" w:color="auto" w:sz="4" w:space="0"/>
            </w:tcBorders>
            <w:vAlign w:val="center"/>
          </w:tcPr>
          <w:p w14:paraId="48696B46">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bCs/>
                <w:color w:val="auto"/>
                <w:highlight w:val="none"/>
              </w:rPr>
            </w:pPr>
            <w:r>
              <w:rPr>
                <w:rFonts w:hint="eastAsia" w:ascii="宋体" w:hAnsi="宋体" w:eastAsia="宋体" w:cs="宋体"/>
                <w:bCs/>
                <w:color w:val="auto"/>
                <w:highlight w:val="none"/>
              </w:rPr>
              <w:t>品名</w:t>
            </w:r>
          </w:p>
        </w:tc>
        <w:tc>
          <w:tcPr>
            <w:tcW w:w="3490" w:type="dxa"/>
            <w:tcBorders>
              <w:top w:val="single" w:color="auto" w:sz="4" w:space="0"/>
              <w:left w:val="nil"/>
              <w:bottom w:val="single" w:color="auto" w:sz="4" w:space="0"/>
              <w:right w:val="single" w:color="auto" w:sz="4" w:space="0"/>
            </w:tcBorders>
            <w:vAlign w:val="center"/>
          </w:tcPr>
          <w:p w14:paraId="6F063E00">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bCs/>
                <w:color w:val="auto"/>
                <w:highlight w:val="none"/>
              </w:rPr>
            </w:pPr>
            <w:r>
              <w:rPr>
                <w:rFonts w:hint="eastAsia" w:ascii="宋体" w:hAnsi="宋体" w:eastAsia="宋体" w:cs="宋体"/>
                <w:color w:val="auto"/>
                <w:highlight w:val="none"/>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195E22A4">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bCs/>
                <w:color w:val="auto"/>
                <w:highlight w:val="none"/>
              </w:rPr>
            </w:pPr>
            <w:r>
              <w:rPr>
                <w:rFonts w:hint="eastAsia" w:ascii="宋体" w:hAnsi="宋体" w:eastAsia="宋体" w:cs="宋体"/>
                <w:color w:val="auto"/>
                <w:highlight w:val="none"/>
              </w:rPr>
              <w:t>响应</w:t>
            </w:r>
          </w:p>
        </w:tc>
        <w:tc>
          <w:tcPr>
            <w:tcW w:w="1336" w:type="dxa"/>
            <w:tcBorders>
              <w:top w:val="single" w:color="auto" w:sz="4" w:space="0"/>
              <w:left w:val="nil"/>
              <w:bottom w:val="single" w:color="auto" w:sz="4" w:space="0"/>
              <w:right w:val="single" w:color="auto" w:sz="4" w:space="0"/>
            </w:tcBorders>
            <w:vAlign w:val="center"/>
          </w:tcPr>
          <w:p w14:paraId="23739672">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bCs/>
                <w:color w:val="auto"/>
                <w:highlight w:val="none"/>
              </w:rPr>
            </w:pPr>
            <w:r>
              <w:rPr>
                <w:rFonts w:hint="eastAsia" w:ascii="宋体" w:hAnsi="宋体" w:eastAsia="宋体" w:cs="宋体"/>
                <w:bCs/>
                <w:color w:val="auto"/>
                <w:highlight w:val="none"/>
              </w:rPr>
              <w:t>偏离说明</w:t>
            </w:r>
          </w:p>
        </w:tc>
      </w:tr>
      <w:tr w14:paraId="548B6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24" w:type="dxa"/>
            <w:tcBorders>
              <w:top w:val="single" w:color="auto" w:sz="4" w:space="0"/>
              <w:left w:val="single" w:color="auto" w:sz="4" w:space="0"/>
              <w:bottom w:val="single" w:color="auto" w:sz="4" w:space="0"/>
              <w:right w:val="single" w:color="auto" w:sz="4" w:space="0"/>
            </w:tcBorders>
            <w:vAlign w:val="center"/>
          </w:tcPr>
          <w:p w14:paraId="0E49B2AF">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r>
              <w:rPr>
                <w:rFonts w:hint="eastAsia" w:ascii="宋体" w:hAnsi="宋体" w:eastAsia="宋体" w:cs="宋体"/>
                <w:color w:val="auto"/>
                <w:highlight w:val="none"/>
              </w:rPr>
              <w:t>1</w:t>
            </w:r>
          </w:p>
        </w:tc>
        <w:tc>
          <w:tcPr>
            <w:tcW w:w="723" w:type="dxa"/>
            <w:tcBorders>
              <w:top w:val="single" w:color="auto" w:sz="4" w:space="0"/>
              <w:left w:val="nil"/>
              <w:bottom w:val="single" w:color="auto" w:sz="4" w:space="0"/>
              <w:right w:val="single" w:color="auto" w:sz="4" w:space="0"/>
            </w:tcBorders>
            <w:vAlign w:val="center"/>
          </w:tcPr>
          <w:p w14:paraId="598B9551">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p>
        </w:tc>
        <w:tc>
          <w:tcPr>
            <w:tcW w:w="3490" w:type="dxa"/>
            <w:tcBorders>
              <w:top w:val="single" w:color="auto" w:sz="4" w:space="0"/>
              <w:left w:val="nil"/>
              <w:bottom w:val="single" w:color="auto" w:sz="4" w:space="0"/>
              <w:right w:val="single" w:color="auto" w:sz="4" w:space="0"/>
            </w:tcBorders>
            <w:vAlign w:val="center"/>
          </w:tcPr>
          <w:p w14:paraId="6AEEA844">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p>
        </w:tc>
        <w:tc>
          <w:tcPr>
            <w:tcW w:w="2810" w:type="dxa"/>
            <w:tcBorders>
              <w:top w:val="single" w:color="auto" w:sz="4" w:space="0"/>
              <w:left w:val="nil"/>
              <w:bottom w:val="single" w:color="auto" w:sz="4" w:space="0"/>
              <w:right w:val="single" w:color="auto" w:sz="4" w:space="0"/>
            </w:tcBorders>
            <w:vAlign w:val="center"/>
          </w:tcPr>
          <w:p w14:paraId="1AF75882">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p>
        </w:tc>
        <w:tc>
          <w:tcPr>
            <w:tcW w:w="1336" w:type="dxa"/>
            <w:tcBorders>
              <w:top w:val="single" w:color="auto" w:sz="4" w:space="0"/>
              <w:left w:val="nil"/>
              <w:bottom w:val="single" w:color="auto" w:sz="4" w:space="0"/>
              <w:right w:val="single" w:color="auto" w:sz="4" w:space="0"/>
            </w:tcBorders>
            <w:vAlign w:val="center"/>
          </w:tcPr>
          <w:p w14:paraId="3E5A40E4">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p>
        </w:tc>
      </w:tr>
      <w:tr w14:paraId="111A8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24" w:type="dxa"/>
            <w:tcBorders>
              <w:top w:val="single" w:color="auto" w:sz="4" w:space="0"/>
              <w:left w:val="single" w:color="auto" w:sz="4" w:space="0"/>
              <w:bottom w:val="single" w:color="auto" w:sz="4" w:space="0"/>
              <w:right w:val="single" w:color="auto" w:sz="4" w:space="0"/>
            </w:tcBorders>
            <w:vAlign w:val="center"/>
          </w:tcPr>
          <w:p w14:paraId="17F31707">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r>
              <w:rPr>
                <w:rFonts w:hint="eastAsia" w:ascii="宋体" w:hAnsi="宋体" w:eastAsia="宋体" w:cs="宋体"/>
                <w:color w:val="auto"/>
                <w:highlight w:val="none"/>
              </w:rPr>
              <w:t>2</w:t>
            </w:r>
          </w:p>
        </w:tc>
        <w:tc>
          <w:tcPr>
            <w:tcW w:w="723" w:type="dxa"/>
            <w:tcBorders>
              <w:top w:val="single" w:color="auto" w:sz="4" w:space="0"/>
              <w:left w:val="nil"/>
              <w:bottom w:val="single" w:color="auto" w:sz="4" w:space="0"/>
              <w:right w:val="single" w:color="auto" w:sz="4" w:space="0"/>
            </w:tcBorders>
            <w:vAlign w:val="center"/>
          </w:tcPr>
          <w:p w14:paraId="1A146E41">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p>
        </w:tc>
        <w:tc>
          <w:tcPr>
            <w:tcW w:w="3490" w:type="dxa"/>
            <w:tcBorders>
              <w:top w:val="single" w:color="auto" w:sz="4" w:space="0"/>
              <w:left w:val="nil"/>
              <w:bottom w:val="single" w:color="auto" w:sz="4" w:space="0"/>
              <w:right w:val="single" w:color="auto" w:sz="4" w:space="0"/>
            </w:tcBorders>
            <w:vAlign w:val="center"/>
          </w:tcPr>
          <w:p w14:paraId="2C7F958D">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p>
        </w:tc>
        <w:tc>
          <w:tcPr>
            <w:tcW w:w="2810" w:type="dxa"/>
            <w:tcBorders>
              <w:top w:val="single" w:color="auto" w:sz="4" w:space="0"/>
              <w:left w:val="nil"/>
              <w:bottom w:val="single" w:color="auto" w:sz="4" w:space="0"/>
              <w:right w:val="single" w:color="auto" w:sz="4" w:space="0"/>
            </w:tcBorders>
            <w:vAlign w:val="center"/>
          </w:tcPr>
          <w:p w14:paraId="3249F54E">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p>
        </w:tc>
        <w:tc>
          <w:tcPr>
            <w:tcW w:w="1336" w:type="dxa"/>
            <w:tcBorders>
              <w:top w:val="single" w:color="auto" w:sz="4" w:space="0"/>
              <w:left w:val="nil"/>
              <w:bottom w:val="single" w:color="auto" w:sz="4" w:space="0"/>
              <w:right w:val="single" w:color="auto" w:sz="4" w:space="0"/>
            </w:tcBorders>
            <w:vAlign w:val="center"/>
          </w:tcPr>
          <w:p w14:paraId="44E85657">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p>
        </w:tc>
      </w:tr>
      <w:tr w14:paraId="18842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24" w:type="dxa"/>
            <w:tcBorders>
              <w:top w:val="single" w:color="auto" w:sz="4" w:space="0"/>
              <w:left w:val="single" w:color="auto" w:sz="4" w:space="0"/>
              <w:bottom w:val="single" w:color="auto" w:sz="4" w:space="0"/>
              <w:right w:val="single" w:color="auto" w:sz="4" w:space="0"/>
            </w:tcBorders>
            <w:vAlign w:val="center"/>
          </w:tcPr>
          <w:p w14:paraId="0BDB88D2">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p>
        </w:tc>
        <w:tc>
          <w:tcPr>
            <w:tcW w:w="723" w:type="dxa"/>
            <w:tcBorders>
              <w:top w:val="single" w:color="auto" w:sz="4" w:space="0"/>
              <w:left w:val="nil"/>
              <w:bottom w:val="single" w:color="auto" w:sz="4" w:space="0"/>
              <w:right w:val="single" w:color="auto" w:sz="4" w:space="0"/>
            </w:tcBorders>
            <w:vAlign w:val="center"/>
          </w:tcPr>
          <w:p w14:paraId="530FABB7">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p>
        </w:tc>
        <w:tc>
          <w:tcPr>
            <w:tcW w:w="3490" w:type="dxa"/>
            <w:tcBorders>
              <w:top w:val="single" w:color="auto" w:sz="4" w:space="0"/>
              <w:left w:val="nil"/>
              <w:bottom w:val="single" w:color="auto" w:sz="4" w:space="0"/>
              <w:right w:val="single" w:color="auto" w:sz="4" w:space="0"/>
            </w:tcBorders>
            <w:vAlign w:val="center"/>
          </w:tcPr>
          <w:p w14:paraId="5EB04F88">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p>
        </w:tc>
        <w:tc>
          <w:tcPr>
            <w:tcW w:w="2810" w:type="dxa"/>
            <w:tcBorders>
              <w:top w:val="single" w:color="auto" w:sz="4" w:space="0"/>
              <w:left w:val="nil"/>
              <w:bottom w:val="single" w:color="auto" w:sz="4" w:space="0"/>
              <w:right w:val="single" w:color="auto" w:sz="4" w:space="0"/>
            </w:tcBorders>
            <w:vAlign w:val="center"/>
          </w:tcPr>
          <w:p w14:paraId="19AFC969">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p>
        </w:tc>
        <w:tc>
          <w:tcPr>
            <w:tcW w:w="1336" w:type="dxa"/>
            <w:tcBorders>
              <w:top w:val="single" w:color="auto" w:sz="4" w:space="0"/>
              <w:left w:val="nil"/>
              <w:bottom w:val="single" w:color="auto" w:sz="4" w:space="0"/>
              <w:right w:val="single" w:color="auto" w:sz="4" w:space="0"/>
            </w:tcBorders>
            <w:vAlign w:val="center"/>
          </w:tcPr>
          <w:p w14:paraId="2A974D3F">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p>
        </w:tc>
      </w:tr>
      <w:tr w14:paraId="4B541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24" w:type="dxa"/>
            <w:tcBorders>
              <w:top w:val="single" w:color="auto" w:sz="4" w:space="0"/>
              <w:left w:val="single" w:color="auto" w:sz="4" w:space="0"/>
              <w:bottom w:val="single" w:color="auto" w:sz="4" w:space="0"/>
              <w:right w:val="single" w:color="auto" w:sz="4" w:space="0"/>
            </w:tcBorders>
            <w:vAlign w:val="center"/>
          </w:tcPr>
          <w:p w14:paraId="61B95F16">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p>
        </w:tc>
        <w:tc>
          <w:tcPr>
            <w:tcW w:w="723" w:type="dxa"/>
            <w:tcBorders>
              <w:top w:val="single" w:color="auto" w:sz="4" w:space="0"/>
              <w:left w:val="nil"/>
              <w:bottom w:val="single" w:color="auto" w:sz="4" w:space="0"/>
              <w:right w:val="single" w:color="auto" w:sz="4" w:space="0"/>
            </w:tcBorders>
            <w:vAlign w:val="center"/>
          </w:tcPr>
          <w:p w14:paraId="781A4CD2">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p>
        </w:tc>
        <w:tc>
          <w:tcPr>
            <w:tcW w:w="3490" w:type="dxa"/>
            <w:tcBorders>
              <w:top w:val="single" w:color="auto" w:sz="4" w:space="0"/>
              <w:left w:val="nil"/>
              <w:bottom w:val="single" w:color="auto" w:sz="4" w:space="0"/>
              <w:right w:val="single" w:color="auto" w:sz="4" w:space="0"/>
            </w:tcBorders>
            <w:vAlign w:val="center"/>
          </w:tcPr>
          <w:p w14:paraId="796896A1">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p>
        </w:tc>
        <w:tc>
          <w:tcPr>
            <w:tcW w:w="2810" w:type="dxa"/>
            <w:tcBorders>
              <w:top w:val="single" w:color="auto" w:sz="4" w:space="0"/>
              <w:left w:val="nil"/>
              <w:bottom w:val="single" w:color="auto" w:sz="4" w:space="0"/>
              <w:right w:val="single" w:color="auto" w:sz="4" w:space="0"/>
            </w:tcBorders>
            <w:vAlign w:val="center"/>
          </w:tcPr>
          <w:p w14:paraId="13584BE1">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p>
        </w:tc>
        <w:tc>
          <w:tcPr>
            <w:tcW w:w="1336" w:type="dxa"/>
            <w:tcBorders>
              <w:top w:val="single" w:color="auto" w:sz="4" w:space="0"/>
              <w:left w:val="nil"/>
              <w:bottom w:val="single" w:color="auto" w:sz="4" w:space="0"/>
              <w:right w:val="single" w:color="auto" w:sz="4" w:space="0"/>
            </w:tcBorders>
            <w:vAlign w:val="center"/>
          </w:tcPr>
          <w:p w14:paraId="23A7CA77">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p>
        </w:tc>
      </w:tr>
      <w:tr w14:paraId="4388C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24" w:type="dxa"/>
            <w:tcBorders>
              <w:top w:val="single" w:color="auto" w:sz="4" w:space="0"/>
              <w:left w:val="single" w:color="auto" w:sz="4" w:space="0"/>
              <w:bottom w:val="single" w:color="auto" w:sz="4" w:space="0"/>
              <w:right w:val="single" w:color="auto" w:sz="4" w:space="0"/>
            </w:tcBorders>
            <w:vAlign w:val="center"/>
          </w:tcPr>
          <w:p w14:paraId="2F66A3BF">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p>
        </w:tc>
        <w:tc>
          <w:tcPr>
            <w:tcW w:w="723" w:type="dxa"/>
            <w:tcBorders>
              <w:top w:val="single" w:color="auto" w:sz="4" w:space="0"/>
              <w:left w:val="nil"/>
              <w:bottom w:val="single" w:color="auto" w:sz="4" w:space="0"/>
              <w:right w:val="single" w:color="auto" w:sz="4" w:space="0"/>
            </w:tcBorders>
            <w:vAlign w:val="center"/>
          </w:tcPr>
          <w:p w14:paraId="4D917760">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p>
        </w:tc>
        <w:tc>
          <w:tcPr>
            <w:tcW w:w="3490" w:type="dxa"/>
            <w:tcBorders>
              <w:top w:val="single" w:color="auto" w:sz="4" w:space="0"/>
              <w:left w:val="nil"/>
              <w:bottom w:val="single" w:color="auto" w:sz="4" w:space="0"/>
              <w:right w:val="single" w:color="auto" w:sz="4" w:space="0"/>
            </w:tcBorders>
            <w:vAlign w:val="center"/>
          </w:tcPr>
          <w:p w14:paraId="0BCDD289">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p>
        </w:tc>
        <w:tc>
          <w:tcPr>
            <w:tcW w:w="2810" w:type="dxa"/>
            <w:tcBorders>
              <w:top w:val="single" w:color="auto" w:sz="4" w:space="0"/>
              <w:left w:val="nil"/>
              <w:bottom w:val="single" w:color="auto" w:sz="4" w:space="0"/>
              <w:right w:val="single" w:color="auto" w:sz="4" w:space="0"/>
            </w:tcBorders>
            <w:vAlign w:val="center"/>
          </w:tcPr>
          <w:p w14:paraId="53DD1243">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p>
        </w:tc>
        <w:tc>
          <w:tcPr>
            <w:tcW w:w="1336" w:type="dxa"/>
            <w:tcBorders>
              <w:top w:val="single" w:color="auto" w:sz="4" w:space="0"/>
              <w:left w:val="nil"/>
              <w:bottom w:val="single" w:color="auto" w:sz="4" w:space="0"/>
              <w:right w:val="single" w:color="auto" w:sz="4" w:space="0"/>
            </w:tcBorders>
            <w:vAlign w:val="center"/>
          </w:tcPr>
          <w:p w14:paraId="6049DB7B">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p>
        </w:tc>
      </w:tr>
      <w:tr w14:paraId="6DD9A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24" w:type="dxa"/>
            <w:tcBorders>
              <w:top w:val="single" w:color="auto" w:sz="4" w:space="0"/>
              <w:left w:val="single" w:color="auto" w:sz="4" w:space="0"/>
              <w:bottom w:val="single" w:color="auto" w:sz="4" w:space="0"/>
              <w:right w:val="single" w:color="auto" w:sz="4" w:space="0"/>
            </w:tcBorders>
            <w:vAlign w:val="center"/>
          </w:tcPr>
          <w:p w14:paraId="4D83A251">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r>
              <w:rPr>
                <w:rFonts w:hint="eastAsia" w:ascii="宋体" w:hAnsi="宋体" w:eastAsia="宋体" w:cs="宋体"/>
                <w:color w:val="auto"/>
                <w:highlight w:val="none"/>
              </w:rPr>
              <w:t>....</w:t>
            </w:r>
          </w:p>
        </w:tc>
        <w:tc>
          <w:tcPr>
            <w:tcW w:w="723" w:type="dxa"/>
            <w:tcBorders>
              <w:top w:val="single" w:color="auto" w:sz="4" w:space="0"/>
              <w:left w:val="nil"/>
              <w:bottom w:val="single" w:color="auto" w:sz="4" w:space="0"/>
              <w:right w:val="single" w:color="auto" w:sz="4" w:space="0"/>
            </w:tcBorders>
            <w:vAlign w:val="center"/>
          </w:tcPr>
          <w:p w14:paraId="27CE88A0">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p>
        </w:tc>
        <w:tc>
          <w:tcPr>
            <w:tcW w:w="3490" w:type="dxa"/>
            <w:tcBorders>
              <w:top w:val="single" w:color="auto" w:sz="4" w:space="0"/>
              <w:left w:val="nil"/>
              <w:bottom w:val="single" w:color="auto" w:sz="4" w:space="0"/>
              <w:right w:val="single" w:color="auto" w:sz="4" w:space="0"/>
            </w:tcBorders>
            <w:vAlign w:val="center"/>
          </w:tcPr>
          <w:p w14:paraId="7480D148">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r>
              <w:rPr>
                <w:rFonts w:hint="eastAsia" w:ascii="宋体" w:hAnsi="宋体" w:eastAsia="宋体" w:cs="宋体"/>
                <w:color w:val="auto"/>
                <w:highlight w:val="none"/>
              </w:rPr>
              <w:t>.....</w:t>
            </w:r>
          </w:p>
        </w:tc>
        <w:tc>
          <w:tcPr>
            <w:tcW w:w="2810" w:type="dxa"/>
            <w:tcBorders>
              <w:top w:val="single" w:color="auto" w:sz="4" w:space="0"/>
              <w:left w:val="nil"/>
              <w:bottom w:val="single" w:color="auto" w:sz="4" w:space="0"/>
              <w:right w:val="single" w:color="auto" w:sz="4" w:space="0"/>
            </w:tcBorders>
            <w:vAlign w:val="center"/>
          </w:tcPr>
          <w:p w14:paraId="4809B9A0">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p>
        </w:tc>
        <w:tc>
          <w:tcPr>
            <w:tcW w:w="1336" w:type="dxa"/>
            <w:tcBorders>
              <w:top w:val="single" w:color="auto" w:sz="4" w:space="0"/>
              <w:left w:val="nil"/>
              <w:bottom w:val="single" w:color="auto" w:sz="4" w:space="0"/>
              <w:right w:val="single" w:color="auto" w:sz="4" w:space="0"/>
            </w:tcBorders>
            <w:vAlign w:val="center"/>
          </w:tcPr>
          <w:p w14:paraId="2A6AEF0C">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auto"/>
                <w:highlight w:val="none"/>
              </w:rPr>
            </w:pPr>
          </w:p>
        </w:tc>
      </w:tr>
    </w:tbl>
    <w:p w14:paraId="63DC04BA">
      <w:pPr>
        <w:pStyle w:val="35"/>
        <w:ind w:firstLine="480"/>
        <w:rPr>
          <w:rFonts w:hint="eastAsia" w:ascii="宋体" w:hAnsi="宋体" w:eastAsia="宋体" w:cs="宋体"/>
          <w:color w:val="auto"/>
          <w:highlight w:val="none"/>
        </w:rPr>
      </w:pPr>
      <w:r>
        <w:rPr>
          <w:rFonts w:hint="eastAsia" w:ascii="宋体" w:hAnsi="宋体" w:eastAsia="宋体" w:cs="宋体"/>
          <w:color w:val="auto"/>
          <w:highlight w:val="none"/>
        </w:rPr>
        <w:t xml:space="preserve"> </w:t>
      </w:r>
    </w:p>
    <w:p w14:paraId="25E68412">
      <w:pPr>
        <w:pStyle w:val="35"/>
        <w:ind w:firstLine="480"/>
        <w:rPr>
          <w:rFonts w:hint="eastAsia" w:ascii="宋体" w:hAnsi="宋体" w:eastAsia="宋体" w:cs="宋体"/>
          <w:color w:val="auto"/>
          <w:highlight w:val="none"/>
        </w:rPr>
      </w:pPr>
      <w:r>
        <w:rPr>
          <w:rFonts w:hint="eastAsia" w:ascii="宋体" w:hAnsi="宋体" w:eastAsia="宋体" w:cs="宋体"/>
          <w:color w:val="auto"/>
          <w:highlight w:val="none"/>
        </w:rPr>
        <w:t>(可根据需求自行更改)</w:t>
      </w:r>
    </w:p>
    <w:p w14:paraId="15F2B307">
      <w:pPr>
        <w:pStyle w:val="35"/>
        <w:ind w:firstLine="480"/>
        <w:rPr>
          <w:rFonts w:hint="eastAsia" w:ascii="宋体" w:hAnsi="宋体" w:eastAsia="宋体" w:cs="宋体"/>
          <w:color w:val="auto"/>
          <w:highlight w:val="none"/>
        </w:rPr>
      </w:pPr>
      <w:r>
        <w:rPr>
          <w:rFonts w:hint="eastAsia" w:ascii="宋体" w:hAnsi="宋体" w:eastAsia="宋体" w:cs="宋体"/>
          <w:color w:val="auto"/>
          <w:highlight w:val="none"/>
        </w:rPr>
        <w:t xml:space="preserve"> </w:t>
      </w:r>
    </w:p>
    <w:p w14:paraId="4BC4FE64">
      <w:pPr>
        <w:pStyle w:val="35"/>
        <w:ind w:firstLine="5520" w:firstLineChars="2300"/>
        <w:rPr>
          <w:rFonts w:hint="eastAsia" w:ascii="宋体" w:hAnsi="宋体" w:eastAsia="宋体" w:cs="宋体"/>
          <w:color w:val="auto"/>
          <w:highlight w:val="none"/>
        </w:rPr>
      </w:pPr>
      <w:r>
        <w:rPr>
          <w:rFonts w:hint="eastAsia" w:ascii="宋体" w:hAnsi="宋体" w:eastAsia="宋体" w:cs="宋体"/>
          <w:color w:val="auto"/>
          <w:highlight w:val="none"/>
        </w:rPr>
        <w:t xml:space="preserve">供应商电子公章： </w:t>
      </w:r>
    </w:p>
    <w:p w14:paraId="09B609C4">
      <w:pPr>
        <w:pStyle w:val="35"/>
        <w:ind w:firstLine="5760" w:firstLineChars="2400"/>
        <w:rPr>
          <w:rFonts w:hint="eastAsia" w:ascii="宋体" w:hAnsi="宋体" w:eastAsia="宋体" w:cs="宋体"/>
          <w:color w:val="auto"/>
          <w:highlight w:val="none"/>
        </w:rPr>
      </w:pPr>
      <w:r>
        <w:rPr>
          <w:rFonts w:hint="eastAsia" w:ascii="宋体" w:hAnsi="宋体" w:eastAsia="宋体" w:cs="宋体"/>
          <w:color w:val="auto"/>
          <w:highlight w:val="none"/>
        </w:rPr>
        <w:t xml:space="preserve">  年  月  日</w:t>
      </w:r>
    </w:p>
    <w:p w14:paraId="0BD9BEE6">
      <w:pPr>
        <w:pStyle w:val="35"/>
        <w:ind w:firstLine="482"/>
        <w:rPr>
          <w:rFonts w:hint="eastAsia" w:ascii="宋体" w:hAnsi="宋体" w:eastAsia="宋体" w:cs="宋体"/>
          <w:b/>
          <w:color w:val="auto"/>
          <w:highlight w:val="none"/>
        </w:rPr>
      </w:pPr>
      <w:r>
        <w:rPr>
          <w:rFonts w:hint="eastAsia" w:ascii="宋体" w:hAnsi="宋体" w:eastAsia="宋体" w:cs="宋体"/>
          <w:b/>
          <w:color w:val="auto"/>
          <w:highlight w:val="none"/>
        </w:rPr>
        <w:t xml:space="preserve"> </w:t>
      </w:r>
    </w:p>
    <w:p w14:paraId="792FD9DC">
      <w:pPr>
        <w:pStyle w:val="35"/>
        <w:ind w:firstLine="482"/>
        <w:rPr>
          <w:rFonts w:hint="eastAsia" w:ascii="宋体" w:hAnsi="宋体" w:eastAsia="宋体" w:cs="宋体"/>
          <w:b/>
          <w:color w:val="auto"/>
          <w:highlight w:val="none"/>
        </w:rPr>
      </w:pPr>
      <w:r>
        <w:rPr>
          <w:rFonts w:hint="eastAsia" w:ascii="宋体" w:hAnsi="宋体" w:eastAsia="宋体" w:cs="宋体"/>
          <w:b/>
          <w:color w:val="auto"/>
          <w:highlight w:val="none"/>
        </w:rPr>
        <w:t xml:space="preserve"> </w:t>
      </w:r>
    </w:p>
    <w:p w14:paraId="156B157E">
      <w:pPr>
        <w:pStyle w:val="35"/>
        <w:ind w:firstLine="482"/>
        <w:rPr>
          <w:rFonts w:hint="eastAsia" w:ascii="宋体" w:hAnsi="宋体" w:eastAsia="宋体" w:cs="宋体"/>
          <w:b/>
          <w:color w:val="auto"/>
          <w:highlight w:val="none"/>
        </w:rPr>
      </w:pPr>
      <w:r>
        <w:rPr>
          <w:rFonts w:hint="eastAsia" w:ascii="宋体" w:hAnsi="宋体" w:eastAsia="宋体" w:cs="宋体"/>
          <w:b/>
          <w:color w:val="auto"/>
          <w:highlight w:val="none"/>
        </w:rPr>
        <w:t xml:space="preserve"> </w:t>
      </w:r>
    </w:p>
    <w:p w14:paraId="0392F8B1">
      <w:pPr>
        <w:pStyle w:val="35"/>
        <w:ind w:firstLine="482"/>
        <w:rPr>
          <w:rFonts w:hint="eastAsia" w:ascii="宋体" w:hAnsi="宋体" w:eastAsia="宋体" w:cs="宋体"/>
          <w:b/>
          <w:color w:val="auto"/>
          <w:highlight w:val="none"/>
        </w:rPr>
      </w:pPr>
      <w:r>
        <w:rPr>
          <w:rFonts w:hint="eastAsia" w:ascii="宋体" w:hAnsi="宋体" w:eastAsia="宋体" w:cs="宋体"/>
          <w:b/>
          <w:color w:val="auto"/>
          <w:highlight w:val="none"/>
        </w:rPr>
        <w:t xml:space="preserve"> </w:t>
      </w:r>
    </w:p>
    <w:p w14:paraId="391A8A3C">
      <w:pPr>
        <w:pStyle w:val="35"/>
        <w:ind w:firstLine="480"/>
        <w:jc w:val="center"/>
        <w:rPr>
          <w:rFonts w:hint="eastAsia" w:ascii="宋体" w:hAnsi="宋体" w:eastAsia="宋体" w:cs="宋体"/>
          <w:color w:val="auto"/>
          <w:highlight w:val="none"/>
        </w:rPr>
      </w:pPr>
      <w:r>
        <w:rPr>
          <w:rFonts w:hint="eastAsia" w:ascii="宋体" w:hAnsi="宋体" w:eastAsia="宋体" w:cs="宋体"/>
          <w:color w:val="auto"/>
          <w:highlight w:val="none"/>
        </w:rPr>
        <w:br w:type="page"/>
      </w:r>
      <w:r>
        <w:rPr>
          <w:rFonts w:hint="eastAsia" w:ascii="宋体" w:hAnsi="宋体" w:eastAsia="宋体" w:cs="宋体"/>
          <w:b/>
          <w:bCs/>
          <w:color w:val="auto"/>
          <w:highlight w:val="none"/>
        </w:rPr>
        <w:t>格式9 服务方案及服务承诺</w:t>
      </w:r>
    </w:p>
    <w:p w14:paraId="58C5124A">
      <w:pPr>
        <w:pStyle w:val="35"/>
        <w:ind w:firstLine="480"/>
        <w:rPr>
          <w:rFonts w:hint="eastAsia" w:ascii="宋体" w:hAnsi="宋体" w:eastAsia="宋体" w:cs="宋体"/>
          <w:color w:val="auto"/>
          <w:highlight w:val="none"/>
        </w:rPr>
      </w:pPr>
      <w:r>
        <w:rPr>
          <w:rFonts w:hint="eastAsia" w:ascii="宋体" w:hAnsi="宋体" w:eastAsia="宋体" w:cs="宋体"/>
          <w:color w:val="auto"/>
          <w:highlight w:val="none"/>
        </w:rPr>
        <w:t xml:space="preserve"> </w:t>
      </w:r>
    </w:p>
    <w:p w14:paraId="132E886F">
      <w:pPr>
        <w:pStyle w:val="35"/>
        <w:ind w:firstLine="480"/>
        <w:rPr>
          <w:rFonts w:hint="eastAsia" w:ascii="宋体" w:hAnsi="宋体" w:eastAsia="宋体" w:cs="宋体"/>
          <w:color w:val="auto"/>
          <w:highlight w:val="none"/>
        </w:rPr>
      </w:pPr>
      <w:r>
        <w:rPr>
          <w:rFonts w:hint="eastAsia" w:ascii="宋体" w:hAnsi="宋体" w:eastAsia="宋体" w:cs="宋体"/>
          <w:color w:val="auto"/>
          <w:highlight w:val="none"/>
        </w:rPr>
        <w:t xml:space="preserve"> </w:t>
      </w:r>
    </w:p>
    <w:p w14:paraId="3E44FD2B">
      <w:pPr>
        <w:pStyle w:val="35"/>
        <w:ind w:firstLine="480"/>
        <w:rPr>
          <w:rFonts w:hint="eastAsia" w:ascii="宋体" w:hAnsi="宋体" w:eastAsia="宋体" w:cs="宋体"/>
          <w:color w:val="auto"/>
          <w:highlight w:val="none"/>
        </w:rPr>
      </w:pPr>
      <w:r>
        <w:rPr>
          <w:rFonts w:hint="eastAsia" w:ascii="宋体" w:hAnsi="宋体" w:eastAsia="宋体" w:cs="宋体"/>
          <w:color w:val="auto"/>
          <w:highlight w:val="none"/>
        </w:rPr>
        <w:t xml:space="preserve"> </w:t>
      </w:r>
    </w:p>
    <w:p w14:paraId="0639D79D">
      <w:pPr>
        <w:pStyle w:val="35"/>
        <w:ind w:firstLine="480"/>
        <w:rPr>
          <w:rFonts w:hint="eastAsia" w:ascii="宋体" w:hAnsi="宋体" w:eastAsia="宋体" w:cs="宋体"/>
          <w:color w:val="auto"/>
          <w:highlight w:val="none"/>
        </w:rPr>
      </w:pPr>
      <w:r>
        <w:rPr>
          <w:rFonts w:hint="eastAsia" w:ascii="宋体" w:hAnsi="宋体" w:eastAsia="宋体" w:cs="宋体"/>
          <w:color w:val="auto"/>
          <w:highlight w:val="none"/>
        </w:rPr>
        <w:t xml:space="preserve"> </w:t>
      </w:r>
    </w:p>
    <w:p w14:paraId="32C15AA8">
      <w:pPr>
        <w:pStyle w:val="35"/>
        <w:ind w:firstLine="480"/>
        <w:rPr>
          <w:rFonts w:hint="eastAsia" w:ascii="宋体" w:hAnsi="宋体" w:eastAsia="宋体" w:cs="宋体"/>
          <w:color w:val="auto"/>
          <w:highlight w:val="none"/>
        </w:rPr>
      </w:pPr>
      <w:r>
        <w:rPr>
          <w:rFonts w:hint="eastAsia" w:ascii="宋体" w:hAnsi="宋体" w:eastAsia="宋体" w:cs="宋体"/>
          <w:color w:val="auto"/>
          <w:highlight w:val="none"/>
        </w:rPr>
        <w:t xml:space="preserve"> </w:t>
      </w:r>
    </w:p>
    <w:p w14:paraId="4BB900AA">
      <w:pPr>
        <w:pStyle w:val="35"/>
        <w:ind w:firstLine="480"/>
        <w:rPr>
          <w:rFonts w:hint="eastAsia" w:ascii="宋体" w:hAnsi="宋体" w:eastAsia="宋体" w:cs="宋体"/>
          <w:color w:val="auto"/>
          <w:highlight w:val="none"/>
        </w:rPr>
      </w:pPr>
      <w:r>
        <w:rPr>
          <w:rFonts w:hint="eastAsia" w:ascii="宋体" w:hAnsi="宋体" w:eastAsia="宋体" w:cs="宋体"/>
          <w:color w:val="auto"/>
          <w:highlight w:val="none"/>
        </w:rPr>
        <w:t xml:space="preserve"> </w:t>
      </w:r>
    </w:p>
    <w:p w14:paraId="665300BC">
      <w:pPr>
        <w:pStyle w:val="35"/>
        <w:ind w:firstLine="480"/>
        <w:rPr>
          <w:rFonts w:hint="eastAsia" w:ascii="宋体" w:hAnsi="宋体" w:eastAsia="宋体" w:cs="宋体"/>
          <w:color w:val="auto"/>
          <w:highlight w:val="none"/>
        </w:rPr>
      </w:pPr>
      <w:r>
        <w:rPr>
          <w:rFonts w:hint="eastAsia" w:ascii="宋体" w:hAnsi="宋体" w:eastAsia="宋体" w:cs="宋体"/>
          <w:color w:val="auto"/>
          <w:highlight w:val="none"/>
        </w:rPr>
        <w:t xml:space="preserve"> </w:t>
      </w:r>
    </w:p>
    <w:p w14:paraId="68758710">
      <w:pPr>
        <w:pStyle w:val="35"/>
        <w:ind w:firstLine="480"/>
        <w:rPr>
          <w:rFonts w:hint="eastAsia" w:ascii="宋体" w:hAnsi="宋体" w:eastAsia="宋体" w:cs="宋体"/>
          <w:color w:val="auto"/>
          <w:highlight w:val="none"/>
        </w:rPr>
      </w:pPr>
      <w:r>
        <w:rPr>
          <w:rFonts w:hint="eastAsia" w:ascii="宋体" w:hAnsi="宋体" w:eastAsia="宋体" w:cs="宋体"/>
          <w:color w:val="auto"/>
          <w:highlight w:val="none"/>
        </w:rPr>
        <w:t xml:space="preserve"> </w:t>
      </w:r>
    </w:p>
    <w:p w14:paraId="59F546CD">
      <w:pPr>
        <w:pStyle w:val="35"/>
        <w:ind w:firstLine="480"/>
        <w:rPr>
          <w:rFonts w:hint="eastAsia" w:ascii="宋体" w:hAnsi="宋体" w:eastAsia="宋体" w:cs="宋体"/>
          <w:color w:val="auto"/>
          <w:highlight w:val="none"/>
        </w:rPr>
      </w:pPr>
      <w:r>
        <w:rPr>
          <w:rFonts w:hint="eastAsia" w:ascii="宋体" w:hAnsi="宋体" w:eastAsia="宋体" w:cs="宋体"/>
          <w:color w:val="auto"/>
          <w:highlight w:val="none"/>
        </w:rPr>
        <w:t xml:space="preserve"> </w:t>
      </w:r>
    </w:p>
    <w:p w14:paraId="7DCC8100">
      <w:pPr>
        <w:pStyle w:val="35"/>
        <w:ind w:firstLine="5280" w:firstLineChars="2200"/>
        <w:rPr>
          <w:rFonts w:hint="eastAsia" w:ascii="宋体" w:hAnsi="宋体" w:eastAsia="宋体" w:cs="宋体"/>
          <w:color w:val="auto"/>
          <w:highlight w:val="none"/>
        </w:rPr>
      </w:pPr>
      <w:r>
        <w:rPr>
          <w:rFonts w:hint="eastAsia" w:ascii="宋体" w:hAnsi="宋体" w:eastAsia="宋体" w:cs="宋体"/>
          <w:color w:val="auto"/>
          <w:highlight w:val="none"/>
        </w:rPr>
        <w:t xml:space="preserve">供应商电子公章： </w:t>
      </w:r>
    </w:p>
    <w:p w14:paraId="0D5143E7">
      <w:pPr>
        <w:pStyle w:val="35"/>
        <w:ind w:firstLine="5520" w:firstLineChars="2300"/>
        <w:rPr>
          <w:rFonts w:hint="eastAsia" w:ascii="宋体" w:hAnsi="宋体" w:eastAsia="宋体" w:cs="宋体"/>
          <w:color w:val="auto"/>
          <w:highlight w:val="none"/>
        </w:rPr>
      </w:pPr>
      <w:r>
        <w:rPr>
          <w:rFonts w:hint="eastAsia" w:ascii="宋体" w:hAnsi="宋体" w:eastAsia="宋体" w:cs="宋体"/>
          <w:color w:val="auto"/>
          <w:highlight w:val="none"/>
        </w:rPr>
        <w:t xml:space="preserve">  年   月    日</w:t>
      </w:r>
    </w:p>
    <w:p w14:paraId="3F234834">
      <w:pPr>
        <w:pStyle w:val="35"/>
        <w:ind w:firstLine="482"/>
        <w:rPr>
          <w:rFonts w:hint="eastAsia" w:ascii="宋体" w:hAnsi="宋体" w:eastAsia="宋体" w:cs="宋体"/>
          <w:b/>
          <w:bCs/>
          <w:color w:val="auto"/>
          <w:highlight w:val="none"/>
        </w:rPr>
      </w:pPr>
      <w:r>
        <w:rPr>
          <w:rFonts w:hint="eastAsia" w:ascii="宋体" w:hAnsi="宋体" w:eastAsia="宋体" w:cs="宋体"/>
          <w:b/>
          <w:bCs/>
          <w:color w:val="auto"/>
          <w:highlight w:val="none"/>
        </w:rPr>
        <w:br w:type="page"/>
      </w:r>
    </w:p>
    <w:p w14:paraId="2EC09934">
      <w:pPr>
        <w:pStyle w:val="35"/>
        <w:ind w:firstLine="482"/>
        <w:jc w:val="center"/>
        <w:rPr>
          <w:rFonts w:hint="eastAsia" w:ascii="宋体" w:hAnsi="宋体" w:eastAsia="宋体" w:cs="宋体"/>
          <w:b/>
          <w:bCs/>
          <w:color w:val="auto"/>
          <w:highlight w:val="none"/>
        </w:rPr>
      </w:pPr>
      <w:r>
        <w:rPr>
          <w:rFonts w:hint="eastAsia" w:ascii="宋体" w:hAnsi="宋体" w:eastAsia="宋体" w:cs="宋体"/>
          <w:b/>
          <w:bCs/>
          <w:color w:val="auto"/>
          <w:highlight w:val="none"/>
        </w:rPr>
        <w:t>格式10 合格供应商的声明函和承诺书</w:t>
      </w:r>
    </w:p>
    <w:p w14:paraId="3CB398C0">
      <w:pPr>
        <w:pStyle w:val="35"/>
        <w:ind w:firstLine="480"/>
        <w:rPr>
          <w:rFonts w:hint="eastAsia" w:ascii="宋体" w:hAnsi="宋体" w:eastAsia="宋体" w:cs="宋体"/>
          <w:color w:val="auto"/>
          <w:highlight w:val="none"/>
        </w:rPr>
      </w:pPr>
      <w:r>
        <w:rPr>
          <w:rFonts w:hint="eastAsia" w:ascii="宋体" w:hAnsi="宋体" w:eastAsia="宋体" w:cs="宋体"/>
          <w:color w:val="auto"/>
          <w:highlight w:val="none"/>
        </w:rPr>
        <w:t xml:space="preserve"> </w:t>
      </w:r>
    </w:p>
    <w:p w14:paraId="70915900">
      <w:pPr>
        <w:pStyle w:val="35"/>
        <w:ind w:firstLine="482"/>
        <w:rPr>
          <w:rFonts w:hint="eastAsia" w:ascii="宋体" w:hAnsi="宋体" w:eastAsia="宋体" w:cs="宋体"/>
          <w:b/>
          <w:bCs/>
          <w:color w:val="auto"/>
          <w:highlight w:val="none"/>
        </w:rPr>
      </w:pPr>
      <w:r>
        <w:rPr>
          <w:rFonts w:hint="eastAsia" w:ascii="宋体" w:hAnsi="宋体" w:eastAsia="宋体" w:cs="宋体"/>
          <w:b/>
          <w:bCs/>
          <w:color w:val="auto"/>
          <w:highlight w:val="none"/>
        </w:rPr>
        <w:t xml:space="preserve"> </w:t>
      </w:r>
    </w:p>
    <w:p w14:paraId="6E014934">
      <w:pPr>
        <w:pStyle w:val="35"/>
        <w:ind w:firstLine="480"/>
        <w:rPr>
          <w:rFonts w:hint="eastAsia" w:ascii="宋体" w:hAnsi="宋体" w:eastAsia="宋体" w:cs="宋体"/>
          <w:color w:val="auto"/>
          <w:highlight w:val="none"/>
        </w:rPr>
      </w:pPr>
      <w:r>
        <w:rPr>
          <w:rFonts w:hint="eastAsia" w:ascii="宋体" w:hAnsi="宋体" w:eastAsia="宋体" w:cs="宋体"/>
          <w:color w:val="auto"/>
          <w:highlight w:val="none"/>
        </w:rPr>
        <w:t xml:space="preserve"> </w:t>
      </w:r>
    </w:p>
    <w:p w14:paraId="72D0F5F1">
      <w:pPr>
        <w:pStyle w:val="35"/>
        <w:ind w:firstLine="482"/>
        <w:rPr>
          <w:rFonts w:hint="eastAsia" w:ascii="宋体" w:hAnsi="宋体" w:eastAsia="宋体" w:cs="宋体"/>
          <w:b/>
          <w:color w:val="auto"/>
          <w:highlight w:val="none"/>
        </w:rPr>
      </w:pPr>
      <w:r>
        <w:rPr>
          <w:rFonts w:hint="eastAsia" w:ascii="宋体" w:hAnsi="宋体" w:eastAsia="宋体" w:cs="宋体"/>
          <w:b/>
          <w:color w:val="auto"/>
          <w:highlight w:val="none"/>
        </w:rPr>
        <w:t xml:space="preserve"> </w:t>
      </w:r>
    </w:p>
    <w:p w14:paraId="3F521DB6">
      <w:pPr>
        <w:pStyle w:val="35"/>
        <w:ind w:firstLine="482"/>
        <w:rPr>
          <w:rFonts w:hint="eastAsia" w:ascii="宋体" w:hAnsi="宋体" w:eastAsia="宋体" w:cs="宋体"/>
          <w:b/>
          <w:color w:val="auto"/>
          <w:highlight w:val="none"/>
        </w:rPr>
      </w:pPr>
      <w:r>
        <w:rPr>
          <w:rFonts w:hint="eastAsia" w:ascii="宋体" w:hAnsi="宋体" w:eastAsia="宋体" w:cs="宋体"/>
          <w:b/>
          <w:color w:val="auto"/>
          <w:highlight w:val="none"/>
        </w:rPr>
        <w:t xml:space="preserve"> </w:t>
      </w:r>
    </w:p>
    <w:p w14:paraId="6002B4D7">
      <w:pPr>
        <w:pStyle w:val="35"/>
        <w:ind w:firstLine="482"/>
        <w:rPr>
          <w:rFonts w:hint="eastAsia" w:ascii="宋体" w:hAnsi="宋体" w:eastAsia="宋体" w:cs="宋体"/>
          <w:b/>
          <w:color w:val="auto"/>
          <w:highlight w:val="none"/>
        </w:rPr>
      </w:pPr>
      <w:r>
        <w:rPr>
          <w:rFonts w:hint="eastAsia" w:ascii="宋体" w:hAnsi="宋体" w:eastAsia="宋体" w:cs="宋体"/>
          <w:b/>
          <w:color w:val="auto"/>
          <w:highlight w:val="none"/>
        </w:rPr>
        <w:t xml:space="preserve"> </w:t>
      </w:r>
    </w:p>
    <w:p w14:paraId="37201F5A">
      <w:pPr>
        <w:pStyle w:val="35"/>
        <w:ind w:firstLine="482"/>
        <w:rPr>
          <w:rFonts w:hint="eastAsia" w:ascii="宋体" w:hAnsi="宋体" w:eastAsia="宋体" w:cs="宋体"/>
          <w:b/>
          <w:color w:val="auto"/>
          <w:highlight w:val="none"/>
        </w:rPr>
      </w:pPr>
      <w:r>
        <w:rPr>
          <w:rFonts w:hint="eastAsia" w:ascii="宋体" w:hAnsi="宋体" w:eastAsia="宋体" w:cs="宋体"/>
          <w:b/>
          <w:color w:val="auto"/>
          <w:highlight w:val="none"/>
        </w:rPr>
        <w:t xml:space="preserve"> </w:t>
      </w:r>
    </w:p>
    <w:p w14:paraId="19D9F114">
      <w:pPr>
        <w:pStyle w:val="35"/>
        <w:ind w:firstLine="482"/>
        <w:rPr>
          <w:rFonts w:hint="eastAsia" w:ascii="宋体" w:hAnsi="宋体" w:eastAsia="宋体" w:cs="宋体"/>
          <w:b/>
          <w:color w:val="auto"/>
          <w:highlight w:val="none"/>
        </w:rPr>
      </w:pPr>
      <w:r>
        <w:rPr>
          <w:rFonts w:hint="eastAsia" w:ascii="宋体" w:hAnsi="宋体" w:eastAsia="宋体" w:cs="宋体"/>
          <w:b/>
          <w:color w:val="auto"/>
          <w:highlight w:val="none"/>
        </w:rPr>
        <w:t xml:space="preserve"> </w:t>
      </w:r>
    </w:p>
    <w:p w14:paraId="2F59FC12">
      <w:pPr>
        <w:pStyle w:val="35"/>
        <w:ind w:firstLine="482"/>
        <w:rPr>
          <w:rFonts w:hint="eastAsia" w:ascii="宋体" w:hAnsi="宋体" w:eastAsia="宋体" w:cs="宋体"/>
          <w:b/>
          <w:color w:val="auto"/>
          <w:highlight w:val="none"/>
        </w:rPr>
      </w:pPr>
      <w:r>
        <w:rPr>
          <w:rFonts w:hint="eastAsia" w:ascii="宋体" w:hAnsi="宋体" w:eastAsia="宋体" w:cs="宋体"/>
          <w:b/>
          <w:color w:val="auto"/>
          <w:highlight w:val="none"/>
        </w:rPr>
        <w:t xml:space="preserve"> </w:t>
      </w:r>
    </w:p>
    <w:p w14:paraId="76642910">
      <w:pPr>
        <w:pStyle w:val="35"/>
        <w:ind w:firstLine="482"/>
        <w:rPr>
          <w:rFonts w:hint="eastAsia" w:ascii="宋体" w:hAnsi="宋体" w:eastAsia="宋体" w:cs="宋体"/>
          <w:b/>
          <w:color w:val="auto"/>
          <w:highlight w:val="none"/>
        </w:rPr>
      </w:pPr>
      <w:r>
        <w:rPr>
          <w:rFonts w:hint="eastAsia" w:ascii="宋体" w:hAnsi="宋体" w:eastAsia="宋体" w:cs="宋体"/>
          <w:b/>
          <w:color w:val="auto"/>
          <w:highlight w:val="none"/>
        </w:rPr>
        <w:t xml:space="preserve"> </w:t>
      </w:r>
    </w:p>
    <w:p w14:paraId="199011B5">
      <w:pPr>
        <w:pStyle w:val="35"/>
        <w:ind w:firstLine="482"/>
        <w:rPr>
          <w:rFonts w:hint="eastAsia" w:ascii="宋体" w:hAnsi="宋体" w:eastAsia="宋体" w:cs="宋体"/>
          <w:b/>
          <w:color w:val="auto"/>
          <w:highlight w:val="none"/>
        </w:rPr>
      </w:pPr>
      <w:r>
        <w:rPr>
          <w:rFonts w:hint="eastAsia" w:ascii="宋体" w:hAnsi="宋体" w:eastAsia="宋体" w:cs="宋体"/>
          <w:b/>
          <w:color w:val="auto"/>
          <w:highlight w:val="none"/>
        </w:rPr>
        <w:t xml:space="preserve"> </w:t>
      </w:r>
    </w:p>
    <w:p w14:paraId="4218388E">
      <w:pPr>
        <w:pStyle w:val="35"/>
        <w:ind w:firstLine="482"/>
        <w:rPr>
          <w:rFonts w:hint="eastAsia" w:ascii="宋体" w:hAnsi="宋体" w:eastAsia="宋体" w:cs="宋体"/>
          <w:b/>
          <w:color w:val="auto"/>
          <w:highlight w:val="none"/>
        </w:rPr>
      </w:pPr>
      <w:r>
        <w:rPr>
          <w:rFonts w:hint="eastAsia" w:ascii="宋体" w:hAnsi="宋体" w:eastAsia="宋体" w:cs="宋体"/>
          <w:b/>
          <w:color w:val="auto"/>
          <w:highlight w:val="none"/>
        </w:rPr>
        <w:t xml:space="preserve"> </w:t>
      </w:r>
    </w:p>
    <w:p w14:paraId="328028BA">
      <w:pPr>
        <w:pStyle w:val="35"/>
        <w:ind w:firstLine="482"/>
        <w:rPr>
          <w:rFonts w:hint="eastAsia" w:ascii="宋体" w:hAnsi="宋体" w:eastAsia="宋体" w:cs="宋体"/>
          <w:b/>
          <w:color w:val="auto"/>
          <w:highlight w:val="none"/>
        </w:rPr>
      </w:pPr>
      <w:r>
        <w:rPr>
          <w:rFonts w:hint="eastAsia" w:ascii="宋体" w:hAnsi="宋体" w:eastAsia="宋体" w:cs="宋体"/>
          <w:b/>
          <w:color w:val="auto"/>
          <w:highlight w:val="none"/>
        </w:rPr>
        <w:t xml:space="preserve"> </w:t>
      </w:r>
    </w:p>
    <w:p w14:paraId="613B7793">
      <w:pPr>
        <w:pStyle w:val="35"/>
        <w:ind w:firstLine="482"/>
        <w:rPr>
          <w:rFonts w:hint="eastAsia" w:ascii="宋体" w:hAnsi="宋体" w:eastAsia="宋体" w:cs="宋体"/>
          <w:b/>
          <w:color w:val="auto"/>
          <w:highlight w:val="none"/>
        </w:rPr>
      </w:pPr>
      <w:r>
        <w:rPr>
          <w:rFonts w:hint="eastAsia" w:ascii="宋体" w:hAnsi="宋体" w:eastAsia="宋体" w:cs="宋体"/>
          <w:b/>
          <w:color w:val="auto"/>
          <w:highlight w:val="none"/>
        </w:rPr>
        <w:t xml:space="preserve"> </w:t>
      </w:r>
    </w:p>
    <w:p w14:paraId="6095DA5E">
      <w:pPr>
        <w:pStyle w:val="35"/>
        <w:ind w:firstLine="4800" w:firstLineChars="2000"/>
        <w:rPr>
          <w:rFonts w:hint="eastAsia" w:ascii="宋体" w:hAnsi="宋体" w:eastAsia="宋体" w:cs="宋体"/>
          <w:color w:val="auto"/>
          <w:highlight w:val="none"/>
        </w:rPr>
      </w:pPr>
      <w:r>
        <w:rPr>
          <w:rFonts w:hint="eastAsia" w:ascii="宋体" w:hAnsi="宋体" w:eastAsia="宋体" w:cs="宋体"/>
          <w:color w:val="auto"/>
          <w:highlight w:val="none"/>
        </w:rPr>
        <w:t xml:space="preserve">供应商电子公章： </w:t>
      </w:r>
    </w:p>
    <w:p w14:paraId="3B6A1F67">
      <w:pPr>
        <w:pStyle w:val="35"/>
        <w:ind w:firstLine="480"/>
        <w:rPr>
          <w:rFonts w:hint="eastAsia" w:ascii="宋体" w:hAnsi="宋体" w:eastAsia="宋体" w:cs="宋体"/>
          <w:color w:val="auto"/>
          <w:highlight w:val="none"/>
        </w:rPr>
      </w:pPr>
      <w:r>
        <w:rPr>
          <w:rFonts w:hint="eastAsia" w:ascii="宋体" w:hAnsi="宋体" w:eastAsia="宋体" w:cs="宋体"/>
          <w:color w:val="auto"/>
          <w:highlight w:val="none"/>
        </w:rPr>
        <w:t xml:space="preserve"> </w:t>
      </w:r>
    </w:p>
    <w:p w14:paraId="647A1F20">
      <w:pPr>
        <w:pStyle w:val="35"/>
        <w:ind w:firstLine="480"/>
        <w:rPr>
          <w:rFonts w:hint="eastAsia" w:ascii="宋体" w:hAnsi="宋体" w:eastAsia="宋体" w:cs="宋体"/>
          <w:color w:val="auto"/>
          <w:highlight w:val="none"/>
        </w:rPr>
      </w:pPr>
      <w:r>
        <w:rPr>
          <w:rFonts w:hint="eastAsia" w:ascii="宋体" w:hAnsi="宋体" w:eastAsia="宋体" w:cs="宋体"/>
          <w:color w:val="auto"/>
          <w:highlight w:val="none"/>
        </w:rPr>
        <w:t xml:space="preserve">                                 </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 xml:space="preserve">  年   月    日</w:t>
      </w:r>
    </w:p>
    <w:p w14:paraId="000D3076">
      <w:pPr>
        <w:pStyle w:val="35"/>
        <w:ind w:firstLine="480"/>
        <w:rPr>
          <w:rFonts w:hint="eastAsia" w:ascii="宋体" w:hAnsi="宋体" w:eastAsia="宋体" w:cs="宋体"/>
          <w:color w:val="auto"/>
          <w:highlight w:val="none"/>
        </w:rPr>
      </w:pPr>
      <w:r>
        <w:rPr>
          <w:rFonts w:hint="eastAsia" w:ascii="宋体" w:hAnsi="宋体" w:eastAsia="宋体" w:cs="宋体"/>
          <w:color w:val="auto"/>
          <w:highlight w:val="none"/>
        </w:rPr>
        <w:t xml:space="preserve"> </w:t>
      </w:r>
    </w:p>
    <w:p w14:paraId="3DF0594D">
      <w:pPr>
        <w:pStyle w:val="35"/>
        <w:ind w:firstLine="480"/>
        <w:rPr>
          <w:rFonts w:hint="eastAsia" w:ascii="宋体" w:hAnsi="宋体" w:eastAsia="宋体" w:cs="宋体"/>
          <w:color w:val="auto"/>
          <w:highlight w:val="none"/>
        </w:rPr>
      </w:pPr>
      <w:r>
        <w:rPr>
          <w:rFonts w:hint="eastAsia" w:ascii="宋体" w:hAnsi="宋体" w:eastAsia="宋体" w:cs="宋体"/>
          <w:color w:val="auto"/>
          <w:highlight w:val="none"/>
        </w:rPr>
        <w:t xml:space="preserve"> </w:t>
      </w:r>
    </w:p>
    <w:p w14:paraId="03565929">
      <w:pPr>
        <w:pStyle w:val="35"/>
        <w:ind w:firstLine="480"/>
        <w:rPr>
          <w:rFonts w:hint="eastAsia" w:ascii="宋体" w:hAnsi="宋体" w:eastAsia="宋体" w:cs="宋体"/>
          <w:color w:val="auto"/>
          <w:highlight w:val="none"/>
        </w:rPr>
      </w:pPr>
      <w:r>
        <w:rPr>
          <w:rFonts w:hint="eastAsia" w:ascii="宋体" w:hAnsi="宋体" w:eastAsia="宋体" w:cs="宋体"/>
          <w:color w:val="auto"/>
          <w:highlight w:val="none"/>
        </w:rPr>
        <w:t xml:space="preserve"> </w:t>
      </w:r>
    </w:p>
    <w:p w14:paraId="4F8878ED">
      <w:pPr>
        <w:pStyle w:val="35"/>
        <w:ind w:firstLine="480"/>
        <w:rPr>
          <w:rFonts w:hint="eastAsia" w:ascii="宋体" w:hAnsi="宋体" w:eastAsia="宋体" w:cs="宋体"/>
          <w:color w:val="auto"/>
          <w:highlight w:val="none"/>
        </w:rPr>
      </w:pPr>
      <w:r>
        <w:rPr>
          <w:rFonts w:hint="eastAsia" w:ascii="宋体" w:hAnsi="宋体" w:eastAsia="宋体" w:cs="宋体"/>
          <w:color w:val="auto"/>
          <w:highlight w:val="none"/>
        </w:rPr>
        <w:t xml:space="preserve"> </w:t>
      </w:r>
    </w:p>
    <w:p w14:paraId="1B858DC8">
      <w:pPr>
        <w:pStyle w:val="35"/>
        <w:ind w:firstLine="480"/>
        <w:rPr>
          <w:rFonts w:hint="eastAsia" w:ascii="宋体" w:hAnsi="宋体" w:eastAsia="宋体" w:cs="宋体"/>
          <w:color w:val="auto"/>
          <w:highlight w:val="none"/>
        </w:rPr>
      </w:pPr>
      <w:r>
        <w:rPr>
          <w:rFonts w:hint="eastAsia" w:ascii="宋体" w:hAnsi="宋体" w:eastAsia="宋体" w:cs="宋体"/>
          <w:color w:val="auto"/>
          <w:highlight w:val="none"/>
        </w:rPr>
        <w:t xml:space="preserve"> </w:t>
      </w:r>
    </w:p>
    <w:p w14:paraId="27A40AB3">
      <w:pPr>
        <w:pStyle w:val="35"/>
        <w:ind w:firstLine="480"/>
        <w:rPr>
          <w:rFonts w:hint="eastAsia" w:ascii="宋体" w:hAnsi="宋体" w:eastAsia="宋体" w:cs="宋体"/>
          <w:color w:val="auto"/>
          <w:highlight w:val="none"/>
        </w:rPr>
      </w:pPr>
      <w:r>
        <w:rPr>
          <w:rFonts w:hint="eastAsia" w:ascii="宋体" w:hAnsi="宋体" w:eastAsia="宋体" w:cs="宋体"/>
          <w:color w:val="auto"/>
          <w:highlight w:val="none"/>
        </w:rPr>
        <w:t xml:space="preserve"> </w:t>
      </w:r>
    </w:p>
    <w:p w14:paraId="2A5989B4">
      <w:pPr>
        <w:pStyle w:val="35"/>
        <w:ind w:firstLine="480"/>
        <w:rPr>
          <w:rFonts w:hint="eastAsia" w:ascii="宋体" w:hAnsi="宋体" w:eastAsia="宋体" w:cs="宋体"/>
          <w:color w:val="auto"/>
          <w:highlight w:val="none"/>
        </w:rPr>
      </w:pPr>
      <w:r>
        <w:rPr>
          <w:rFonts w:hint="eastAsia" w:ascii="宋体" w:hAnsi="宋体" w:eastAsia="宋体" w:cs="宋体"/>
          <w:color w:val="auto"/>
          <w:highlight w:val="none"/>
        </w:rPr>
        <w:t xml:space="preserve"> </w:t>
      </w:r>
    </w:p>
    <w:p w14:paraId="2228A9D0">
      <w:pPr>
        <w:pStyle w:val="35"/>
        <w:ind w:firstLine="480"/>
        <w:rPr>
          <w:rFonts w:hint="eastAsia" w:ascii="宋体" w:hAnsi="宋体" w:eastAsia="宋体" w:cs="宋体"/>
          <w:color w:val="auto"/>
          <w:highlight w:val="none"/>
        </w:rPr>
      </w:pPr>
      <w:r>
        <w:rPr>
          <w:rFonts w:hint="eastAsia" w:ascii="宋体" w:hAnsi="宋体" w:eastAsia="宋体" w:cs="宋体"/>
          <w:color w:val="auto"/>
          <w:highlight w:val="none"/>
        </w:rPr>
        <w:t xml:space="preserve"> </w:t>
      </w:r>
    </w:p>
    <w:p w14:paraId="09BE7C59">
      <w:pPr>
        <w:pStyle w:val="35"/>
        <w:ind w:firstLine="480"/>
        <w:rPr>
          <w:rFonts w:hint="eastAsia" w:ascii="宋体" w:hAnsi="宋体" w:eastAsia="宋体" w:cs="宋体"/>
          <w:color w:val="auto"/>
          <w:highlight w:val="none"/>
        </w:rPr>
      </w:pPr>
      <w:r>
        <w:rPr>
          <w:rFonts w:hint="eastAsia" w:ascii="宋体" w:hAnsi="宋体" w:eastAsia="宋体" w:cs="宋体"/>
          <w:color w:val="auto"/>
          <w:highlight w:val="none"/>
        </w:rPr>
        <w:t xml:space="preserve"> </w:t>
      </w:r>
    </w:p>
    <w:p w14:paraId="3CD4D505">
      <w:pPr>
        <w:pStyle w:val="35"/>
        <w:ind w:firstLine="480"/>
        <w:rPr>
          <w:rFonts w:hint="eastAsia" w:ascii="宋体" w:hAnsi="宋体" w:eastAsia="宋体" w:cs="宋体"/>
          <w:color w:val="auto"/>
          <w:highlight w:val="none"/>
        </w:rPr>
      </w:pPr>
      <w:r>
        <w:rPr>
          <w:rFonts w:hint="eastAsia" w:ascii="宋体" w:hAnsi="宋体" w:eastAsia="宋体" w:cs="宋体"/>
          <w:color w:val="auto"/>
          <w:highlight w:val="none"/>
        </w:rPr>
        <w:t xml:space="preserve"> </w:t>
      </w:r>
    </w:p>
    <w:p w14:paraId="16ABEC8C">
      <w:pPr>
        <w:pStyle w:val="35"/>
        <w:ind w:firstLine="480"/>
        <w:rPr>
          <w:rFonts w:hint="eastAsia" w:ascii="宋体" w:hAnsi="宋体" w:eastAsia="宋体" w:cs="宋体"/>
          <w:color w:val="auto"/>
          <w:highlight w:val="none"/>
        </w:rPr>
      </w:pPr>
      <w:r>
        <w:rPr>
          <w:rFonts w:hint="eastAsia" w:ascii="宋体" w:hAnsi="宋体" w:eastAsia="宋体" w:cs="宋体"/>
          <w:color w:val="auto"/>
          <w:highlight w:val="none"/>
        </w:rPr>
        <w:t xml:space="preserve"> </w:t>
      </w:r>
    </w:p>
    <w:p w14:paraId="4811F1D2">
      <w:pPr>
        <w:pStyle w:val="35"/>
        <w:ind w:firstLine="480"/>
        <w:rPr>
          <w:rFonts w:hint="eastAsia" w:ascii="宋体" w:hAnsi="宋体" w:eastAsia="宋体" w:cs="宋体"/>
          <w:color w:val="auto"/>
          <w:highlight w:val="none"/>
        </w:rPr>
      </w:pPr>
      <w:r>
        <w:rPr>
          <w:rFonts w:hint="eastAsia" w:ascii="宋体" w:hAnsi="宋体" w:eastAsia="宋体" w:cs="宋体"/>
          <w:color w:val="auto"/>
          <w:highlight w:val="none"/>
        </w:rPr>
        <w:t xml:space="preserve"> </w:t>
      </w:r>
    </w:p>
    <w:p w14:paraId="7591467B">
      <w:pPr>
        <w:pStyle w:val="35"/>
        <w:ind w:firstLine="482"/>
        <w:jc w:val="center"/>
        <w:rPr>
          <w:rFonts w:hint="eastAsia" w:ascii="宋体" w:hAnsi="宋体" w:eastAsia="宋体" w:cs="宋体"/>
          <w:b/>
          <w:bCs/>
          <w:color w:val="auto"/>
          <w:highlight w:val="none"/>
        </w:rPr>
      </w:pPr>
      <w:r>
        <w:rPr>
          <w:rFonts w:hint="eastAsia" w:ascii="宋体" w:hAnsi="宋体" w:eastAsia="宋体" w:cs="宋体"/>
          <w:b/>
          <w:bCs/>
          <w:color w:val="auto"/>
          <w:highlight w:val="none"/>
        </w:rPr>
        <w:t>格式11 中小企业声明函（工程、服务）</w:t>
      </w:r>
    </w:p>
    <w:p w14:paraId="470560AA">
      <w:pPr>
        <w:pStyle w:val="35"/>
        <w:ind w:firstLine="480"/>
        <w:rPr>
          <w:rFonts w:hint="eastAsia" w:ascii="宋体" w:hAnsi="宋体" w:eastAsia="宋体" w:cs="宋体"/>
          <w:color w:val="auto"/>
          <w:highlight w:val="none"/>
        </w:rPr>
      </w:pPr>
      <w:r>
        <w:rPr>
          <w:rFonts w:hint="eastAsia" w:ascii="宋体" w:hAnsi="宋体" w:eastAsia="宋体" w:cs="宋体"/>
          <w:color w:val="auto"/>
          <w:highlight w:val="none"/>
        </w:rPr>
        <w:t>本公司（联合体）郑重声明，根据《政府采购促进中小企业发展管理办法》（财库﹝2020﹞46号）的规定，本公司（联合体）参加</w:t>
      </w:r>
      <w:r>
        <w:rPr>
          <w:rFonts w:hint="eastAsia" w:ascii="宋体" w:hAnsi="宋体" w:eastAsia="宋体" w:cs="宋体"/>
          <w:color w:val="auto"/>
          <w:highlight w:val="none"/>
          <w:u w:val="single"/>
        </w:rPr>
        <w:t>（单位名称）</w:t>
      </w:r>
      <w:r>
        <w:rPr>
          <w:rFonts w:hint="eastAsia" w:ascii="宋体" w:hAnsi="宋体" w:eastAsia="宋体" w:cs="宋体"/>
          <w:color w:val="auto"/>
          <w:highlight w:val="none"/>
        </w:rPr>
        <w:t>的</w:t>
      </w:r>
      <w:r>
        <w:rPr>
          <w:rFonts w:hint="eastAsia" w:ascii="宋体" w:hAnsi="宋体" w:eastAsia="宋体" w:cs="宋体"/>
          <w:color w:val="auto"/>
          <w:highlight w:val="none"/>
          <w:u w:val="single"/>
        </w:rPr>
        <w:t>（项目名称）</w:t>
      </w:r>
      <w:r>
        <w:rPr>
          <w:rFonts w:hint="eastAsia" w:ascii="宋体" w:hAnsi="宋体" w:eastAsia="宋体" w:cs="宋体"/>
          <w:color w:val="auto"/>
          <w:highlight w:val="none"/>
        </w:rPr>
        <w:t>采购活动，工程的施工单位全部为符合政策要求的中小企业</w:t>
      </w:r>
      <w:r>
        <w:rPr>
          <w:rFonts w:hint="eastAsia" w:ascii="宋体" w:hAnsi="宋体" w:eastAsia="宋体" w:cs="宋体"/>
          <w:color w:val="auto"/>
          <w:highlight w:val="none"/>
          <w:u w:val="single"/>
        </w:rPr>
        <w:t>（或者：服务全部由符合政策要求的中小企业承接）</w:t>
      </w:r>
      <w:r>
        <w:rPr>
          <w:rFonts w:hint="eastAsia" w:ascii="宋体" w:hAnsi="宋体" w:eastAsia="宋体" w:cs="宋体"/>
          <w:color w:val="auto"/>
          <w:highlight w:val="none"/>
        </w:rPr>
        <w:t>。相关企业</w:t>
      </w:r>
      <w:r>
        <w:rPr>
          <w:rFonts w:hint="eastAsia" w:ascii="宋体" w:hAnsi="宋体" w:eastAsia="宋体" w:cs="宋体"/>
          <w:color w:val="auto"/>
          <w:highlight w:val="none"/>
          <w:u w:val="single"/>
        </w:rPr>
        <w:t>（含联合 体中的中小企业、签订分包意向协议的中小企业）</w:t>
      </w:r>
      <w:r>
        <w:rPr>
          <w:rFonts w:hint="eastAsia" w:ascii="宋体" w:hAnsi="宋体" w:eastAsia="宋体" w:cs="宋体"/>
          <w:color w:val="auto"/>
          <w:highlight w:val="none"/>
        </w:rPr>
        <w:t>的具体情 况如下：</w:t>
      </w:r>
    </w:p>
    <w:p w14:paraId="32535A2B">
      <w:pPr>
        <w:pStyle w:val="35"/>
        <w:ind w:firstLine="480"/>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highlight w:val="none"/>
          <w:u w:val="single"/>
        </w:rPr>
        <w:t>（标的名称）</w:t>
      </w:r>
      <w:r>
        <w:rPr>
          <w:rFonts w:hint="eastAsia" w:ascii="宋体" w:hAnsi="宋体" w:eastAsia="宋体" w:cs="宋体"/>
          <w:color w:val="auto"/>
          <w:highlight w:val="none"/>
        </w:rPr>
        <w:t>，属于</w:t>
      </w:r>
      <w:r>
        <w:rPr>
          <w:rFonts w:hint="eastAsia" w:ascii="宋体" w:hAnsi="宋体" w:eastAsia="宋体" w:cs="宋体"/>
          <w:color w:val="auto"/>
          <w:highlight w:val="none"/>
          <w:u w:val="single"/>
        </w:rPr>
        <w:t>（采购文件中明确的所属行业）</w:t>
      </w:r>
      <w:r>
        <w:rPr>
          <w:rFonts w:hint="eastAsia" w:ascii="宋体" w:hAnsi="宋体" w:eastAsia="宋体" w:cs="宋体"/>
          <w:color w:val="auto"/>
          <w:highlight w:val="none"/>
        </w:rPr>
        <w:t>； 承建（承接）企业为（企业名称），从业人员</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人，营业收入为</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万元，资产总额为</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 xml:space="preserve">万元，属于（中型企业、小型企业、微型企业）； </w:t>
      </w:r>
    </w:p>
    <w:p w14:paraId="4005579C">
      <w:pPr>
        <w:pStyle w:val="35"/>
        <w:ind w:firstLine="480"/>
        <w:rPr>
          <w:rFonts w:hint="eastAsia" w:ascii="宋体" w:hAnsi="宋体" w:eastAsia="宋体" w:cs="宋体"/>
          <w:color w:val="auto"/>
          <w:highlight w:val="none"/>
        </w:rPr>
      </w:pPr>
      <w:r>
        <w:rPr>
          <w:rFonts w:hint="eastAsia" w:ascii="宋体" w:hAnsi="宋体" w:eastAsia="宋体" w:cs="宋体"/>
          <w:color w:val="auto"/>
          <w:highlight w:val="none"/>
        </w:rPr>
        <w:t>2.</w:t>
      </w:r>
      <w:r>
        <w:rPr>
          <w:rFonts w:hint="eastAsia" w:ascii="宋体" w:hAnsi="宋体" w:eastAsia="宋体" w:cs="宋体"/>
          <w:color w:val="auto"/>
          <w:highlight w:val="none"/>
          <w:u w:val="single"/>
        </w:rPr>
        <w:t>（标的名称）</w:t>
      </w:r>
      <w:r>
        <w:rPr>
          <w:rFonts w:hint="eastAsia" w:ascii="宋体" w:hAnsi="宋体" w:eastAsia="宋体" w:cs="宋体"/>
          <w:color w:val="auto"/>
          <w:highlight w:val="none"/>
        </w:rPr>
        <w:t>，属于</w:t>
      </w:r>
      <w:r>
        <w:rPr>
          <w:rFonts w:hint="eastAsia" w:ascii="宋体" w:hAnsi="宋体" w:eastAsia="宋体" w:cs="宋体"/>
          <w:color w:val="auto"/>
          <w:highlight w:val="none"/>
          <w:u w:val="single"/>
        </w:rPr>
        <w:t>（采购文件中明确的所属行业）</w:t>
      </w:r>
      <w:r>
        <w:rPr>
          <w:rFonts w:hint="eastAsia" w:ascii="宋体" w:hAnsi="宋体" w:eastAsia="宋体" w:cs="宋体"/>
          <w:color w:val="auto"/>
          <w:highlight w:val="none"/>
        </w:rPr>
        <w:t>； 承建（承接）企业为</w:t>
      </w:r>
      <w:r>
        <w:rPr>
          <w:rFonts w:hint="eastAsia" w:ascii="宋体" w:hAnsi="宋体" w:eastAsia="宋体" w:cs="宋体"/>
          <w:color w:val="auto"/>
          <w:highlight w:val="none"/>
          <w:u w:val="single"/>
        </w:rPr>
        <w:t>（企业名称）</w:t>
      </w:r>
      <w:r>
        <w:rPr>
          <w:rFonts w:hint="eastAsia" w:ascii="宋体" w:hAnsi="宋体" w:eastAsia="宋体" w:cs="宋体"/>
          <w:color w:val="auto"/>
          <w:highlight w:val="none"/>
        </w:rPr>
        <w:t>，从业人员</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人，营业收入为</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万元，资产总额为</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万元，属于</w:t>
      </w:r>
      <w:r>
        <w:rPr>
          <w:rFonts w:hint="eastAsia" w:ascii="宋体" w:hAnsi="宋体" w:eastAsia="宋体" w:cs="宋体"/>
          <w:color w:val="auto"/>
          <w:highlight w:val="none"/>
          <w:u w:val="single"/>
        </w:rPr>
        <w:t>（中型企业、 小型企业、微型企业）</w:t>
      </w:r>
      <w:r>
        <w:rPr>
          <w:rFonts w:hint="eastAsia" w:ascii="宋体" w:hAnsi="宋体" w:eastAsia="宋体" w:cs="宋体"/>
          <w:color w:val="auto"/>
          <w:highlight w:val="none"/>
        </w:rPr>
        <w:t>； ……</w:t>
      </w:r>
    </w:p>
    <w:p w14:paraId="24F99A9F">
      <w:pPr>
        <w:pStyle w:val="35"/>
        <w:ind w:firstLine="480"/>
        <w:rPr>
          <w:rFonts w:hint="eastAsia" w:ascii="宋体" w:hAnsi="宋体" w:eastAsia="宋体" w:cs="宋体"/>
          <w:color w:val="auto"/>
          <w:highlight w:val="none"/>
        </w:rPr>
      </w:pPr>
      <w:r>
        <w:rPr>
          <w:rFonts w:hint="eastAsia" w:ascii="宋体" w:hAnsi="宋体" w:eastAsia="宋体" w:cs="宋体"/>
          <w:color w:val="auto"/>
          <w:highlight w:val="none"/>
        </w:rPr>
        <w:t>以上企业，不属于大企业的分支机构，不存在控股股东 为大企业的情形，也不存在与大企业的负责人为同一人的情形。</w:t>
      </w:r>
    </w:p>
    <w:p w14:paraId="086C8729">
      <w:pPr>
        <w:pStyle w:val="35"/>
        <w:ind w:firstLine="480"/>
        <w:rPr>
          <w:rFonts w:hint="eastAsia" w:ascii="宋体" w:hAnsi="宋体" w:eastAsia="宋体" w:cs="宋体"/>
          <w:color w:val="auto"/>
          <w:highlight w:val="none"/>
        </w:rPr>
      </w:pPr>
      <w:r>
        <w:rPr>
          <w:rFonts w:hint="eastAsia" w:ascii="宋体" w:hAnsi="宋体" w:eastAsia="宋体" w:cs="宋体"/>
          <w:color w:val="auto"/>
          <w:highlight w:val="none"/>
        </w:rPr>
        <w:t xml:space="preserve">本企业对上述声明内容的真实性负责。如有虚假，将依 法承担相应责任。 </w:t>
      </w:r>
    </w:p>
    <w:p w14:paraId="766CB4B9">
      <w:pPr>
        <w:pStyle w:val="35"/>
        <w:ind w:firstLine="5040" w:firstLineChars="2100"/>
        <w:rPr>
          <w:rFonts w:hint="eastAsia" w:ascii="宋体" w:hAnsi="宋体" w:eastAsia="宋体" w:cs="宋体"/>
          <w:color w:val="auto"/>
          <w:highlight w:val="none"/>
        </w:rPr>
      </w:pPr>
      <w:r>
        <w:rPr>
          <w:rFonts w:hint="eastAsia" w:ascii="宋体" w:hAnsi="宋体" w:eastAsia="宋体" w:cs="宋体"/>
          <w:color w:val="auto"/>
          <w:highlight w:val="none"/>
        </w:rPr>
        <w:t xml:space="preserve">企业名称（盖章）： </w:t>
      </w:r>
    </w:p>
    <w:p w14:paraId="2FC9049F">
      <w:pPr>
        <w:pStyle w:val="35"/>
        <w:ind w:firstLine="5520" w:firstLineChars="2300"/>
        <w:rPr>
          <w:rFonts w:hint="eastAsia" w:ascii="宋体" w:hAnsi="宋体" w:eastAsia="宋体" w:cs="宋体"/>
          <w:color w:val="auto"/>
          <w:highlight w:val="none"/>
        </w:rPr>
      </w:pPr>
      <w:r>
        <w:rPr>
          <w:rFonts w:hint="eastAsia" w:ascii="宋体" w:hAnsi="宋体" w:eastAsia="宋体" w:cs="宋体"/>
          <w:color w:val="auto"/>
          <w:highlight w:val="none"/>
        </w:rPr>
        <w:t xml:space="preserve">日 期： </w:t>
      </w:r>
    </w:p>
    <w:p w14:paraId="3E6A4887">
      <w:pPr>
        <w:pStyle w:val="35"/>
        <w:ind w:firstLine="480"/>
        <w:rPr>
          <w:rFonts w:hint="eastAsia" w:ascii="宋体" w:hAnsi="宋体" w:eastAsia="宋体" w:cs="宋体"/>
          <w:color w:val="auto"/>
          <w:highlight w:val="none"/>
        </w:rPr>
      </w:pPr>
      <w:r>
        <w:rPr>
          <w:rFonts w:hint="eastAsia" w:ascii="宋体" w:hAnsi="宋体" w:eastAsia="宋体" w:cs="宋体"/>
          <w:color w:val="auto"/>
          <w:highlight w:val="none"/>
        </w:rPr>
        <w:t xml:space="preserve"> </w:t>
      </w:r>
    </w:p>
    <w:p w14:paraId="727E5452">
      <w:pPr>
        <w:pStyle w:val="35"/>
        <w:ind w:firstLine="480"/>
        <w:rPr>
          <w:rFonts w:hint="eastAsia" w:ascii="宋体" w:hAnsi="宋体" w:eastAsia="宋体" w:cs="宋体"/>
          <w:color w:val="auto"/>
          <w:highlight w:val="none"/>
        </w:rPr>
      </w:pPr>
      <w:r>
        <w:rPr>
          <w:rFonts w:hint="eastAsia" w:ascii="宋体" w:hAnsi="宋体" w:eastAsia="宋体" w:cs="宋体"/>
          <w:color w:val="auto"/>
          <w:highlight w:val="none"/>
        </w:rPr>
        <w:t xml:space="preserve"> </w:t>
      </w:r>
    </w:p>
    <w:p w14:paraId="58E6ABB6">
      <w:pPr>
        <w:pStyle w:val="35"/>
        <w:ind w:firstLine="480"/>
        <w:rPr>
          <w:rFonts w:hint="eastAsia" w:ascii="宋体" w:hAnsi="宋体" w:eastAsia="宋体" w:cs="宋体"/>
          <w:color w:val="auto"/>
          <w:highlight w:val="none"/>
        </w:rPr>
      </w:pPr>
      <w:r>
        <w:rPr>
          <w:rFonts w:hint="eastAsia" w:ascii="宋体" w:hAnsi="宋体" w:eastAsia="宋体" w:cs="宋体"/>
          <w:color w:val="auto"/>
          <w:highlight w:val="none"/>
        </w:rPr>
        <w:t xml:space="preserve"> </w:t>
      </w:r>
    </w:p>
    <w:p w14:paraId="4330E59B">
      <w:pPr>
        <w:pStyle w:val="35"/>
        <w:ind w:firstLine="480"/>
        <w:rPr>
          <w:rFonts w:hint="eastAsia" w:ascii="宋体" w:hAnsi="宋体" w:eastAsia="宋体" w:cs="宋体"/>
          <w:color w:val="auto"/>
          <w:highlight w:val="none"/>
        </w:rPr>
      </w:pPr>
      <w:r>
        <w:rPr>
          <w:rFonts w:hint="eastAsia" w:ascii="宋体" w:hAnsi="宋体" w:eastAsia="宋体" w:cs="宋体"/>
          <w:color w:val="auto"/>
          <w:highlight w:val="none"/>
        </w:rPr>
        <w:t xml:space="preserve"> </w:t>
      </w:r>
    </w:p>
    <w:p w14:paraId="2E7F5449">
      <w:pPr>
        <w:pStyle w:val="35"/>
        <w:ind w:firstLine="480"/>
        <w:rPr>
          <w:rFonts w:hint="eastAsia" w:ascii="宋体" w:hAnsi="宋体" w:eastAsia="宋体" w:cs="宋体"/>
          <w:color w:val="auto"/>
          <w:highlight w:val="none"/>
        </w:rPr>
      </w:pPr>
      <w:r>
        <w:rPr>
          <w:rFonts w:hint="eastAsia" w:ascii="宋体" w:hAnsi="宋体" w:eastAsia="宋体" w:cs="宋体"/>
          <w:color w:val="auto"/>
          <w:highlight w:val="none"/>
        </w:rPr>
        <w:t xml:space="preserve"> </w:t>
      </w:r>
    </w:p>
    <w:p w14:paraId="2347E80A">
      <w:pPr>
        <w:pStyle w:val="35"/>
        <w:ind w:firstLine="480"/>
        <w:rPr>
          <w:rFonts w:hint="eastAsia" w:ascii="宋体" w:hAnsi="宋体" w:eastAsia="宋体" w:cs="宋体"/>
          <w:color w:val="auto"/>
          <w:highlight w:val="none"/>
        </w:rPr>
      </w:pPr>
      <w:r>
        <w:rPr>
          <w:rFonts w:hint="eastAsia" w:ascii="宋体" w:hAnsi="宋体" w:eastAsia="宋体" w:cs="宋体"/>
          <w:color w:val="auto"/>
          <w:highlight w:val="none"/>
        </w:rPr>
        <w:t>注：1.从业人员、营业收入、资产总额填报上一年度数据，无上一年度数据的新成立企业可不填报。</w:t>
      </w:r>
    </w:p>
    <w:p w14:paraId="717E2C30">
      <w:pPr>
        <w:pStyle w:val="35"/>
        <w:numPr>
          <w:ilvl w:val="0"/>
          <w:numId w:val="3"/>
        </w:numPr>
        <w:ind w:firstLine="480"/>
        <w:rPr>
          <w:rFonts w:hint="eastAsia" w:ascii="宋体" w:hAnsi="宋体" w:eastAsia="宋体" w:cs="宋体"/>
          <w:color w:val="auto"/>
          <w:highlight w:val="none"/>
        </w:rPr>
      </w:pPr>
      <w:r>
        <w:rPr>
          <w:rFonts w:hint="eastAsia" w:ascii="宋体" w:hAnsi="宋体" w:eastAsia="宋体" w:cs="宋体"/>
          <w:color w:val="auto"/>
          <w:highlight w:val="none"/>
        </w:rPr>
        <w:t>本项目如是只面向中小企业采购的应当必须提供。</w:t>
      </w:r>
    </w:p>
    <w:p w14:paraId="2E43A184">
      <w:pPr>
        <w:pStyle w:val="35"/>
        <w:numPr>
          <w:ilvl w:val="0"/>
          <w:numId w:val="3"/>
        </w:numPr>
        <w:ind w:firstLine="480"/>
        <w:rPr>
          <w:rFonts w:hint="eastAsia" w:ascii="宋体" w:hAnsi="宋体" w:eastAsia="宋体" w:cs="宋体"/>
          <w:color w:val="auto"/>
          <w:highlight w:val="none"/>
        </w:rPr>
      </w:pPr>
      <w:r>
        <w:rPr>
          <w:rFonts w:hint="eastAsia" w:ascii="宋体" w:hAnsi="宋体" w:eastAsia="宋体" w:cs="宋体"/>
          <w:color w:val="auto"/>
          <w:highlight w:val="none"/>
        </w:rPr>
        <w:t>此格式仅供参考。</w:t>
      </w:r>
    </w:p>
    <w:p w14:paraId="6A191081">
      <w:pPr>
        <w:pStyle w:val="35"/>
        <w:ind w:firstLine="482"/>
        <w:rPr>
          <w:rFonts w:hint="eastAsia" w:ascii="宋体" w:hAnsi="宋体" w:eastAsia="宋体" w:cs="宋体"/>
          <w:b/>
          <w:bCs/>
          <w:color w:val="auto"/>
          <w:highlight w:val="none"/>
        </w:rPr>
      </w:pPr>
      <w:r>
        <w:rPr>
          <w:rFonts w:hint="eastAsia" w:ascii="宋体" w:hAnsi="宋体" w:eastAsia="宋体" w:cs="宋体"/>
          <w:b/>
          <w:bCs/>
          <w:color w:val="auto"/>
          <w:highlight w:val="none"/>
        </w:rPr>
        <w:t xml:space="preserve"> </w:t>
      </w:r>
    </w:p>
    <w:p w14:paraId="7B70192F">
      <w:pPr>
        <w:pStyle w:val="35"/>
        <w:ind w:firstLine="480"/>
        <w:rPr>
          <w:rFonts w:hint="eastAsia" w:ascii="宋体" w:hAnsi="宋体" w:eastAsia="宋体" w:cs="宋体"/>
          <w:color w:val="auto"/>
          <w:highlight w:val="none"/>
        </w:rPr>
      </w:pPr>
      <w:r>
        <w:rPr>
          <w:rFonts w:hint="eastAsia" w:ascii="宋体" w:hAnsi="宋体" w:eastAsia="宋体" w:cs="宋体"/>
          <w:color w:val="auto"/>
          <w:highlight w:val="none"/>
        </w:rPr>
        <w:t xml:space="preserve"> </w:t>
      </w:r>
    </w:p>
    <w:p w14:paraId="3C7BF3D9">
      <w:pPr>
        <w:rPr>
          <w:rFonts w:hint="eastAsia" w:ascii="宋体" w:hAnsi="宋体" w:eastAsia="宋体" w:cs="宋体"/>
          <w:color w:val="auto"/>
          <w:highlight w:val="none"/>
        </w:rPr>
      </w:pPr>
    </w:p>
    <w:p w14:paraId="64295445">
      <w:pPr>
        <w:pStyle w:val="35"/>
        <w:ind w:firstLine="480"/>
        <w:rPr>
          <w:rFonts w:hint="eastAsia" w:ascii="宋体" w:hAnsi="宋体" w:eastAsia="宋体" w:cs="宋体"/>
          <w:color w:val="auto"/>
          <w:highlight w:val="none"/>
        </w:rPr>
      </w:pPr>
      <w:r>
        <w:rPr>
          <w:rFonts w:hint="eastAsia" w:ascii="宋体" w:hAnsi="宋体" w:eastAsia="宋体" w:cs="宋体"/>
          <w:color w:val="auto"/>
          <w:highlight w:val="none"/>
        </w:rPr>
        <w:t xml:space="preserve"> </w:t>
      </w:r>
    </w:p>
    <w:p w14:paraId="16FF18D1">
      <w:pPr>
        <w:rPr>
          <w:rFonts w:hint="eastAsia" w:ascii="宋体" w:hAnsi="宋体" w:eastAsia="宋体" w:cs="宋体"/>
          <w:b/>
          <w:bCs/>
          <w:color w:val="auto"/>
          <w:highlight w:val="none"/>
        </w:rPr>
      </w:pPr>
      <w:r>
        <w:rPr>
          <w:rFonts w:hint="eastAsia" w:ascii="宋体" w:hAnsi="宋体" w:eastAsia="宋体" w:cs="宋体"/>
          <w:b/>
          <w:bCs/>
          <w:color w:val="auto"/>
          <w:highlight w:val="none"/>
        </w:rPr>
        <w:br w:type="page"/>
      </w:r>
    </w:p>
    <w:p w14:paraId="3E939F7F">
      <w:pPr>
        <w:pStyle w:val="35"/>
        <w:ind w:firstLine="482"/>
        <w:jc w:val="center"/>
        <w:rPr>
          <w:rFonts w:hint="eastAsia" w:ascii="宋体" w:hAnsi="宋体" w:eastAsia="宋体" w:cs="宋体"/>
          <w:b/>
          <w:bCs/>
          <w:color w:val="auto"/>
          <w:highlight w:val="none"/>
        </w:rPr>
      </w:pPr>
      <w:r>
        <w:rPr>
          <w:rFonts w:hint="eastAsia" w:ascii="宋体" w:hAnsi="宋体" w:eastAsia="宋体" w:cs="宋体"/>
          <w:b/>
          <w:bCs/>
          <w:color w:val="auto"/>
          <w:highlight w:val="none"/>
        </w:rPr>
        <w:t>格式12 其他资料</w:t>
      </w:r>
    </w:p>
    <w:p w14:paraId="345074E8">
      <w:pPr>
        <w:pStyle w:val="35"/>
        <w:ind w:firstLine="480"/>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210B4C9B">
      <w:pPr>
        <w:pStyle w:val="35"/>
        <w:ind w:firstLine="482"/>
        <w:jc w:val="center"/>
        <w:rPr>
          <w:rFonts w:hint="eastAsia" w:ascii="宋体" w:hAnsi="宋体" w:eastAsia="宋体" w:cs="宋体"/>
          <w:b/>
          <w:bCs/>
          <w:color w:val="auto"/>
          <w:highlight w:val="none"/>
        </w:rPr>
      </w:pPr>
      <w:r>
        <w:rPr>
          <w:rFonts w:hint="eastAsia" w:ascii="宋体" w:hAnsi="宋体" w:eastAsia="宋体" w:cs="宋体"/>
          <w:b/>
          <w:bCs/>
          <w:color w:val="auto"/>
          <w:highlight w:val="none"/>
        </w:rPr>
        <w:t>格式13 政府采购供应商诚信承诺书</w:t>
      </w:r>
    </w:p>
    <w:p w14:paraId="3E46378B">
      <w:pPr>
        <w:pStyle w:val="35"/>
        <w:ind w:firstLine="480"/>
        <w:rPr>
          <w:rFonts w:hint="eastAsia" w:ascii="宋体" w:hAnsi="宋体" w:eastAsia="宋体" w:cs="宋体"/>
          <w:color w:val="auto"/>
          <w:highlight w:val="none"/>
        </w:rPr>
      </w:pPr>
      <w:r>
        <w:rPr>
          <w:rFonts w:hint="eastAsia" w:ascii="宋体" w:hAnsi="宋体" w:eastAsia="宋体" w:cs="宋体"/>
          <w:color w:val="auto"/>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0F7B5895">
      <w:pPr>
        <w:pStyle w:val="35"/>
        <w:keepNext w:val="0"/>
        <w:keepLines w:val="0"/>
        <w:pageBreakBefore w:val="0"/>
        <w:widowControl/>
        <w:kinsoku/>
        <w:wordWrap/>
        <w:overflowPunct/>
        <w:topLinePunct w:val="0"/>
        <w:autoSpaceDE w:val="0"/>
        <w:autoSpaceDN w:val="0"/>
        <w:bidi w:val="0"/>
        <w:adjustRightInd w:val="0"/>
        <w:snapToGrid w:val="0"/>
        <w:spacing w:line="360" w:lineRule="auto"/>
        <w:ind w:firstLine="480"/>
        <w:textAlignment w:val="auto"/>
        <w:rPr>
          <w:rFonts w:hint="eastAsia" w:ascii="宋体" w:hAnsi="宋体" w:eastAsia="宋体" w:cs="宋体"/>
          <w:color w:val="auto"/>
          <w:highlight w:val="none"/>
        </w:rPr>
      </w:pPr>
      <w:r>
        <w:rPr>
          <w:rFonts w:hint="eastAsia" w:ascii="宋体" w:hAnsi="宋体" w:eastAsia="宋体" w:cs="宋体"/>
          <w:color w:val="auto"/>
          <w:highlight w:val="none"/>
        </w:rPr>
        <w:t>（一）提供虚假材料谋取中标;</w:t>
      </w:r>
    </w:p>
    <w:p w14:paraId="10AF2957">
      <w:pPr>
        <w:pStyle w:val="35"/>
        <w:keepNext w:val="0"/>
        <w:keepLines w:val="0"/>
        <w:pageBreakBefore w:val="0"/>
        <w:widowControl/>
        <w:kinsoku/>
        <w:wordWrap/>
        <w:overflowPunct/>
        <w:topLinePunct w:val="0"/>
        <w:autoSpaceDE w:val="0"/>
        <w:autoSpaceDN w:val="0"/>
        <w:bidi w:val="0"/>
        <w:adjustRightInd w:val="0"/>
        <w:snapToGrid w:val="0"/>
        <w:spacing w:line="360" w:lineRule="auto"/>
        <w:ind w:firstLine="480"/>
        <w:textAlignment w:val="auto"/>
        <w:rPr>
          <w:rFonts w:hint="eastAsia" w:ascii="宋体" w:hAnsi="宋体" w:eastAsia="宋体" w:cs="宋体"/>
          <w:color w:val="auto"/>
          <w:highlight w:val="none"/>
        </w:rPr>
      </w:pPr>
      <w:r>
        <w:rPr>
          <w:rFonts w:hint="eastAsia" w:ascii="宋体" w:hAnsi="宋体" w:eastAsia="宋体" w:cs="宋体"/>
          <w:color w:val="auto"/>
          <w:highlight w:val="none"/>
        </w:rPr>
        <w:t>（二）采取不正当手段诋毁、排挤其他供应商;</w:t>
      </w:r>
    </w:p>
    <w:p w14:paraId="15083192">
      <w:pPr>
        <w:pStyle w:val="35"/>
        <w:keepNext w:val="0"/>
        <w:keepLines w:val="0"/>
        <w:pageBreakBefore w:val="0"/>
        <w:widowControl/>
        <w:kinsoku/>
        <w:wordWrap/>
        <w:overflowPunct/>
        <w:topLinePunct w:val="0"/>
        <w:autoSpaceDE w:val="0"/>
        <w:autoSpaceDN w:val="0"/>
        <w:bidi w:val="0"/>
        <w:adjustRightInd w:val="0"/>
        <w:snapToGrid w:val="0"/>
        <w:spacing w:line="360" w:lineRule="auto"/>
        <w:ind w:firstLine="480"/>
        <w:textAlignment w:val="auto"/>
        <w:rPr>
          <w:rFonts w:hint="eastAsia" w:ascii="宋体" w:hAnsi="宋体" w:eastAsia="宋体" w:cs="宋体"/>
          <w:color w:val="auto"/>
          <w:highlight w:val="none"/>
        </w:rPr>
      </w:pPr>
      <w:r>
        <w:rPr>
          <w:rFonts w:hint="eastAsia" w:ascii="宋体" w:hAnsi="宋体" w:eastAsia="宋体" w:cs="宋体"/>
          <w:color w:val="auto"/>
          <w:highlight w:val="none"/>
        </w:rPr>
        <w:t>（三）与招标采购单位、其他投标人恶意串通;</w:t>
      </w:r>
    </w:p>
    <w:p w14:paraId="0594D7F9">
      <w:pPr>
        <w:pStyle w:val="35"/>
        <w:keepNext w:val="0"/>
        <w:keepLines w:val="0"/>
        <w:pageBreakBefore w:val="0"/>
        <w:widowControl/>
        <w:kinsoku/>
        <w:wordWrap/>
        <w:overflowPunct/>
        <w:topLinePunct w:val="0"/>
        <w:autoSpaceDE w:val="0"/>
        <w:autoSpaceDN w:val="0"/>
        <w:bidi w:val="0"/>
        <w:adjustRightInd w:val="0"/>
        <w:snapToGrid w:val="0"/>
        <w:spacing w:line="360" w:lineRule="auto"/>
        <w:ind w:firstLine="480"/>
        <w:textAlignment w:val="auto"/>
        <w:rPr>
          <w:rFonts w:hint="eastAsia" w:ascii="宋体" w:hAnsi="宋体" w:eastAsia="宋体" w:cs="宋体"/>
          <w:color w:val="auto"/>
          <w:highlight w:val="none"/>
        </w:rPr>
      </w:pPr>
      <w:r>
        <w:rPr>
          <w:rFonts w:hint="eastAsia" w:ascii="宋体" w:hAnsi="宋体" w:eastAsia="宋体" w:cs="宋体"/>
          <w:color w:val="auto"/>
          <w:highlight w:val="none"/>
        </w:rPr>
        <w:t>（四）向招标采购单位或提供其他不正当利益;</w:t>
      </w:r>
    </w:p>
    <w:p w14:paraId="0E7D11B0">
      <w:pPr>
        <w:pStyle w:val="35"/>
        <w:keepNext w:val="0"/>
        <w:keepLines w:val="0"/>
        <w:pageBreakBefore w:val="0"/>
        <w:widowControl/>
        <w:kinsoku/>
        <w:wordWrap/>
        <w:overflowPunct/>
        <w:topLinePunct w:val="0"/>
        <w:autoSpaceDE w:val="0"/>
        <w:autoSpaceDN w:val="0"/>
        <w:bidi w:val="0"/>
        <w:adjustRightInd w:val="0"/>
        <w:snapToGrid w:val="0"/>
        <w:spacing w:line="360" w:lineRule="auto"/>
        <w:ind w:firstLine="480"/>
        <w:textAlignment w:val="auto"/>
        <w:rPr>
          <w:rFonts w:hint="eastAsia" w:ascii="宋体" w:hAnsi="宋体" w:eastAsia="宋体" w:cs="宋体"/>
          <w:color w:val="auto"/>
          <w:highlight w:val="none"/>
        </w:rPr>
      </w:pPr>
      <w:r>
        <w:rPr>
          <w:rFonts w:hint="eastAsia" w:ascii="宋体" w:hAnsi="宋体" w:eastAsia="宋体" w:cs="宋体"/>
          <w:color w:val="auto"/>
          <w:highlight w:val="none"/>
        </w:rPr>
        <w:t>（五）在招标过程中与招标采购单位进行协商谈判、不按照招标文件和投标文件订立合同，或者与采购人另立背离合同实质性内容协议;</w:t>
      </w:r>
    </w:p>
    <w:p w14:paraId="0D3B1C2B">
      <w:pPr>
        <w:pStyle w:val="35"/>
        <w:keepNext w:val="0"/>
        <w:keepLines w:val="0"/>
        <w:pageBreakBefore w:val="0"/>
        <w:widowControl/>
        <w:kinsoku/>
        <w:wordWrap/>
        <w:overflowPunct/>
        <w:topLinePunct w:val="0"/>
        <w:autoSpaceDE w:val="0"/>
        <w:autoSpaceDN w:val="0"/>
        <w:bidi w:val="0"/>
        <w:adjustRightInd w:val="0"/>
        <w:snapToGrid w:val="0"/>
        <w:spacing w:line="360" w:lineRule="auto"/>
        <w:ind w:firstLine="480"/>
        <w:textAlignment w:val="auto"/>
        <w:rPr>
          <w:rFonts w:hint="eastAsia" w:ascii="宋体" w:hAnsi="宋体" w:eastAsia="宋体" w:cs="宋体"/>
          <w:color w:val="auto"/>
          <w:highlight w:val="none"/>
        </w:rPr>
      </w:pPr>
      <w:r>
        <w:rPr>
          <w:rFonts w:hint="eastAsia" w:ascii="宋体" w:hAnsi="宋体" w:eastAsia="宋体" w:cs="宋体"/>
          <w:color w:val="auto"/>
          <w:highlight w:val="none"/>
        </w:rPr>
        <w:t>（六）开标后擅自撤销投标，影响招标继续进行的或领取招标文件纳投标保证金后不投标导致废标;</w:t>
      </w:r>
    </w:p>
    <w:p w14:paraId="58C76431">
      <w:pPr>
        <w:pStyle w:val="35"/>
        <w:keepNext w:val="0"/>
        <w:keepLines w:val="0"/>
        <w:pageBreakBefore w:val="0"/>
        <w:widowControl/>
        <w:kinsoku/>
        <w:wordWrap/>
        <w:overflowPunct/>
        <w:topLinePunct w:val="0"/>
        <w:autoSpaceDE w:val="0"/>
        <w:autoSpaceDN w:val="0"/>
        <w:bidi w:val="0"/>
        <w:adjustRightInd w:val="0"/>
        <w:snapToGrid w:val="0"/>
        <w:spacing w:line="360" w:lineRule="auto"/>
        <w:ind w:firstLine="480"/>
        <w:textAlignment w:val="auto"/>
        <w:rPr>
          <w:rFonts w:hint="eastAsia" w:ascii="宋体" w:hAnsi="宋体" w:eastAsia="宋体" w:cs="宋体"/>
          <w:color w:val="auto"/>
          <w:highlight w:val="none"/>
        </w:rPr>
      </w:pPr>
      <w:r>
        <w:rPr>
          <w:rFonts w:hint="eastAsia" w:ascii="宋体" w:hAnsi="宋体" w:eastAsia="宋体" w:cs="宋体"/>
          <w:color w:val="auto"/>
          <w:highlight w:val="none"/>
        </w:rPr>
        <w:t>（七）中标后无正当理由，在规定时间内不与采购单位签订合同;</w:t>
      </w:r>
    </w:p>
    <w:p w14:paraId="468444A5">
      <w:pPr>
        <w:pStyle w:val="35"/>
        <w:keepNext w:val="0"/>
        <w:keepLines w:val="0"/>
        <w:pageBreakBefore w:val="0"/>
        <w:widowControl/>
        <w:kinsoku/>
        <w:wordWrap/>
        <w:overflowPunct/>
        <w:topLinePunct w:val="0"/>
        <w:autoSpaceDE w:val="0"/>
        <w:autoSpaceDN w:val="0"/>
        <w:bidi w:val="0"/>
        <w:adjustRightInd w:val="0"/>
        <w:snapToGrid w:val="0"/>
        <w:spacing w:line="360" w:lineRule="auto"/>
        <w:ind w:firstLine="480"/>
        <w:textAlignment w:val="auto"/>
        <w:rPr>
          <w:rFonts w:hint="eastAsia" w:ascii="宋体" w:hAnsi="宋体" w:eastAsia="宋体" w:cs="宋体"/>
          <w:color w:val="auto"/>
          <w:highlight w:val="none"/>
        </w:rPr>
      </w:pPr>
      <w:r>
        <w:rPr>
          <w:rFonts w:hint="eastAsia" w:ascii="宋体" w:hAnsi="宋体" w:eastAsia="宋体" w:cs="宋体"/>
          <w:color w:val="auto"/>
          <w:highlight w:val="none"/>
        </w:rPr>
        <w:t>（八）将中标项目转让给他人或非法分包他人;</w:t>
      </w:r>
    </w:p>
    <w:p w14:paraId="20438973">
      <w:pPr>
        <w:pStyle w:val="35"/>
        <w:keepNext w:val="0"/>
        <w:keepLines w:val="0"/>
        <w:pageBreakBefore w:val="0"/>
        <w:widowControl/>
        <w:kinsoku/>
        <w:wordWrap/>
        <w:overflowPunct/>
        <w:topLinePunct w:val="0"/>
        <w:autoSpaceDE w:val="0"/>
        <w:autoSpaceDN w:val="0"/>
        <w:bidi w:val="0"/>
        <w:adjustRightInd w:val="0"/>
        <w:snapToGrid w:val="0"/>
        <w:spacing w:line="360" w:lineRule="auto"/>
        <w:ind w:firstLine="480"/>
        <w:textAlignment w:val="auto"/>
        <w:rPr>
          <w:rFonts w:hint="eastAsia" w:ascii="宋体" w:hAnsi="宋体" w:eastAsia="宋体" w:cs="宋体"/>
          <w:color w:val="auto"/>
          <w:highlight w:val="none"/>
        </w:rPr>
      </w:pPr>
      <w:r>
        <w:rPr>
          <w:rFonts w:hint="eastAsia" w:ascii="宋体" w:hAnsi="宋体" w:eastAsia="宋体" w:cs="宋体"/>
          <w:color w:val="auto"/>
          <w:highlight w:val="none"/>
        </w:rPr>
        <w:t>（九）无正当理由，拒绝履行合同义务;</w:t>
      </w:r>
    </w:p>
    <w:p w14:paraId="2DF7819E">
      <w:pPr>
        <w:pStyle w:val="35"/>
        <w:keepNext w:val="0"/>
        <w:keepLines w:val="0"/>
        <w:pageBreakBefore w:val="0"/>
        <w:widowControl/>
        <w:kinsoku/>
        <w:wordWrap/>
        <w:overflowPunct/>
        <w:topLinePunct w:val="0"/>
        <w:autoSpaceDE w:val="0"/>
        <w:autoSpaceDN w:val="0"/>
        <w:bidi w:val="0"/>
        <w:adjustRightInd w:val="0"/>
        <w:snapToGrid w:val="0"/>
        <w:spacing w:line="360" w:lineRule="auto"/>
        <w:ind w:firstLine="480"/>
        <w:textAlignment w:val="auto"/>
        <w:rPr>
          <w:rFonts w:hint="eastAsia" w:ascii="宋体" w:hAnsi="宋体" w:eastAsia="宋体" w:cs="宋体"/>
          <w:color w:val="auto"/>
          <w:highlight w:val="none"/>
        </w:rPr>
      </w:pPr>
      <w:r>
        <w:rPr>
          <w:rFonts w:hint="eastAsia" w:ascii="宋体" w:hAnsi="宋体" w:eastAsia="宋体" w:cs="宋体"/>
          <w:color w:val="auto"/>
          <w:highlight w:val="none"/>
        </w:rPr>
        <w:t>（十）无正当理由放弃中标（成交）项目;</w:t>
      </w:r>
    </w:p>
    <w:p w14:paraId="65E1C294">
      <w:pPr>
        <w:pStyle w:val="35"/>
        <w:keepNext w:val="0"/>
        <w:keepLines w:val="0"/>
        <w:pageBreakBefore w:val="0"/>
        <w:widowControl/>
        <w:kinsoku/>
        <w:wordWrap/>
        <w:overflowPunct/>
        <w:topLinePunct w:val="0"/>
        <w:autoSpaceDE w:val="0"/>
        <w:autoSpaceDN w:val="0"/>
        <w:bidi w:val="0"/>
        <w:adjustRightInd w:val="0"/>
        <w:snapToGrid w:val="0"/>
        <w:spacing w:line="360" w:lineRule="auto"/>
        <w:ind w:firstLine="480"/>
        <w:textAlignment w:val="auto"/>
        <w:rPr>
          <w:rFonts w:hint="eastAsia" w:ascii="宋体" w:hAnsi="宋体" w:eastAsia="宋体" w:cs="宋体"/>
          <w:color w:val="auto"/>
          <w:highlight w:val="none"/>
        </w:rPr>
      </w:pPr>
      <w:r>
        <w:rPr>
          <w:rFonts w:hint="eastAsia" w:ascii="宋体" w:hAnsi="宋体" w:eastAsia="宋体" w:cs="宋体"/>
          <w:color w:val="auto"/>
          <w:highlight w:val="none"/>
        </w:rPr>
        <w:t>（十一）擅自与采购人串通或接受采购人要求，在履约合同中通过减少货物数量，更换品牌、降低配置、技术要求、质量和服务标准等，却仍按原合同进行虚假验收或终止政府采购合同;</w:t>
      </w:r>
    </w:p>
    <w:p w14:paraId="4698357F">
      <w:pPr>
        <w:pStyle w:val="35"/>
        <w:keepNext w:val="0"/>
        <w:keepLines w:val="0"/>
        <w:pageBreakBefore w:val="0"/>
        <w:widowControl/>
        <w:kinsoku/>
        <w:wordWrap/>
        <w:overflowPunct/>
        <w:topLinePunct w:val="0"/>
        <w:autoSpaceDE w:val="0"/>
        <w:autoSpaceDN w:val="0"/>
        <w:bidi w:val="0"/>
        <w:adjustRightInd w:val="0"/>
        <w:snapToGrid w:val="0"/>
        <w:spacing w:line="360" w:lineRule="auto"/>
        <w:ind w:firstLine="480"/>
        <w:textAlignment w:val="auto"/>
        <w:rPr>
          <w:rFonts w:hint="eastAsia" w:ascii="宋体" w:hAnsi="宋体" w:eastAsia="宋体" w:cs="宋体"/>
          <w:color w:val="auto"/>
          <w:highlight w:val="none"/>
        </w:rPr>
      </w:pPr>
      <w:r>
        <w:rPr>
          <w:rFonts w:hint="eastAsia" w:ascii="宋体" w:hAnsi="宋体" w:eastAsia="宋体" w:cs="宋体"/>
          <w:color w:val="auto"/>
          <w:highlight w:val="none"/>
        </w:rPr>
        <w:t>（十二）与采购人串通，对尚未履约完毕的采购项目出具虚假验收报告；</w:t>
      </w:r>
    </w:p>
    <w:p w14:paraId="6A409503">
      <w:pPr>
        <w:pStyle w:val="35"/>
        <w:keepNext w:val="0"/>
        <w:keepLines w:val="0"/>
        <w:pageBreakBefore w:val="0"/>
        <w:widowControl/>
        <w:kinsoku/>
        <w:wordWrap/>
        <w:overflowPunct/>
        <w:topLinePunct w:val="0"/>
        <w:autoSpaceDE w:val="0"/>
        <w:autoSpaceDN w:val="0"/>
        <w:bidi w:val="0"/>
        <w:adjustRightInd w:val="0"/>
        <w:snapToGrid w:val="0"/>
        <w:spacing w:line="360" w:lineRule="auto"/>
        <w:ind w:firstLine="480"/>
        <w:textAlignment w:val="auto"/>
        <w:rPr>
          <w:rFonts w:hint="eastAsia" w:ascii="宋体" w:hAnsi="宋体" w:eastAsia="宋体" w:cs="宋体"/>
          <w:color w:val="auto"/>
          <w:highlight w:val="none"/>
        </w:rPr>
      </w:pPr>
      <w:r>
        <w:rPr>
          <w:rFonts w:hint="eastAsia" w:ascii="宋体" w:hAnsi="宋体" w:eastAsia="宋体" w:cs="宋体"/>
          <w:color w:val="auto"/>
          <w:highlight w:val="none"/>
        </w:rPr>
        <w:t>（十三）无不可抗力因素，拒绝提供售后服务、售后服务态度恶劣、故意提高维修配件价格（高于市场平均价）；</w:t>
      </w:r>
    </w:p>
    <w:p w14:paraId="1B046DEE">
      <w:pPr>
        <w:pStyle w:val="35"/>
        <w:keepNext w:val="0"/>
        <w:keepLines w:val="0"/>
        <w:pageBreakBefore w:val="0"/>
        <w:widowControl/>
        <w:kinsoku/>
        <w:wordWrap/>
        <w:overflowPunct/>
        <w:topLinePunct w:val="0"/>
        <w:autoSpaceDE w:val="0"/>
        <w:autoSpaceDN w:val="0"/>
        <w:bidi w:val="0"/>
        <w:adjustRightInd w:val="0"/>
        <w:snapToGrid w:val="0"/>
        <w:spacing w:line="360" w:lineRule="auto"/>
        <w:ind w:firstLine="480"/>
        <w:textAlignment w:val="auto"/>
        <w:rPr>
          <w:rFonts w:hint="eastAsia" w:ascii="宋体" w:hAnsi="宋体" w:eastAsia="宋体" w:cs="宋体"/>
          <w:color w:val="auto"/>
          <w:highlight w:val="none"/>
        </w:rPr>
      </w:pPr>
      <w:r>
        <w:rPr>
          <w:rFonts w:hint="eastAsia" w:ascii="宋体" w:hAnsi="宋体" w:eastAsia="宋体" w:cs="宋体"/>
          <w:color w:val="auto"/>
          <w:highlight w:val="none"/>
        </w:rPr>
        <w:t>（十四）开标后对招标文件的相关内容再进行质疑；</w:t>
      </w:r>
    </w:p>
    <w:p w14:paraId="694B4E7E">
      <w:pPr>
        <w:pStyle w:val="35"/>
        <w:keepNext w:val="0"/>
        <w:keepLines w:val="0"/>
        <w:pageBreakBefore w:val="0"/>
        <w:widowControl/>
        <w:kinsoku/>
        <w:wordWrap/>
        <w:overflowPunct/>
        <w:topLinePunct w:val="0"/>
        <w:autoSpaceDE w:val="0"/>
        <w:autoSpaceDN w:val="0"/>
        <w:bidi w:val="0"/>
        <w:adjustRightInd w:val="0"/>
        <w:snapToGrid w:val="0"/>
        <w:spacing w:line="360" w:lineRule="auto"/>
        <w:ind w:firstLine="480"/>
        <w:textAlignment w:val="auto"/>
        <w:rPr>
          <w:rFonts w:hint="eastAsia" w:ascii="宋体" w:hAnsi="宋体" w:eastAsia="宋体" w:cs="宋体"/>
          <w:color w:val="auto"/>
          <w:highlight w:val="none"/>
        </w:rPr>
      </w:pPr>
      <w:r>
        <w:rPr>
          <w:rFonts w:hint="eastAsia" w:ascii="宋体" w:hAnsi="宋体" w:eastAsia="宋体" w:cs="宋体"/>
          <w:color w:val="auto"/>
          <w:highlight w:val="none"/>
        </w:rPr>
        <w:t>（十五）恶意投诉的行为：投诉经查无实据的、捏造事实或者提供虚假设诉材料；</w:t>
      </w:r>
    </w:p>
    <w:p w14:paraId="0C04DB38">
      <w:pPr>
        <w:pStyle w:val="35"/>
        <w:keepNext w:val="0"/>
        <w:keepLines w:val="0"/>
        <w:pageBreakBefore w:val="0"/>
        <w:widowControl/>
        <w:kinsoku/>
        <w:wordWrap/>
        <w:overflowPunct/>
        <w:topLinePunct w:val="0"/>
        <w:autoSpaceDE w:val="0"/>
        <w:autoSpaceDN w:val="0"/>
        <w:bidi w:val="0"/>
        <w:adjustRightInd w:val="0"/>
        <w:snapToGrid w:val="0"/>
        <w:spacing w:line="360" w:lineRule="auto"/>
        <w:ind w:firstLine="480"/>
        <w:textAlignment w:val="auto"/>
        <w:rPr>
          <w:rFonts w:hint="eastAsia" w:ascii="宋体" w:hAnsi="宋体" w:eastAsia="宋体" w:cs="宋体"/>
          <w:color w:val="auto"/>
          <w:highlight w:val="none"/>
        </w:rPr>
      </w:pPr>
      <w:r>
        <w:rPr>
          <w:rFonts w:hint="eastAsia" w:ascii="宋体" w:hAnsi="宋体" w:eastAsia="宋体" w:cs="宋体"/>
          <w:color w:val="auto"/>
          <w:highlight w:val="none"/>
        </w:rPr>
        <w:t>（十六）拒绝有关部门监督检查或者提供虚假情况；</w:t>
      </w:r>
    </w:p>
    <w:p w14:paraId="0F7D5737">
      <w:pPr>
        <w:pStyle w:val="35"/>
        <w:keepNext w:val="0"/>
        <w:keepLines w:val="0"/>
        <w:pageBreakBefore w:val="0"/>
        <w:widowControl/>
        <w:kinsoku/>
        <w:wordWrap/>
        <w:overflowPunct/>
        <w:topLinePunct w:val="0"/>
        <w:autoSpaceDE w:val="0"/>
        <w:autoSpaceDN w:val="0"/>
        <w:bidi w:val="0"/>
        <w:adjustRightInd w:val="0"/>
        <w:snapToGrid w:val="0"/>
        <w:spacing w:line="360" w:lineRule="auto"/>
        <w:ind w:firstLine="480"/>
        <w:textAlignment w:val="auto"/>
        <w:rPr>
          <w:rFonts w:hint="eastAsia" w:ascii="宋体" w:hAnsi="宋体" w:eastAsia="宋体" w:cs="宋体"/>
          <w:color w:val="auto"/>
          <w:highlight w:val="none"/>
        </w:rPr>
      </w:pPr>
      <w:r>
        <w:rPr>
          <w:rFonts w:hint="eastAsia" w:ascii="宋体" w:hAnsi="宋体" w:eastAsia="宋体" w:cs="宋体"/>
          <w:color w:val="auto"/>
          <w:highlight w:val="none"/>
        </w:rPr>
        <w:t>（十七）政府采购监管部门认定的其他政府采购活动中的不诚信行为。</w:t>
      </w:r>
    </w:p>
    <w:p w14:paraId="67D7D84D">
      <w:pPr>
        <w:pStyle w:val="35"/>
        <w:keepNext w:val="0"/>
        <w:keepLines w:val="0"/>
        <w:pageBreakBefore w:val="0"/>
        <w:widowControl/>
        <w:kinsoku/>
        <w:wordWrap/>
        <w:overflowPunct/>
        <w:topLinePunct w:val="0"/>
        <w:autoSpaceDE w:val="0"/>
        <w:autoSpaceDN w:val="0"/>
        <w:bidi w:val="0"/>
        <w:adjustRightInd w:val="0"/>
        <w:snapToGrid w:val="0"/>
        <w:spacing w:line="360" w:lineRule="auto"/>
        <w:ind w:firstLine="3840" w:firstLineChars="1600"/>
        <w:textAlignment w:val="auto"/>
        <w:rPr>
          <w:rFonts w:hint="eastAsia" w:ascii="宋体" w:hAnsi="宋体" w:eastAsia="宋体" w:cs="宋体"/>
          <w:color w:val="auto"/>
          <w:highlight w:val="none"/>
        </w:rPr>
      </w:pPr>
    </w:p>
    <w:p w14:paraId="41ADA8F4">
      <w:pPr>
        <w:pStyle w:val="35"/>
        <w:keepNext w:val="0"/>
        <w:keepLines w:val="0"/>
        <w:pageBreakBefore w:val="0"/>
        <w:widowControl/>
        <w:kinsoku/>
        <w:wordWrap/>
        <w:overflowPunct/>
        <w:topLinePunct w:val="0"/>
        <w:autoSpaceDE w:val="0"/>
        <w:autoSpaceDN w:val="0"/>
        <w:bidi w:val="0"/>
        <w:adjustRightInd w:val="0"/>
        <w:snapToGrid w:val="0"/>
        <w:spacing w:line="360" w:lineRule="auto"/>
        <w:ind w:firstLine="3840" w:firstLineChars="1600"/>
        <w:textAlignment w:val="auto"/>
        <w:rPr>
          <w:rFonts w:hint="eastAsia" w:ascii="宋体" w:hAnsi="宋体" w:eastAsia="宋体" w:cs="宋体"/>
          <w:color w:val="auto"/>
          <w:highlight w:val="none"/>
        </w:rPr>
      </w:pPr>
      <w:r>
        <w:rPr>
          <w:rFonts w:hint="eastAsia" w:ascii="宋体" w:hAnsi="宋体" w:eastAsia="宋体" w:cs="宋体"/>
          <w:color w:val="auto"/>
          <w:highlight w:val="none"/>
        </w:rPr>
        <w:t>供应商名称：（盖章）</w:t>
      </w:r>
    </w:p>
    <w:p w14:paraId="589900EA">
      <w:pPr>
        <w:pStyle w:val="35"/>
        <w:keepNext w:val="0"/>
        <w:keepLines w:val="0"/>
        <w:pageBreakBefore w:val="0"/>
        <w:widowControl/>
        <w:kinsoku/>
        <w:wordWrap/>
        <w:overflowPunct/>
        <w:topLinePunct w:val="0"/>
        <w:autoSpaceDE w:val="0"/>
        <w:autoSpaceDN w:val="0"/>
        <w:bidi w:val="0"/>
        <w:adjustRightInd w:val="0"/>
        <w:snapToGrid w:val="0"/>
        <w:spacing w:line="360" w:lineRule="auto"/>
        <w:ind w:firstLine="3840" w:firstLineChars="1600"/>
        <w:textAlignment w:val="auto"/>
        <w:rPr>
          <w:rFonts w:hint="eastAsia" w:ascii="宋体" w:hAnsi="宋体" w:eastAsia="宋体" w:cs="宋体"/>
          <w:color w:val="auto"/>
          <w:highlight w:val="none"/>
        </w:rPr>
      </w:pPr>
      <w:r>
        <w:rPr>
          <w:rFonts w:hint="eastAsia" w:hAnsi="宋体" w:cs="宋体"/>
          <w:color w:val="auto"/>
          <w:highlight w:val="none"/>
          <w:lang w:val="en-US" w:eastAsia="zh-CN"/>
        </w:rPr>
        <w:t>法定代表人</w:t>
      </w:r>
      <w:r>
        <w:rPr>
          <w:rFonts w:hint="eastAsia" w:hAnsi="宋体" w:cs="宋体"/>
          <w:color w:val="auto"/>
          <w:highlight w:val="none"/>
        </w:rPr>
        <w:t>或委托代理人</w:t>
      </w:r>
      <w:r>
        <w:rPr>
          <w:rFonts w:hint="eastAsia" w:ascii="宋体" w:hAnsi="宋体" w:eastAsia="宋体" w:cs="宋体"/>
          <w:color w:val="auto"/>
          <w:highlight w:val="none"/>
        </w:rPr>
        <w:t>：（签字</w:t>
      </w:r>
      <w:r>
        <w:rPr>
          <w:rFonts w:hint="eastAsia" w:ascii="宋体" w:hAnsi="宋体" w:eastAsia="宋体" w:cs="宋体"/>
          <w:color w:val="auto"/>
          <w:highlight w:val="none"/>
          <w:lang w:val="en-US" w:eastAsia="zh-CN"/>
        </w:rPr>
        <w:t>或盖章</w:t>
      </w:r>
      <w:r>
        <w:rPr>
          <w:rFonts w:hint="eastAsia" w:ascii="宋体" w:hAnsi="宋体" w:eastAsia="宋体" w:cs="宋体"/>
          <w:color w:val="auto"/>
          <w:highlight w:val="none"/>
        </w:rPr>
        <w:t>）</w:t>
      </w:r>
    </w:p>
    <w:p w14:paraId="5DE03EA1">
      <w:pPr>
        <w:pStyle w:val="35"/>
        <w:keepNext w:val="0"/>
        <w:keepLines w:val="0"/>
        <w:pageBreakBefore w:val="0"/>
        <w:widowControl/>
        <w:kinsoku/>
        <w:wordWrap/>
        <w:overflowPunct/>
        <w:topLinePunct w:val="0"/>
        <w:autoSpaceDE w:val="0"/>
        <w:autoSpaceDN w:val="0"/>
        <w:bidi w:val="0"/>
        <w:adjustRightInd w:val="0"/>
        <w:snapToGrid w:val="0"/>
        <w:spacing w:line="360" w:lineRule="auto"/>
        <w:ind w:firstLine="3840" w:firstLineChars="1600"/>
        <w:textAlignment w:val="auto"/>
        <w:rPr>
          <w:rFonts w:hint="eastAsia" w:ascii="宋体" w:hAnsi="宋体" w:eastAsia="宋体" w:cs="宋体"/>
          <w:color w:val="auto"/>
          <w:sz w:val="32"/>
          <w:szCs w:val="32"/>
          <w:highlight w:val="none"/>
        </w:rPr>
      </w:pPr>
      <w:r>
        <w:rPr>
          <w:rFonts w:hint="eastAsia" w:ascii="宋体" w:hAnsi="宋体" w:eastAsia="宋体" w:cs="宋体"/>
          <w:color w:val="auto"/>
          <w:highlight w:val="none"/>
        </w:rPr>
        <w:t>日期：</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年</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月</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日</w:t>
      </w:r>
      <w:bookmarkStart w:id="46" w:name="_Toc17821"/>
      <w:r>
        <w:rPr>
          <w:rFonts w:hint="eastAsia" w:ascii="宋体" w:hAnsi="宋体" w:eastAsia="宋体" w:cs="宋体"/>
          <w:color w:val="auto"/>
          <w:sz w:val="32"/>
          <w:szCs w:val="32"/>
          <w:highlight w:val="none"/>
        </w:rPr>
        <w:br w:type="page"/>
      </w:r>
    </w:p>
    <w:p w14:paraId="2131BC38">
      <w:pPr>
        <w:pStyle w:val="3"/>
        <w:spacing w:before="0" w:after="0" w:line="500" w:lineRule="exact"/>
        <w:jc w:val="center"/>
        <w:rPr>
          <w:rFonts w:hint="eastAsia" w:ascii="宋体" w:hAnsi="宋体" w:eastAsia="宋体" w:cs="宋体"/>
          <w:bCs w:val="0"/>
          <w:color w:val="auto"/>
          <w:sz w:val="32"/>
          <w:szCs w:val="32"/>
          <w:highlight w:val="none"/>
        </w:rPr>
      </w:pPr>
      <w:r>
        <w:rPr>
          <w:rFonts w:hint="eastAsia" w:ascii="宋体" w:hAnsi="宋体" w:eastAsia="宋体" w:cs="宋体"/>
          <w:bCs w:val="0"/>
          <w:color w:val="auto"/>
          <w:sz w:val="32"/>
          <w:szCs w:val="32"/>
          <w:highlight w:val="none"/>
        </w:rPr>
        <w:t xml:space="preserve">第五章 </w:t>
      </w:r>
      <w:r>
        <w:rPr>
          <w:rFonts w:hint="eastAsia" w:ascii="宋体" w:hAnsi="宋体" w:eastAsia="宋体" w:cs="宋体"/>
          <w:bCs w:val="0"/>
          <w:color w:val="auto"/>
          <w:w w:val="92"/>
          <w:sz w:val="32"/>
          <w:szCs w:val="32"/>
          <w:highlight w:val="none"/>
        </w:rPr>
        <w:t>周口市</w:t>
      </w:r>
      <w:r>
        <w:rPr>
          <w:rFonts w:hint="eastAsia" w:ascii="宋体" w:hAnsi="宋体" w:eastAsia="宋体" w:cs="宋体"/>
          <w:bCs w:val="0"/>
          <w:color w:val="auto"/>
          <w:sz w:val="32"/>
          <w:szCs w:val="32"/>
          <w:highlight w:val="none"/>
        </w:rPr>
        <w:t>政府采购合同（服务类）标准文本</w:t>
      </w:r>
      <w:bookmarkEnd w:id="46"/>
    </w:p>
    <w:p w14:paraId="0286E2A0">
      <w:pPr>
        <w:ind w:firstLine="640" w:firstLineChars="200"/>
        <w:rPr>
          <w:rFonts w:hint="eastAsia" w:ascii="宋体" w:hAnsi="宋体" w:eastAsia="宋体" w:cs="宋体"/>
          <w:color w:val="auto"/>
          <w:sz w:val="32"/>
          <w:szCs w:val="32"/>
          <w:highlight w:val="none"/>
        </w:rPr>
      </w:pPr>
    </w:p>
    <w:p w14:paraId="3C0A5083">
      <w:pPr>
        <w:pStyle w:val="83"/>
        <w:spacing w:beforeLines="0" w:afterLines="0"/>
        <w:ind w:left="0" w:firstLine="640" w:firstLineChars="200"/>
        <w:rPr>
          <w:rFonts w:hint="eastAsia" w:ascii="宋体" w:hAnsi="宋体" w:eastAsia="宋体" w:cs="宋体"/>
          <w:color w:val="auto"/>
          <w:sz w:val="32"/>
          <w:szCs w:val="32"/>
          <w:highlight w:val="none"/>
        </w:rPr>
      </w:pPr>
    </w:p>
    <w:p w14:paraId="3E4AC9FB">
      <w:pPr>
        <w:pStyle w:val="83"/>
        <w:spacing w:beforeLines="0" w:afterLines="0"/>
        <w:ind w:left="0" w:firstLine="640" w:firstLineChars="200"/>
        <w:rPr>
          <w:rFonts w:hint="eastAsia" w:ascii="宋体" w:hAnsi="宋体" w:eastAsia="宋体" w:cs="宋体"/>
          <w:color w:val="auto"/>
          <w:sz w:val="32"/>
          <w:szCs w:val="32"/>
          <w:highlight w:val="none"/>
        </w:rPr>
      </w:pPr>
    </w:p>
    <w:p w14:paraId="5AE61657">
      <w:pPr>
        <w:pStyle w:val="83"/>
        <w:spacing w:beforeLines="0" w:afterLines="0"/>
        <w:ind w:left="0" w:firstLine="600" w:firstLineChars="200"/>
        <w:rPr>
          <w:rFonts w:hint="eastAsia" w:ascii="宋体" w:hAnsi="宋体" w:eastAsia="宋体" w:cs="宋体"/>
          <w:color w:val="auto"/>
          <w:sz w:val="30"/>
          <w:szCs w:val="30"/>
          <w:highlight w:val="none"/>
        </w:rPr>
      </w:pPr>
    </w:p>
    <w:p w14:paraId="5F35C462">
      <w:pPr>
        <w:pStyle w:val="83"/>
        <w:spacing w:beforeLines="0" w:afterLines="0"/>
        <w:ind w:left="0" w:firstLine="600" w:firstLineChars="200"/>
        <w:rPr>
          <w:rFonts w:hint="eastAsia" w:ascii="宋体" w:hAnsi="宋体" w:eastAsia="宋体" w:cs="宋体"/>
          <w:color w:val="auto"/>
          <w:sz w:val="30"/>
          <w:szCs w:val="30"/>
          <w:highlight w:val="none"/>
        </w:rPr>
      </w:pPr>
    </w:p>
    <w:p w14:paraId="22EC7D83">
      <w:pPr>
        <w:pStyle w:val="83"/>
        <w:spacing w:beforeLines="0" w:afterLines="0"/>
        <w:ind w:left="0" w:firstLine="600" w:firstLineChars="200"/>
        <w:rPr>
          <w:rFonts w:hint="eastAsia" w:ascii="宋体" w:hAnsi="宋体" w:eastAsia="宋体" w:cs="宋体"/>
          <w:color w:val="auto"/>
          <w:sz w:val="30"/>
          <w:szCs w:val="30"/>
          <w:highlight w:val="none"/>
        </w:rPr>
      </w:pPr>
    </w:p>
    <w:p w14:paraId="46B32D1C">
      <w:pPr>
        <w:pStyle w:val="83"/>
        <w:spacing w:beforeLines="0" w:afterLines="0"/>
        <w:ind w:left="0" w:firstLine="600" w:firstLineChars="200"/>
        <w:rPr>
          <w:rFonts w:hint="eastAsia" w:ascii="宋体" w:hAnsi="宋体" w:eastAsia="宋体" w:cs="宋体"/>
          <w:color w:val="auto"/>
          <w:sz w:val="30"/>
          <w:szCs w:val="30"/>
          <w:highlight w:val="none"/>
        </w:rPr>
      </w:pPr>
    </w:p>
    <w:p w14:paraId="0B42DFA5">
      <w:pPr>
        <w:pStyle w:val="83"/>
        <w:spacing w:beforeLines="0" w:afterLines="0"/>
        <w:ind w:left="0" w:firstLine="600" w:firstLineChars="200"/>
        <w:rPr>
          <w:rFonts w:hint="eastAsia" w:ascii="宋体" w:hAnsi="宋体" w:eastAsia="宋体" w:cs="宋体"/>
          <w:color w:val="auto"/>
          <w:sz w:val="30"/>
          <w:szCs w:val="30"/>
          <w:highlight w:val="none"/>
        </w:rPr>
      </w:pPr>
    </w:p>
    <w:p w14:paraId="1ADDB8AE">
      <w:pPr>
        <w:pStyle w:val="83"/>
        <w:spacing w:beforeLines="0" w:afterLines="0"/>
        <w:ind w:left="0" w:firstLine="600" w:firstLineChars="200"/>
        <w:rPr>
          <w:rFonts w:hint="eastAsia" w:ascii="宋体" w:hAnsi="宋体" w:eastAsia="宋体" w:cs="宋体"/>
          <w:color w:val="auto"/>
          <w:sz w:val="30"/>
          <w:szCs w:val="30"/>
          <w:highlight w:val="none"/>
        </w:rPr>
      </w:pPr>
    </w:p>
    <w:p w14:paraId="4AA34572">
      <w:pPr>
        <w:pStyle w:val="83"/>
        <w:spacing w:beforeLines="0" w:afterLines="0"/>
        <w:ind w:left="0" w:firstLine="600" w:firstLineChars="200"/>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政府采购项目名称：</w:t>
      </w:r>
    </w:p>
    <w:p w14:paraId="4050043A">
      <w:pPr>
        <w:pStyle w:val="83"/>
        <w:spacing w:beforeLines="0" w:afterLines="0"/>
        <w:ind w:left="0" w:firstLine="600" w:firstLineChars="200"/>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政府采购项目编号：</w:t>
      </w:r>
    </w:p>
    <w:p w14:paraId="0182E31C">
      <w:pPr>
        <w:pStyle w:val="83"/>
        <w:spacing w:beforeLines="0" w:afterLines="0"/>
        <w:ind w:left="0" w:firstLine="600" w:firstLineChars="200"/>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采      购    人：</w:t>
      </w:r>
    </w:p>
    <w:p w14:paraId="0FF6B6F7">
      <w:pPr>
        <w:pStyle w:val="83"/>
        <w:spacing w:beforeLines="0" w:afterLines="0"/>
        <w:ind w:left="0" w:firstLine="600" w:firstLineChars="200"/>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供      应    商：</w:t>
      </w:r>
    </w:p>
    <w:p w14:paraId="683CC77C">
      <w:pPr>
        <w:pStyle w:val="83"/>
        <w:spacing w:beforeLines="0" w:afterLines="0"/>
        <w:ind w:left="0" w:firstLine="600" w:firstLineChars="200"/>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合  同  签 订 地：</w:t>
      </w:r>
    </w:p>
    <w:p w14:paraId="4BE56606">
      <w:pPr>
        <w:pStyle w:val="83"/>
        <w:spacing w:beforeLines="0" w:afterLines="0"/>
        <w:ind w:left="0" w:firstLine="600" w:firstLineChars="200"/>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合 同 签订 时 间：</w:t>
      </w:r>
    </w:p>
    <w:p w14:paraId="3D51F265">
      <w:pPr>
        <w:pStyle w:val="83"/>
        <w:spacing w:beforeLines="0" w:afterLines="0"/>
        <w:ind w:left="0" w:firstLine="600" w:firstLineChars="200"/>
        <w:rPr>
          <w:rFonts w:hint="eastAsia" w:ascii="宋体" w:hAnsi="宋体" w:eastAsia="宋体" w:cs="宋体"/>
          <w:color w:val="auto"/>
          <w:sz w:val="30"/>
          <w:szCs w:val="30"/>
          <w:highlight w:val="none"/>
        </w:rPr>
      </w:pPr>
    </w:p>
    <w:p w14:paraId="53B1EF00">
      <w:pPr>
        <w:pStyle w:val="83"/>
        <w:spacing w:beforeLines="0" w:afterLines="0"/>
        <w:ind w:left="0" w:firstLine="600" w:firstLineChars="200"/>
        <w:rPr>
          <w:rFonts w:hint="eastAsia" w:ascii="宋体" w:hAnsi="宋体" w:eastAsia="宋体" w:cs="宋体"/>
          <w:color w:val="auto"/>
          <w:sz w:val="30"/>
          <w:szCs w:val="30"/>
          <w:highlight w:val="none"/>
        </w:rPr>
      </w:pPr>
    </w:p>
    <w:p w14:paraId="6FC2D25B">
      <w:pPr>
        <w:pStyle w:val="83"/>
        <w:spacing w:beforeLines="0" w:afterLines="0"/>
        <w:ind w:left="0" w:firstLine="600" w:firstLineChars="200"/>
        <w:rPr>
          <w:rFonts w:hint="eastAsia" w:ascii="宋体" w:hAnsi="宋体" w:eastAsia="宋体" w:cs="宋体"/>
          <w:color w:val="auto"/>
          <w:sz w:val="30"/>
          <w:szCs w:val="30"/>
          <w:highlight w:val="none"/>
        </w:rPr>
      </w:pPr>
    </w:p>
    <w:p w14:paraId="1E99350F">
      <w:pPr>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br w:type="page"/>
      </w:r>
    </w:p>
    <w:p w14:paraId="42AAADB7">
      <w:pPr>
        <w:pStyle w:val="83"/>
        <w:spacing w:beforeLines="0" w:afterLines="0" w:line="440" w:lineRule="exact"/>
        <w:ind w:left="0"/>
        <w:jc w:val="center"/>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合同签订指引</w:t>
      </w:r>
    </w:p>
    <w:p w14:paraId="1BDD7D06">
      <w:pPr>
        <w:pStyle w:val="83"/>
        <w:spacing w:beforeLines="0" w:afterLines="0" w:line="440" w:lineRule="exact"/>
        <w:ind w:left="0"/>
        <w:rPr>
          <w:rFonts w:hint="eastAsia" w:ascii="宋体" w:hAnsi="宋体" w:eastAsia="宋体" w:cs="宋体"/>
          <w:color w:val="auto"/>
          <w:sz w:val="30"/>
          <w:szCs w:val="30"/>
          <w:highlight w:val="none"/>
        </w:rPr>
      </w:pPr>
    </w:p>
    <w:p w14:paraId="6411704B">
      <w:pPr>
        <w:pStyle w:val="83"/>
        <w:spacing w:beforeLines="0" w:afterLines="0" w:line="440" w:lineRule="exact"/>
        <w:ind w:lef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一、采购人在签订合同时应提供的资料：</w:t>
      </w:r>
    </w:p>
    <w:p w14:paraId="06542CFC">
      <w:pPr>
        <w:pStyle w:val="83"/>
        <w:spacing w:beforeLines="0" w:afterLines="0" w:line="440" w:lineRule="exact"/>
        <w:ind w:lef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1、该政府采购项目的招标采购文件（以网上发布内容为准）；</w:t>
      </w:r>
    </w:p>
    <w:p w14:paraId="0500F35B">
      <w:pPr>
        <w:pStyle w:val="83"/>
        <w:spacing w:beforeLines="0" w:afterLines="0" w:line="440" w:lineRule="exact"/>
        <w:ind w:lef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2、该政府采购项目招标文件的澄清和修改内容（公告内容）；</w:t>
      </w:r>
    </w:p>
    <w:p w14:paraId="4FE427F4">
      <w:pPr>
        <w:pStyle w:val="83"/>
        <w:spacing w:beforeLines="0" w:afterLines="0" w:line="440" w:lineRule="exact"/>
        <w:ind w:lef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3、该政府采购项目评审报告；</w:t>
      </w:r>
    </w:p>
    <w:p w14:paraId="4DB8593F">
      <w:pPr>
        <w:pStyle w:val="83"/>
        <w:spacing w:beforeLines="0" w:afterLines="0" w:line="440" w:lineRule="exact"/>
        <w:ind w:lef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4、采购单位法人授权委托书（法人到场并签字的除外）；</w:t>
      </w:r>
    </w:p>
    <w:p w14:paraId="28A3D891">
      <w:pPr>
        <w:pStyle w:val="83"/>
        <w:spacing w:beforeLines="0" w:afterLines="0" w:line="440" w:lineRule="exact"/>
        <w:ind w:lef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5、采购单位被授权人身份证件（法人到场并签字的除外）；</w:t>
      </w:r>
    </w:p>
    <w:p w14:paraId="6C50AC7F">
      <w:pPr>
        <w:pStyle w:val="83"/>
        <w:spacing w:beforeLines="0" w:afterLines="0" w:line="440" w:lineRule="exact"/>
        <w:ind w:lef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6、采购人和中标供应商（或服务商，下同）约定的其它内容（不得超出招标采购文件实质性内容）。</w:t>
      </w:r>
    </w:p>
    <w:p w14:paraId="1EBA1101">
      <w:pPr>
        <w:pStyle w:val="83"/>
        <w:spacing w:beforeLines="0" w:afterLines="0" w:line="440" w:lineRule="exact"/>
        <w:ind w:lef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二、供应商在签订合同时应提供的资料：</w:t>
      </w:r>
    </w:p>
    <w:p w14:paraId="37156FC3">
      <w:pPr>
        <w:pStyle w:val="83"/>
        <w:spacing w:beforeLines="0" w:afterLines="0" w:line="440" w:lineRule="exact"/>
        <w:ind w:lef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1、该政府采购项目的投标文件（纸质或DPF格式的电子投标文件）；</w:t>
      </w:r>
    </w:p>
    <w:p w14:paraId="7B30F3B1">
      <w:pPr>
        <w:pStyle w:val="83"/>
        <w:spacing w:beforeLines="0" w:afterLines="0" w:line="440" w:lineRule="exact"/>
        <w:ind w:lef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2、针对该项目评审时评审委员会提出的质询答复（纸质并签章）；</w:t>
      </w:r>
    </w:p>
    <w:p w14:paraId="76D0ED03">
      <w:pPr>
        <w:pStyle w:val="83"/>
        <w:spacing w:beforeLines="0" w:afterLines="0" w:line="440" w:lineRule="exact"/>
        <w:ind w:lef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3、该政府采购项目中标通知书；</w:t>
      </w:r>
    </w:p>
    <w:p w14:paraId="14214632">
      <w:pPr>
        <w:pStyle w:val="83"/>
        <w:spacing w:beforeLines="0" w:afterLines="0" w:line="440" w:lineRule="exact"/>
        <w:ind w:lef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4、供应商法人授权委托书（法人到场并签字的除外）；</w:t>
      </w:r>
    </w:p>
    <w:p w14:paraId="6FAE9F47">
      <w:pPr>
        <w:pStyle w:val="83"/>
        <w:spacing w:beforeLines="0" w:afterLines="0" w:line="440" w:lineRule="exact"/>
        <w:ind w:lef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5、供应商被授权人身份证件（法人到场并签字的除外）；</w:t>
      </w:r>
    </w:p>
    <w:p w14:paraId="6BD94638">
      <w:pPr>
        <w:pStyle w:val="83"/>
        <w:spacing w:beforeLines="0" w:afterLines="0" w:line="440" w:lineRule="exact"/>
        <w:ind w:lef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6、供应商和采购人约定的其它内容（不得超出招标采购文件实质性内容）。</w:t>
      </w:r>
    </w:p>
    <w:p w14:paraId="544744A1">
      <w:pPr>
        <w:pStyle w:val="83"/>
        <w:spacing w:beforeLines="0" w:afterLines="0" w:line="440" w:lineRule="exact"/>
        <w:ind w:left="0" w:firstLine="420" w:firstLineChars="200"/>
        <w:rPr>
          <w:rFonts w:hint="eastAsia" w:ascii="宋体" w:hAnsi="宋体" w:eastAsia="宋体" w:cs="宋体"/>
          <w:color w:val="auto"/>
          <w:sz w:val="30"/>
          <w:szCs w:val="30"/>
          <w:highlight w:val="none"/>
        </w:rPr>
      </w:pPr>
      <w:r>
        <w:rPr>
          <w:rFonts w:hint="eastAsia" w:ascii="宋体" w:hAnsi="宋体" w:eastAsia="宋体" w:cs="宋体"/>
          <w:color w:val="auto"/>
          <w:szCs w:val="21"/>
          <w:highlight w:val="none"/>
        </w:rPr>
        <w:t>三、本合同签订后二个工作日内有采购人在“周口市政府采购网”上进行合同公示。</w:t>
      </w:r>
    </w:p>
    <w:p w14:paraId="3FCF06B2">
      <w:pPr>
        <w:pStyle w:val="83"/>
        <w:spacing w:beforeLines="0" w:afterLines="0" w:line="440" w:lineRule="exact"/>
        <w:ind w:left="0"/>
        <w:jc w:val="center"/>
        <w:rPr>
          <w:rFonts w:hint="eastAsia" w:ascii="宋体" w:hAnsi="宋体" w:eastAsia="宋体" w:cs="宋体"/>
          <w:bCs/>
          <w:color w:val="auto"/>
          <w:sz w:val="32"/>
          <w:szCs w:val="32"/>
          <w:highlight w:val="none"/>
        </w:rPr>
      </w:pPr>
    </w:p>
    <w:p w14:paraId="0A38C3C4">
      <w:pPr>
        <w:pStyle w:val="83"/>
        <w:spacing w:beforeLines="0" w:afterLines="0" w:line="440" w:lineRule="exact"/>
        <w:ind w:left="0"/>
        <w:jc w:val="center"/>
        <w:rPr>
          <w:rFonts w:hint="eastAsia" w:ascii="宋体" w:hAnsi="宋体" w:eastAsia="宋体" w:cs="宋体"/>
          <w:color w:val="auto"/>
          <w:sz w:val="32"/>
          <w:szCs w:val="32"/>
          <w:highlight w:val="none"/>
        </w:rPr>
      </w:pPr>
      <w:r>
        <w:rPr>
          <w:rFonts w:hint="eastAsia" w:ascii="宋体" w:hAnsi="宋体" w:eastAsia="宋体" w:cs="宋体"/>
          <w:bCs/>
          <w:color w:val="auto"/>
          <w:sz w:val="32"/>
          <w:szCs w:val="32"/>
          <w:highlight w:val="none"/>
        </w:rPr>
        <w:t>供应商履约验收指引</w:t>
      </w:r>
    </w:p>
    <w:p w14:paraId="61E70B1C">
      <w:pPr>
        <w:pStyle w:val="83"/>
        <w:spacing w:beforeLines="0" w:afterLines="0" w:line="440" w:lineRule="exact"/>
        <w:ind w:left="0" w:firstLine="420" w:firstLineChars="200"/>
        <w:rPr>
          <w:rFonts w:hint="eastAsia" w:ascii="宋体" w:hAnsi="宋体" w:eastAsia="宋体" w:cs="宋体"/>
          <w:color w:val="auto"/>
          <w:szCs w:val="27"/>
          <w:highlight w:val="none"/>
        </w:rPr>
      </w:pPr>
      <w:r>
        <w:rPr>
          <w:rFonts w:hint="eastAsia" w:ascii="宋体" w:hAnsi="宋体" w:eastAsia="宋体" w:cs="宋体"/>
          <w:color w:val="auto"/>
          <w:szCs w:val="21"/>
          <w:highlight w:val="none"/>
        </w:rPr>
        <w:t>1、供应商不得擅自变更合同标的服务内容；</w:t>
      </w:r>
    </w:p>
    <w:p w14:paraId="0E209C7A">
      <w:pPr>
        <w:pStyle w:val="83"/>
        <w:spacing w:beforeLines="0" w:afterLines="0" w:line="440" w:lineRule="exact"/>
        <w:ind w:lef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2、不得以次充优，随意降低服务标准和水平；</w:t>
      </w:r>
    </w:p>
    <w:p w14:paraId="64823777">
      <w:pPr>
        <w:pStyle w:val="83"/>
        <w:spacing w:beforeLines="0" w:afterLines="0" w:line="440" w:lineRule="exact"/>
        <w:ind w:lef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3、对因客观上采购人采购需求发生变化造成的，应提供采、供双方的纸质备忘录材料；</w:t>
      </w:r>
    </w:p>
    <w:p w14:paraId="548EED4E">
      <w:pPr>
        <w:pStyle w:val="83"/>
        <w:spacing w:beforeLines="0" w:afterLines="0" w:line="440" w:lineRule="exact"/>
        <w:ind w:lef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4、在满足验收条件5个工作日内通知采购人组织验收；</w:t>
      </w:r>
    </w:p>
    <w:p w14:paraId="1CB2D152">
      <w:pPr>
        <w:pStyle w:val="83"/>
        <w:spacing w:beforeLines="0" w:afterLines="0" w:line="440" w:lineRule="exact"/>
        <w:ind w:lef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5、供应商应提供需验收服务的清单、标准、达到的水平等量化资料；</w:t>
      </w:r>
    </w:p>
    <w:p w14:paraId="7C05BDD7">
      <w:pPr>
        <w:pStyle w:val="83"/>
        <w:spacing w:beforeLines="0" w:afterLines="0" w:line="440" w:lineRule="exact"/>
        <w:ind w:lef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6、采、供双方约定的验收机构及相关人员组成情况。</w:t>
      </w:r>
    </w:p>
    <w:p w14:paraId="0031D26E">
      <w:pPr>
        <w:pStyle w:val="83"/>
        <w:spacing w:beforeLines="0" w:afterLines="0" w:line="440" w:lineRule="exact"/>
        <w:ind w:lef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7、督促采购人在项目验收结束并达到相关要求后一个工作日内，在“周口市政府采购网”上进行“履约验收”公示。</w:t>
      </w:r>
    </w:p>
    <w:p w14:paraId="73B4A836">
      <w:pPr>
        <w:rPr>
          <w:rFonts w:hint="eastAsia" w:ascii="宋体" w:hAnsi="宋体" w:eastAsia="宋体" w:cs="宋体"/>
          <w:color w:val="auto"/>
          <w:highlight w:val="none"/>
        </w:rPr>
      </w:pPr>
    </w:p>
    <w:p w14:paraId="054C9127">
      <w:pPr>
        <w:rPr>
          <w:rFonts w:hint="eastAsia" w:ascii="宋体" w:hAnsi="宋体" w:eastAsia="宋体" w:cs="宋体"/>
          <w:color w:val="auto"/>
          <w:sz w:val="44"/>
          <w:szCs w:val="44"/>
          <w:highlight w:val="none"/>
        </w:rPr>
      </w:pPr>
      <w:r>
        <w:rPr>
          <w:rFonts w:hint="eastAsia" w:ascii="宋体" w:hAnsi="宋体" w:eastAsia="宋体" w:cs="宋体"/>
          <w:color w:val="auto"/>
          <w:sz w:val="44"/>
          <w:szCs w:val="44"/>
          <w:highlight w:val="none"/>
        </w:rPr>
        <w:br w:type="page"/>
      </w:r>
    </w:p>
    <w:p w14:paraId="32940306">
      <w:pPr>
        <w:spacing w:line="500" w:lineRule="exact"/>
        <w:jc w:val="center"/>
        <w:rPr>
          <w:rFonts w:hint="eastAsia" w:ascii="宋体" w:hAnsi="宋体" w:eastAsia="宋体" w:cs="宋体"/>
          <w:color w:val="auto"/>
          <w:sz w:val="40"/>
          <w:szCs w:val="40"/>
          <w:highlight w:val="none"/>
        </w:rPr>
      </w:pPr>
      <w:r>
        <w:rPr>
          <w:rFonts w:hint="eastAsia" w:ascii="宋体" w:hAnsi="宋体" w:eastAsia="宋体" w:cs="宋体"/>
          <w:color w:val="auto"/>
          <w:sz w:val="40"/>
          <w:szCs w:val="40"/>
          <w:highlight w:val="none"/>
        </w:rPr>
        <w:t>服务合同内容</w:t>
      </w:r>
    </w:p>
    <w:p w14:paraId="3DBC85A2">
      <w:pPr>
        <w:spacing w:line="360" w:lineRule="auto"/>
        <w:ind w:firstLine="420" w:firstLineChars="200"/>
        <w:rPr>
          <w:rFonts w:hint="eastAsia" w:ascii="宋体" w:hAnsi="宋体" w:eastAsia="宋体" w:cs="宋体"/>
          <w:color w:val="auto"/>
          <w:szCs w:val="27"/>
          <w:highlight w:val="none"/>
        </w:rPr>
      </w:pPr>
    </w:p>
    <w:p w14:paraId="4ECCD0C0">
      <w:pPr>
        <w:spacing w:line="360" w:lineRule="auto"/>
        <w:ind w:firstLine="420" w:firstLineChars="200"/>
        <w:rPr>
          <w:rFonts w:hint="eastAsia" w:ascii="宋体" w:hAnsi="宋体" w:eastAsia="宋体" w:cs="宋体"/>
          <w:color w:val="auto"/>
          <w:szCs w:val="27"/>
          <w:highlight w:val="none"/>
          <w:u w:val="single"/>
        </w:rPr>
      </w:pPr>
      <w:r>
        <w:rPr>
          <w:rFonts w:hint="eastAsia" w:ascii="宋体" w:hAnsi="宋体" w:eastAsia="宋体" w:cs="宋体"/>
          <w:color w:val="auto"/>
          <w:szCs w:val="27"/>
          <w:highlight w:val="none"/>
        </w:rPr>
        <w:t xml:space="preserve">采购人（甲方）： </w:t>
      </w:r>
    </w:p>
    <w:p w14:paraId="3F283C31">
      <w:pPr>
        <w:spacing w:line="360" w:lineRule="auto"/>
        <w:ind w:firstLine="420" w:firstLineChars="200"/>
        <w:rPr>
          <w:rFonts w:hint="eastAsia" w:ascii="宋体" w:hAnsi="宋体" w:eastAsia="宋体" w:cs="宋体"/>
          <w:color w:val="auto"/>
          <w:szCs w:val="27"/>
          <w:highlight w:val="none"/>
        </w:rPr>
      </w:pPr>
      <w:r>
        <w:rPr>
          <w:rFonts w:hint="eastAsia" w:ascii="宋体" w:hAnsi="宋体" w:eastAsia="宋体" w:cs="宋体"/>
          <w:color w:val="auto"/>
          <w:szCs w:val="27"/>
          <w:highlight w:val="none"/>
        </w:rPr>
        <w:t>供应商（乙方）：</w:t>
      </w:r>
    </w:p>
    <w:p w14:paraId="02AEF4E5">
      <w:pPr>
        <w:spacing w:line="360" w:lineRule="auto"/>
        <w:ind w:firstLine="420" w:firstLineChars="200"/>
        <w:rPr>
          <w:rFonts w:hint="eastAsia" w:ascii="宋体" w:hAnsi="宋体" w:eastAsia="宋体" w:cs="宋体"/>
          <w:color w:val="auto"/>
          <w:szCs w:val="27"/>
          <w:highlight w:val="none"/>
          <w:u w:val="single"/>
        </w:rPr>
      </w:pPr>
      <w:r>
        <w:rPr>
          <w:rFonts w:hint="eastAsia" w:ascii="宋体" w:hAnsi="宋体" w:eastAsia="宋体" w:cs="宋体"/>
          <w:color w:val="auto"/>
          <w:szCs w:val="27"/>
          <w:highlight w:val="none"/>
        </w:rPr>
        <w:t>签订地点：</w:t>
      </w:r>
    </w:p>
    <w:p w14:paraId="7B103DB9">
      <w:pPr>
        <w:spacing w:line="360" w:lineRule="auto"/>
        <w:ind w:firstLine="420" w:firstLineChars="200"/>
        <w:rPr>
          <w:rFonts w:hint="eastAsia" w:ascii="宋体" w:hAnsi="宋体" w:eastAsia="宋体" w:cs="宋体"/>
          <w:color w:val="auto"/>
          <w:szCs w:val="27"/>
          <w:highlight w:val="none"/>
          <w:u w:val="single"/>
        </w:rPr>
      </w:pPr>
      <w:r>
        <w:rPr>
          <w:rFonts w:hint="eastAsia" w:ascii="宋体" w:hAnsi="宋体" w:eastAsia="宋体" w:cs="宋体"/>
          <w:color w:val="auto"/>
          <w:szCs w:val="27"/>
          <w:highlight w:val="none"/>
        </w:rPr>
        <w:t>项目名称：</w:t>
      </w:r>
    </w:p>
    <w:p w14:paraId="23CBE04C">
      <w:pPr>
        <w:spacing w:line="360" w:lineRule="auto"/>
        <w:ind w:firstLine="420" w:firstLineChars="200"/>
        <w:rPr>
          <w:rFonts w:hint="eastAsia" w:ascii="宋体" w:hAnsi="宋体" w:eastAsia="宋体" w:cs="宋体"/>
          <w:color w:val="auto"/>
          <w:szCs w:val="27"/>
          <w:highlight w:val="none"/>
          <w:u w:val="single"/>
        </w:rPr>
      </w:pPr>
      <w:r>
        <w:rPr>
          <w:rFonts w:hint="eastAsia" w:ascii="宋体" w:hAnsi="宋体" w:eastAsia="宋体" w:cs="宋体"/>
          <w:color w:val="auto"/>
          <w:szCs w:val="27"/>
          <w:highlight w:val="none"/>
        </w:rPr>
        <w:t>项目编号：</w:t>
      </w:r>
    </w:p>
    <w:p w14:paraId="4D8E9CFE">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szCs w:val="27"/>
          <w:highlight w:val="none"/>
        </w:rPr>
        <w:t>财政委托号：</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(财政资金项目必须填写)</w:t>
      </w:r>
    </w:p>
    <w:p w14:paraId="202C378E">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szCs w:val="27"/>
          <w:highlight w:val="none"/>
        </w:rPr>
        <w:t>本项目经批准采用</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78F085BB">
      <w:pPr>
        <w:spacing w:line="360" w:lineRule="auto"/>
        <w:ind w:firstLine="422" w:firstLineChars="200"/>
        <w:rPr>
          <w:rFonts w:hint="eastAsia" w:ascii="宋体" w:hAnsi="宋体" w:eastAsia="宋体" w:cs="宋体"/>
          <w:color w:val="auto"/>
          <w:highlight w:val="none"/>
          <w:u w:val="single"/>
        </w:rPr>
      </w:pPr>
      <w:r>
        <w:rPr>
          <w:rFonts w:hint="eastAsia" w:ascii="宋体" w:hAnsi="宋体" w:eastAsia="宋体" w:cs="宋体"/>
          <w:b/>
          <w:bCs/>
          <w:color w:val="auto"/>
          <w:szCs w:val="27"/>
          <w:highlight w:val="none"/>
        </w:rPr>
        <w:t>第一条</w:t>
      </w:r>
      <w:r>
        <w:rPr>
          <w:rFonts w:hint="eastAsia" w:ascii="宋体" w:hAnsi="宋体" w:eastAsia="宋体" w:cs="宋体"/>
          <w:color w:val="auto"/>
          <w:szCs w:val="27"/>
          <w:highlight w:val="none"/>
        </w:rPr>
        <w:t>   服务的内容、标准、数量和价格：（若服务项目过多则见附表，如有附表则必须加盖印章）</w:t>
      </w:r>
    </w:p>
    <w:tbl>
      <w:tblPr>
        <w:tblStyle w:val="27"/>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25D6C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9777E63">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服务内容</w:t>
            </w:r>
          </w:p>
        </w:tc>
        <w:tc>
          <w:tcPr>
            <w:tcW w:w="1623" w:type="dxa"/>
          </w:tcPr>
          <w:p w14:paraId="70811C6F">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标准水平</w:t>
            </w:r>
          </w:p>
        </w:tc>
        <w:tc>
          <w:tcPr>
            <w:tcW w:w="902" w:type="dxa"/>
          </w:tcPr>
          <w:p w14:paraId="70558324">
            <w:pPr>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单位</w:t>
            </w:r>
          </w:p>
        </w:tc>
        <w:tc>
          <w:tcPr>
            <w:tcW w:w="902" w:type="dxa"/>
          </w:tcPr>
          <w:p w14:paraId="08CD1A82">
            <w:pPr>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数量</w:t>
            </w:r>
          </w:p>
        </w:tc>
        <w:tc>
          <w:tcPr>
            <w:tcW w:w="1071" w:type="dxa"/>
          </w:tcPr>
          <w:p w14:paraId="63EFC5E4">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单价</w:t>
            </w:r>
          </w:p>
        </w:tc>
        <w:tc>
          <w:tcPr>
            <w:tcW w:w="1250" w:type="dxa"/>
          </w:tcPr>
          <w:p w14:paraId="4FE7B96E">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小计</w:t>
            </w:r>
          </w:p>
        </w:tc>
        <w:tc>
          <w:tcPr>
            <w:tcW w:w="1106" w:type="dxa"/>
          </w:tcPr>
          <w:p w14:paraId="0D106A0A">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备注</w:t>
            </w:r>
          </w:p>
        </w:tc>
      </w:tr>
      <w:tr w14:paraId="7C530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6C391501">
            <w:pPr>
              <w:spacing w:line="360" w:lineRule="auto"/>
              <w:ind w:firstLine="420" w:firstLineChars="200"/>
              <w:rPr>
                <w:rFonts w:hint="eastAsia" w:ascii="宋体" w:hAnsi="宋体" w:eastAsia="宋体" w:cs="宋体"/>
                <w:color w:val="auto"/>
                <w:highlight w:val="none"/>
              </w:rPr>
            </w:pPr>
          </w:p>
        </w:tc>
        <w:tc>
          <w:tcPr>
            <w:tcW w:w="1623" w:type="dxa"/>
          </w:tcPr>
          <w:p w14:paraId="142360DD">
            <w:pPr>
              <w:spacing w:line="360" w:lineRule="auto"/>
              <w:ind w:firstLine="420" w:firstLineChars="200"/>
              <w:rPr>
                <w:rFonts w:hint="eastAsia" w:ascii="宋体" w:hAnsi="宋体" w:eastAsia="宋体" w:cs="宋体"/>
                <w:color w:val="auto"/>
                <w:highlight w:val="none"/>
              </w:rPr>
            </w:pPr>
          </w:p>
        </w:tc>
        <w:tc>
          <w:tcPr>
            <w:tcW w:w="902" w:type="dxa"/>
          </w:tcPr>
          <w:p w14:paraId="030862C9">
            <w:pPr>
              <w:spacing w:line="360" w:lineRule="auto"/>
              <w:ind w:firstLine="420" w:firstLineChars="200"/>
              <w:rPr>
                <w:rFonts w:hint="eastAsia" w:ascii="宋体" w:hAnsi="宋体" w:eastAsia="宋体" w:cs="宋体"/>
                <w:color w:val="auto"/>
                <w:highlight w:val="none"/>
              </w:rPr>
            </w:pPr>
          </w:p>
        </w:tc>
        <w:tc>
          <w:tcPr>
            <w:tcW w:w="902" w:type="dxa"/>
          </w:tcPr>
          <w:p w14:paraId="2CF4C9F4">
            <w:pPr>
              <w:spacing w:line="360" w:lineRule="auto"/>
              <w:ind w:firstLine="420" w:firstLineChars="200"/>
              <w:rPr>
                <w:rFonts w:hint="eastAsia" w:ascii="宋体" w:hAnsi="宋体" w:eastAsia="宋体" w:cs="宋体"/>
                <w:color w:val="auto"/>
                <w:highlight w:val="none"/>
              </w:rPr>
            </w:pPr>
          </w:p>
        </w:tc>
        <w:tc>
          <w:tcPr>
            <w:tcW w:w="1071" w:type="dxa"/>
          </w:tcPr>
          <w:p w14:paraId="08F88533">
            <w:pPr>
              <w:spacing w:line="360" w:lineRule="auto"/>
              <w:ind w:firstLine="420" w:firstLineChars="200"/>
              <w:rPr>
                <w:rFonts w:hint="eastAsia" w:ascii="宋体" w:hAnsi="宋体" w:eastAsia="宋体" w:cs="宋体"/>
                <w:color w:val="auto"/>
                <w:highlight w:val="none"/>
              </w:rPr>
            </w:pPr>
          </w:p>
        </w:tc>
        <w:tc>
          <w:tcPr>
            <w:tcW w:w="1250" w:type="dxa"/>
          </w:tcPr>
          <w:p w14:paraId="2DADB01C">
            <w:pPr>
              <w:spacing w:line="360" w:lineRule="auto"/>
              <w:ind w:firstLine="420" w:firstLineChars="200"/>
              <w:rPr>
                <w:rFonts w:hint="eastAsia" w:ascii="宋体" w:hAnsi="宋体" w:eastAsia="宋体" w:cs="宋体"/>
                <w:color w:val="auto"/>
                <w:highlight w:val="none"/>
              </w:rPr>
            </w:pPr>
          </w:p>
        </w:tc>
        <w:tc>
          <w:tcPr>
            <w:tcW w:w="1106" w:type="dxa"/>
          </w:tcPr>
          <w:p w14:paraId="0B06A952">
            <w:pPr>
              <w:spacing w:line="360" w:lineRule="auto"/>
              <w:ind w:firstLine="420" w:firstLineChars="200"/>
              <w:rPr>
                <w:rFonts w:hint="eastAsia" w:ascii="宋体" w:hAnsi="宋体" w:eastAsia="宋体" w:cs="宋体"/>
                <w:color w:val="auto"/>
                <w:highlight w:val="none"/>
              </w:rPr>
            </w:pPr>
          </w:p>
        </w:tc>
      </w:tr>
      <w:tr w14:paraId="5554A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59F938C">
            <w:pPr>
              <w:spacing w:line="360" w:lineRule="auto"/>
              <w:ind w:firstLine="420" w:firstLineChars="200"/>
              <w:rPr>
                <w:rFonts w:hint="eastAsia" w:ascii="宋体" w:hAnsi="宋体" w:eastAsia="宋体" w:cs="宋体"/>
                <w:color w:val="auto"/>
                <w:highlight w:val="none"/>
              </w:rPr>
            </w:pPr>
          </w:p>
        </w:tc>
        <w:tc>
          <w:tcPr>
            <w:tcW w:w="1623" w:type="dxa"/>
          </w:tcPr>
          <w:p w14:paraId="0F2DEC01">
            <w:pPr>
              <w:spacing w:line="360" w:lineRule="auto"/>
              <w:ind w:firstLine="420" w:firstLineChars="200"/>
              <w:rPr>
                <w:rFonts w:hint="eastAsia" w:ascii="宋体" w:hAnsi="宋体" w:eastAsia="宋体" w:cs="宋体"/>
                <w:color w:val="auto"/>
                <w:highlight w:val="none"/>
              </w:rPr>
            </w:pPr>
          </w:p>
        </w:tc>
        <w:tc>
          <w:tcPr>
            <w:tcW w:w="902" w:type="dxa"/>
          </w:tcPr>
          <w:p w14:paraId="39D86601">
            <w:pPr>
              <w:spacing w:line="360" w:lineRule="auto"/>
              <w:ind w:firstLine="420" w:firstLineChars="200"/>
              <w:rPr>
                <w:rFonts w:hint="eastAsia" w:ascii="宋体" w:hAnsi="宋体" w:eastAsia="宋体" w:cs="宋体"/>
                <w:color w:val="auto"/>
                <w:highlight w:val="none"/>
              </w:rPr>
            </w:pPr>
          </w:p>
        </w:tc>
        <w:tc>
          <w:tcPr>
            <w:tcW w:w="902" w:type="dxa"/>
          </w:tcPr>
          <w:p w14:paraId="0D85E5AB">
            <w:pPr>
              <w:spacing w:line="360" w:lineRule="auto"/>
              <w:ind w:firstLine="420" w:firstLineChars="200"/>
              <w:rPr>
                <w:rFonts w:hint="eastAsia" w:ascii="宋体" w:hAnsi="宋体" w:eastAsia="宋体" w:cs="宋体"/>
                <w:color w:val="auto"/>
                <w:highlight w:val="none"/>
              </w:rPr>
            </w:pPr>
          </w:p>
        </w:tc>
        <w:tc>
          <w:tcPr>
            <w:tcW w:w="1071" w:type="dxa"/>
          </w:tcPr>
          <w:p w14:paraId="609110B4">
            <w:pPr>
              <w:spacing w:line="360" w:lineRule="auto"/>
              <w:ind w:firstLine="420" w:firstLineChars="200"/>
              <w:rPr>
                <w:rFonts w:hint="eastAsia" w:ascii="宋体" w:hAnsi="宋体" w:eastAsia="宋体" w:cs="宋体"/>
                <w:color w:val="auto"/>
                <w:highlight w:val="none"/>
              </w:rPr>
            </w:pPr>
          </w:p>
        </w:tc>
        <w:tc>
          <w:tcPr>
            <w:tcW w:w="1250" w:type="dxa"/>
          </w:tcPr>
          <w:p w14:paraId="7D490260">
            <w:pPr>
              <w:spacing w:line="360" w:lineRule="auto"/>
              <w:ind w:firstLine="420" w:firstLineChars="200"/>
              <w:rPr>
                <w:rFonts w:hint="eastAsia" w:ascii="宋体" w:hAnsi="宋体" w:eastAsia="宋体" w:cs="宋体"/>
                <w:color w:val="auto"/>
                <w:highlight w:val="none"/>
              </w:rPr>
            </w:pPr>
          </w:p>
        </w:tc>
        <w:tc>
          <w:tcPr>
            <w:tcW w:w="1106" w:type="dxa"/>
          </w:tcPr>
          <w:p w14:paraId="7179A31A">
            <w:pPr>
              <w:spacing w:line="360" w:lineRule="auto"/>
              <w:ind w:firstLine="420" w:firstLineChars="200"/>
              <w:rPr>
                <w:rFonts w:hint="eastAsia" w:ascii="宋体" w:hAnsi="宋体" w:eastAsia="宋体" w:cs="宋体"/>
                <w:color w:val="auto"/>
                <w:highlight w:val="none"/>
              </w:rPr>
            </w:pPr>
          </w:p>
        </w:tc>
      </w:tr>
      <w:tr w14:paraId="2892B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F9CCBAD">
            <w:pPr>
              <w:spacing w:line="360" w:lineRule="auto"/>
              <w:ind w:firstLine="420" w:firstLineChars="200"/>
              <w:rPr>
                <w:rFonts w:hint="eastAsia" w:ascii="宋体" w:hAnsi="宋体" w:eastAsia="宋体" w:cs="宋体"/>
                <w:color w:val="auto"/>
                <w:highlight w:val="none"/>
              </w:rPr>
            </w:pPr>
          </w:p>
        </w:tc>
        <w:tc>
          <w:tcPr>
            <w:tcW w:w="1623" w:type="dxa"/>
          </w:tcPr>
          <w:p w14:paraId="2AAFA361">
            <w:pPr>
              <w:spacing w:line="360" w:lineRule="auto"/>
              <w:ind w:firstLine="420" w:firstLineChars="200"/>
              <w:rPr>
                <w:rFonts w:hint="eastAsia" w:ascii="宋体" w:hAnsi="宋体" w:eastAsia="宋体" w:cs="宋体"/>
                <w:color w:val="auto"/>
                <w:highlight w:val="none"/>
              </w:rPr>
            </w:pPr>
          </w:p>
        </w:tc>
        <w:tc>
          <w:tcPr>
            <w:tcW w:w="902" w:type="dxa"/>
          </w:tcPr>
          <w:p w14:paraId="4B5163A6">
            <w:pPr>
              <w:spacing w:line="360" w:lineRule="auto"/>
              <w:ind w:firstLine="420" w:firstLineChars="200"/>
              <w:rPr>
                <w:rFonts w:hint="eastAsia" w:ascii="宋体" w:hAnsi="宋体" w:eastAsia="宋体" w:cs="宋体"/>
                <w:color w:val="auto"/>
                <w:highlight w:val="none"/>
              </w:rPr>
            </w:pPr>
          </w:p>
        </w:tc>
        <w:tc>
          <w:tcPr>
            <w:tcW w:w="902" w:type="dxa"/>
          </w:tcPr>
          <w:p w14:paraId="721C865B">
            <w:pPr>
              <w:spacing w:line="360" w:lineRule="auto"/>
              <w:ind w:firstLine="420" w:firstLineChars="200"/>
              <w:rPr>
                <w:rFonts w:hint="eastAsia" w:ascii="宋体" w:hAnsi="宋体" w:eastAsia="宋体" w:cs="宋体"/>
                <w:color w:val="auto"/>
                <w:highlight w:val="none"/>
              </w:rPr>
            </w:pPr>
          </w:p>
        </w:tc>
        <w:tc>
          <w:tcPr>
            <w:tcW w:w="1071" w:type="dxa"/>
          </w:tcPr>
          <w:p w14:paraId="67538024">
            <w:pPr>
              <w:spacing w:line="360" w:lineRule="auto"/>
              <w:ind w:firstLine="420" w:firstLineChars="200"/>
              <w:rPr>
                <w:rFonts w:hint="eastAsia" w:ascii="宋体" w:hAnsi="宋体" w:eastAsia="宋体" w:cs="宋体"/>
                <w:color w:val="auto"/>
                <w:highlight w:val="none"/>
              </w:rPr>
            </w:pPr>
          </w:p>
        </w:tc>
        <w:tc>
          <w:tcPr>
            <w:tcW w:w="1250" w:type="dxa"/>
          </w:tcPr>
          <w:p w14:paraId="33C37E0A">
            <w:pPr>
              <w:spacing w:line="360" w:lineRule="auto"/>
              <w:ind w:firstLine="420" w:firstLineChars="200"/>
              <w:rPr>
                <w:rFonts w:hint="eastAsia" w:ascii="宋体" w:hAnsi="宋体" w:eastAsia="宋体" w:cs="宋体"/>
                <w:color w:val="auto"/>
                <w:highlight w:val="none"/>
              </w:rPr>
            </w:pPr>
          </w:p>
        </w:tc>
        <w:tc>
          <w:tcPr>
            <w:tcW w:w="1106" w:type="dxa"/>
          </w:tcPr>
          <w:p w14:paraId="08930F02">
            <w:pPr>
              <w:spacing w:line="360" w:lineRule="auto"/>
              <w:ind w:firstLine="420" w:firstLineChars="200"/>
              <w:rPr>
                <w:rFonts w:hint="eastAsia" w:ascii="宋体" w:hAnsi="宋体" w:eastAsia="宋体" w:cs="宋体"/>
                <w:color w:val="auto"/>
                <w:highlight w:val="none"/>
              </w:rPr>
            </w:pPr>
          </w:p>
        </w:tc>
      </w:tr>
      <w:tr w14:paraId="34D14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3F6293C6">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合同总价款（大小写）：</w:t>
            </w:r>
          </w:p>
          <w:p w14:paraId="7E879018">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szCs w:val="28"/>
                <w:highlight w:val="none"/>
              </w:rPr>
              <w:t>备注：上述服务包含相关设备购置、人员工资及售后服务、税金、劳保基金、人员培训等费用。</w:t>
            </w:r>
          </w:p>
        </w:tc>
      </w:tr>
    </w:tbl>
    <w:p w14:paraId="77B47CDE">
      <w:pPr>
        <w:spacing w:line="360" w:lineRule="auto"/>
        <w:ind w:firstLine="422" w:firstLineChars="200"/>
        <w:rPr>
          <w:rFonts w:hint="eastAsia" w:ascii="宋体" w:hAnsi="宋体" w:eastAsia="宋体" w:cs="宋体"/>
          <w:color w:val="auto"/>
          <w:highlight w:val="none"/>
        </w:rPr>
      </w:pPr>
      <w:r>
        <w:rPr>
          <w:rFonts w:hint="eastAsia" w:ascii="宋体" w:hAnsi="宋体" w:eastAsia="宋体" w:cs="宋体"/>
          <w:b/>
          <w:bCs/>
          <w:color w:val="auto"/>
          <w:szCs w:val="27"/>
          <w:highlight w:val="none"/>
        </w:rPr>
        <w:t xml:space="preserve">第二条  </w:t>
      </w:r>
      <w:r>
        <w:rPr>
          <w:rFonts w:hint="eastAsia" w:ascii="宋体" w:hAnsi="宋体" w:eastAsia="宋体" w:cs="宋体"/>
          <w:color w:val="auto"/>
          <w:szCs w:val="27"/>
          <w:highlight w:val="none"/>
        </w:rPr>
        <w:t>服务标准（包括达到的水平要求），按下列第（ ）项执行：</w:t>
      </w:r>
    </w:p>
    <w:p w14:paraId="1E85E260">
      <w:pPr>
        <w:spacing w:line="360" w:lineRule="auto"/>
        <w:ind w:firstLine="420" w:firstLineChars="200"/>
        <w:rPr>
          <w:rFonts w:hint="eastAsia" w:ascii="宋体" w:hAnsi="宋体" w:eastAsia="宋体" w:cs="宋体"/>
          <w:color w:val="auto"/>
          <w:szCs w:val="27"/>
          <w:highlight w:val="none"/>
        </w:rPr>
      </w:pPr>
      <w:r>
        <w:rPr>
          <w:rFonts w:hint="eastAsia" w:ascii="宋体" w:hAnsi="宋体" w:eastAsia="宋体" w:cs="宋体"/>
          <w:color w:val="auto"/>
          <w:szCs w:val="27"/>
          <w:highlight w:val="none"/>
        </w:rPr>
        <w:t>①按国家标准执行；②按部颁标准执行；③若无以上标准，则应不低于同行业服务标准；④有特殊要求的，按甲乙双方在合同中商定的要求执行；</w:t>
      </w:r>
    </w:p>
    <w:p w14:paraId="48639C33">
      <w:pPr>
        <w:spacing w:line="360" w:lineRule="auto"/>
        <w:ind w:firstLine="420" w:firstLineChars="200"/>
        <w:rPr>
          <w:rFonts w:hint="eastAsia" w:ascii="宋体" w:hAnsi="宋体" w:eastAsia="宋体" w:cs="宋体"/>
          <w:color w:val="auto"/>
          <w:szCs w:val="27"/>
          <w:highlight w:val="none"/>
          <w:u w:val="single"/>
        </w:rPr>
      </w:pPr>
      <w:r>
        <w:rPr>
          <w:rFonts w:hint="eastAsia" w:ascii="宋体" w:hAnsi="宋体" w:eastAsia="宋体" w:cs="宋体"/>
          <w:color w:val="auto"/>
          <w:highlight w:val="none"/>
        </w:rPr>
        <w:t>乙方提供的服务标准和水平应与招标采购文件规定的标准和水平相一致。</w:t>
      </w:r>
    </w:p>
    <w:p w14:paraId="57E561AC">
      <w:pPr>
        <w:spacing w:line="360" w:lineRule="auto"/>
        <w:ind w:firstLine="422" w:firstLineChars="200"/>
        <w:rPr>
          <w:rFonts w:hint="eastAsia" w:ascii="宋体" w:hAnsi="宋体" w:eastAsia="宋体" w:cs="宋体"/>
          <w:color w:val="auto"/>
          <w:szCs w:val="27"/>
          <w:highlight w:val="none"/>
        </w:rPr>
      </w:pPr>
      <w:r>
        <w:rPr>
          <w:rFonts w:hint="eastAsia" w:ascii="宋体" w:hAnsi="宋体" w:eastAsia="宋体" w:cs="宋体"/>
          <w:b/>
          <w:bCs/>
          <w:color w:val="auto"/>
          <w:szCs w:val="27"/>
          <w:highlight w:val="none"/>
        </w:rPr>
        <w:t xml:space="preserve">第三条  </w:t>
      </w:r>
      <w:r>
        <w:rPr>
          <w:rFonts w:hint="eastAsia" w:ascii="宋体" w:hAnsi="宋体" w:eastAsia="宋体" w:cs="宋体"/>
          <w:color w:val="auto"/>
          <w:szCs w:val="27"/>
          <w:highlight w:val="none"/>
        </w:rPr>
        <w:t>服务的方式、方法、、地点和期限</w:t>
      </w:r>
    </w:p>
    <w:p w14:paraId="5C0D9222">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szCs w:val="27"/>
          <w:highlight w:val="none"/>
        </w:rPr>
        <w:t>1、服务方式：</w:t>
      </w:r>
    </w:p>
    <w:p w14:paraId="3C02FA54">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2、服务方法：</w:t>
      </w:r>
    </w:p>
    <w:p w14:paraId="748A4B6D">
      <w:pPr>
        <w:spacing w:line="360" w:lineRule="auto"/>
        <w:ind w:firstLine="420" w:firstLineChars="200"/>
        <w:rPr>
          <w:rFonts w:hint="eastAsia" w:ascii="宋体" w:hAnsi="宋体" w:eastAsia="宋体" w:cs="宋体"/>
          <w:color w:val="auto"/>
          <w:szCs w:val="27"/>
          <w:highlight w:val="none"/>
        </w:rPr>
      </w:pPr>
      <w:r>
        <w:rPr>
          <w:rFonts w:hint="eastAsia" w:ascii="宋体" w:hAnsi="宋体" w:eastAsia="宋体" w:cs="宋体"/>
          <w:color w:val="auto"/>
          <w:szCs w:val="27"/>
          <w:highlight w:val="none"/>
        </w:rPr>
        <w:t>2、服务地点：</w:t>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p>
    <w:p w14:paraId="46B01DE5">
      <w:pPr>
        <w:spacing w:line="360" w:lineRule="auto"/>
        <w:ind w:firstLine="420" w:firstLineChars="200"/>
        <w:rPr>
          <w:rFonts w:hint="eastAsia" w:ascii="宋体" w:hAnsi="宋体" w:eastAsia="宋体" w:cs="宋体"/>
          <w:color w:val="auto"/>
          <w:szCs w:val="27"/>
          <w:highlight w:val="none"/>
        </w:rPr>
      </w:pPr>
      <w:r>
        <w:rPr>
          <w:rFonts w:hint="eastAsia" w:ascii="宋体" w:hAnsi="宋体" w:eastAsia="宋体" w:cs="宋体"/>
          <w:color w:val="auto"/>
          <w:szCs w:val="27"/>
          <w:highlight w:val="none"/>
        </w:rPr>
        <w:t>3、服务期限：</w:t>
      </w:r>
    </w:p>
    <w:p w14:paraId="7A0A98BA">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第四条  费用及支付方式</w:t>
      </w:r>
    </w:p>
    <w:p w14:paraId="42394845">
      <w:pPr>
        <w:pStyle w:val="9"/>
        <w:kinsoku w:val="0"/>
        <w:overflowPunct w:val="0"/>
        <w:spacing w:line="364" w:lineRule="auto"/>
        <w:ind w:firstLine="422" w:firstLineChars="200"/>
        <w:rPr>
          <w:rFonts w:hint="eastAsia" w:ascii="宋体" w:hAnsi="宋体" w:eastAsia="宋体" w:cs="宋体"/>
          <w:b/>
          <w:color w:val="auto"/>
          <w:highlight w:val="none"/>
        </w:rPr>
      </w:pPr>
      <w:r>
        <w:rPr>
          <w:rFonts w:hint="eastAsia" w:ascii="宋体" w:hAnsi="宋体" w:eastAsia="宋体" w:cs="宋体"/>
          <w:b/>
          <w:color w:val="auto"/>
          <w:highlight w:val="none"/>
        </w:rPr>
        <w:t>(一)本项目费用有以下组成：</w:t>
      </w:r>
    </w:p>
    <w:p w14:paraId="3BCD56C3">
      <w:pPr>
        <w:pStyle w:val="9"/>
        <w:kinsoku w:val="0"/>
        <w:overflowPunct w:val="0"/>
        <w:spacing w:line="364"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 xml:space="preserve"> 1、XX 万元；</w:t>
      </w:r>
    </w:p>
    <w:p w14:paraId="3DE780D2">
      <w:pPr>
        <w:pStyle w:val="9"/>
        <w:kinsoku w:val="0"/>
        <w:overflowPunct w:val="0"/>
        <w:spacing w:line="364"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2、XX 万元；</w:t>
      </w:r>
    </w:p>
    <w:p w14:paraId="04BCE281">
      <w:pPr>
        <w:pStyle w:val="9"/>
        <w:kinsoku w:val="0"/>
        <w:overflowPunct w:val="0"/>
        <w:spacing w:line="364"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w:t>
      </w:r>
    </w:p>
    <w:p w14:paraId="08D86B0A">
      <w:pPr>
        <w:pStyle w:val="9"/>
        <w:kinsoku w:val="0"/>
        <w:overflowPunct w:val="0"/>
        <w:ind w:firstLine="422" w:firstLineChars="200"/>
        <w:rPr>
          <w:rFonts w:hint="eastAsia" w:ascii="宋体" w:hAnsi="宋体" w:eastAsia="宋体" w:cs="宋体"/>
          <w:b/>
          <w:color w:val="auto"/>
          <w:highlight w:val="none"/>
        </w:rPr>
      </w:pPr>
      <w:r>
        <w:rPr>
          <w:rFonts w:hint="eastAsia" w:ascii="宋体" w:hAnsi="宋体" w:eastAsia="宋体" w:cs="宋体"/>
          <w:b/>
          <w:color w:val="auto"/>
          <w:highlight w:val="none"/>
        </w:rPr>
        <w:t>(二)费用支付方式：</w:t>
      </w:r>
    </w:p>
    <w:p w14:paraId="2E0686B8">
      <w:pPr>
        <w:pStyle w:val="9"/>
        <w:kinsoku w:val="0"/>
        <w:overflowPunct w:val="0"/>
        <w:spacing w:line="364"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1、XXXX；</w:t>
      </w:r>
    </w:p>
    <w:p w14:paraId="3AE28F59">
      <w:pPr>
        <w:pStyle w:val="9"/>
        <w:kinsoku w:val="0"/>
        <w:overflowPunct w:val="0"/>
        <w:spacing w:line="364"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2、XXXX ；</w:t>
      </w:r>
    </w:p>
    <w:p w14:paraId="20C3AC63">
      <w:pPr>
        <w:pStyle w:val="9"/>
        <w:kinsoku w:val="0"/>
        <w:overflowPunct w:val="0"/>
        <w:spacing w:line="364"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3、在支付前甲方对乙方的服务进行考核或验收，合格的支付相应款 项。乙方须向甲方出具合法有效完整的完税发票及凭证资料进行支付结算。</w:t>
      </w:r>
    </w:p>
    <w:p w14:paraId="5070DA0D">
      <w:pPr>
        <w:pStyle w:val="9"/>
        <w:kinsoku w:val="0"/>
        <w:overflowPunct w:val="0"/>
        <w:ind w:firstLine="422" w:firstLineChars="200"/>
        <w:rPr>
          <w:rFonts w:hint="eastAsia" w:ascii="宋体" w:hAnsi="宋体" w:eastAsia="宋体" w:cs="宋体"/>
          <w:color w:val="auto"/>
          <w:highlight w:val="none"/>
        </w:rPr>
      </w:pPr>
      <w:r>
        <w:rPr>
          <w:rFonts w:hint="eastAsia" w:ascii="宋体" w:hAnsi="宋体" w:eastAsia="宋体" w:cs="宋体"/>
          <w:b/>
          <w:color w:val="auto"/>
          <w:highlight w:val="none"/>
        </w:rPr>
        <w:t xml:space="preserve">第五条  付款条件   </w:t>
      </w:r>
      <w:r>
        <w:rPr>
          <w:rFonts w:hint="eastAsia" w:ascii="宋体" w:hAnsi="宋体" w:eastAsia="宋体" w:cs="宋体"/>
          <w:color w:val="auto"/>
          <w:highlight w:val="none"/>
        </w:rPr>
        <w:t xml:space="preserve">               </w:t>
      </w:r>
    </w:p>
    <w:p w14:paraId="088AFD11">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本合同以人民币付款。</w:t>
      </w:r>
    </w:p>
    <w:p w14:paraId="193EDEC1">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该项目是否实行预付款：</w:t>
      </w:r>
    </w:p>
    <w:p w14:paraId="133C338D">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实行预付款的条件和比例：</w:t>
      </w:r>
    </w:p>
    <w:p w14:paraId="2306BEF1">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 xml:space="preserve">合同款项结算方式和支付比例：   </w:t>
      </w:r>
    </w:p>
    <w:p w14:paraId="45467237">
      <w:pPr>
        <w:spacing w:line="360" w:lineRule="auto"/>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rPr>
        <w:t>(具体付款方式</w:t>
      </w:r>
      <w:r>
        <w:rPr>
          <w:rFonts w:hint="eastAsia" w:ascii="宋体" w:hAnsi="宋体" w:eastAsia="宋体" w:cs="宋体"/>
          <w:color w:val="auto"/>
          <w:highlight w:val="none"/>
          <w:u w:val="single"/>
        </w:rPr>
        <w:t>按投标人须知前附表以及采、购双方的具体约定</w:t>
      </w:r>
    </w:p>
    <w:p w14:paraId="6AFE3EF9">
      <w:pPr>
        <w:kinsoku w:val="0"/>
        <w:overflowPunct w:val="0"/>
        <w:ind w:firstLine="422" w:firstLineChars="200"/>
        <w:rPr>
          <w:rFonts w:hint="eastAsia" w:ascii="宋体" w:hAnsi="宋体" w:eastAsia="宋体" w:cs="宋体"/>
          <w:b/>
          <w:bCs/>
          <w:color w:val="auto"/>
          <w:szCs w:val="27"/>
          <w:highlight w:val="none"/>
        </w:rPr>
      </w:pPr>
      <w:r>
        <w:rPr>
          <w:rFonts w:hint="eastAsia" w:ascii="宋体" w:hAnsi="宋体" w:eastAsia="宋体" w:cs="宋体"/>
          <w:b/>
          <w:bCs/>
          <w:color w:val="auto"/>
          <w:szCs w:val="27"/>
          <w:highlight w:val="none"/>
        </w:rPr>
        <w:t>第六条  验收方法</w:t>
      </w:r>
    </w:p>
    <w:p w14:paraId="1600F83F">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1.甲、乙双方应严格履行合同有关条款，如果验收过程中发现乙方在没有征得采购人同意的情况下擅自变更合同服务内容，将拒绝通过验收，由此引起的一切后果及损失由乙方承担。</w:t>
      </w:r>
    </w:p>
    <w:p w14:paraId="1FB2387F">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24193B4C">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3、甲方视情况可以邀请参加本项目的其他投标人或者第三方机构参与验收，参与验收的投标人或者第三方机构的意见作为验收书的参考资料一并存档。</w:t>
      </w:r>
    </w:p>
    <w:p w14:paraId="633993EF">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4、涉及安全、消防、环保等其他需要由质检或行业主管部门进行验收的项目，必须邀请相关部门或相关专家参与验收。涉及社会化服务的项目，甲方将要求社会公众人员参与验收。</w:t>
      </w:r>
    </w:p>
    <w:p w14:paraId="5716325E">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检测、验收费用承担方式：</w:t>
      </w:r>
    </w:p>
    <w:p w14:paraId="15FB9D84">
      <w:pPr>
        <w:pStyle w:val="9"/>
        <w:kinsoku w:val="0"/>
        <w:overflowPunct w:val="0"/>
        <w:spacing w:line="364" w:lineRule="auto"/>
        <w:ind w:firstLine="422" w:firstLineChars="200"/>
        <w:rPr>
          <w:rFonts w:hint="eastAsia" w:ascii="宋体" w:hAnsi="宋体" w:eastAsia="宋体" w:cs="宋体"/>
          <w:b/>
          <w:color w:val="auto"/>
          <w:highlight w:val="none"/>
        </w:rPr>
      </w:pPr>
      <w:r>
        <w:rPr>
          <w:rFonts w:hint="eastAsia" w:ascii="宋体" w:hAnsi="宋体" w:eastAsia="宋体" w:cs="宋体"/>
          <w:b/>
          <w:color w:val="auto"/>
          <w:highlight w:val="none"/>
        </w:rPr>
        <w:t>第七条 知识产权</w:t>
      </w:r>
    </w:p>
    <w:p w14:paraId="2EA6CC2F">
      <w:pPr>
        <w:pStyle w:val="9"/>
        <w:kinsoku w:val="0"/>
        <w:overflowPunct w:val="0"/>
        <w:spacing w:line="364"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乙方应保证所提供的服务或其任何一部分均不会侵犯任何第三方的专利权、商标权或著作权。</w:t>
      </w:r>
    </w:p>
    <w:p w14:paraId="522F0CD5">
      <w:pPr>
        <w:kinsoku w:val="0"/>
        <w:overflowPunct w:val="0"/>
        <w:ind w:firstLine="422" w:firstLineChars="200"/>
        <w:rPr>
          <w:rFonts w:hint="eastAsia" w:ascii="宋体" w:hAnsi="宋体" w:eastAsia="宋体" w:cs="宋体"/>
          <w:b/>
          <w:bCs/>
          <w:color w:val="auto"/>
          <w:szCs w:val="27"/>
          <w:highlight w:val="none"/>
        </w:rPr>
      </w:pPr>
      <w:r>
        <w:rPr>
          <w:rFonts w:hint="eastAsia" w:ascii="宋体" w:hAnsi="宋体" w:eastAsia="宋体" w:cs="宋体"/>
          <w:b/>
          <w:bCs/>
          <w:color w:val="auto"/>
          <w:szCs w:val="27"/>
          <w:highlight w:val="none"/>
        </w:rPr>
        <w:t>第八条 无产权瑕疵条款</w:t>
      </w:r>
    </w:p>
    <w:p w14:paraId="59F65572">
      <w:pPr>
        <w:pStyle w:val="9"/>
        <w:kinsoku w:val="0"/>
        <w:overflowPunct w:val="0"/>
        <w:spacing w:line="364"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乙方保证所提供的服务的所有权完全属于乙方且无任何抵押、查封等产权瑕疵。如有产权瑕疵的，视为乙方违约。乙方应负担由此而产生的一切损失。</w:t>
      </w:r>
    </w:p>
    <w:p w14:paraId="3565E090">
      <w:pPr>
        <w:spacing w:line="400" w:lineRule="exact"/>
        <w:ind w:firstLine="422" w:firstLineChars="200"/>
        <w:rPr>
          <w:rFonts w:hint="eastAsia" w:ascii="宋体" w:hAnsi="宋体" w:eastAsia="宋体" w:cs="宋体"/>
          <w:b/>
          <w:bCs/>
          <w:color w:val="auto"/>
          <w:szCs w:val="27"/>
          <w:highlight w:val="none"/>
        </w:rPr>
      </w:pPr>
      <w:r>
        <w:rPr>
          <w:rFonts w:hint="eastAsia" w:ascii="宋体" w:hAnsi="宋体" w:eastAsia="宋体" w:cs="宋体"/>
          <w:b/>
          <w:bCs/>
          <w:color w:val="auto"/>
          <w:szCs w:val="27"/>
          <w:highlight w:val="none"/>
        </w:rPr>
        <w:t xml:space="preserve">第九条  </w:t>
      </w:r>
      <w:r>
        <w:rPr>
          <w:rFonts w:hint="eastAsia" w:ascii="宋体" w:hAnsi="宋体" w:eastAsia="宋体" w:cs="宋体"/>
          <w:color w:val="auto"/>
          <w:szCs w:val="27"/>
          <w:highlight w:val="none"/>
        </w:rPr>
        <w:t>履约（或质量）保证金</w:t>
      </w:r>
    </w:p>
    <w:p w14:paraId="3F0DC486">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1.本项目不收取履约保证金。确需收取履约保证金的，甲方不得要求乙方以现款的形式提供。乙方提供的履约保证金按规定格式以银行保函形式提供，与此有关的费用由服务方承担。</w:t>
      </w:r>
    </w:p>
    <w:p w14:paraId="5D2AD1F2">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2.若确需质量保证金的，质量保证金不得超过合同总价款的5%</w:t>
      </w:r>
    </w:p>
    <w:p w14:paraId="74C88736">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3.如乙方未能履行其合同规定的任何义务，甲方有权从履约保证金中取得补偿。</w:t>
      </w:r>
    </w:p>
    <w:p w14:paraId="602C7509">
      <w:pPr>
        <w:kinsoku w:val="0"/>
        <w:overflowPunct w:val="0"/>
        <w:ind w:firstLine="422" w:firstLineChars="200"/>
        <w:rPr>
          <w:rFonts w:hint="eastAsia" w:ascii="宋体" w:hAnsi="宋体" w:eastAsia="宋体" w:cs="宋体"/>
          <w:b/>
          <w:bCs/>
          <w:color w:val="auto"/>
          <w:szCs w:val="27"/>
          <w:highlight w:val="none"/>
        </w:rPr>
      </w:pPr>
      <w:r>
        <w:rPr>
          <w:rFonts w:hint="eastAsia" w:ascii="宋体" w:hAnsi="宋体" w:eastAsia="宋体" w:cs="宋体"/>
          <w:b/>
          <w:bCs/>
          <w:color w:val="auto"/>
          <w:szCs w:val="27"/>
          <w:highlight w:val="none"/>
        </w:rPr>
        <w:t>第十条 甲方的权利和义务</w:t>
      </w:r>
    </w:p>
    <w:p w14:paraId="7DE92861">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1、甲方有权对合同规定范围内乙方的行为进行监督和检查，拥有监管权。有权定期核对乙方提供服务所配备的人员数量。对甲方认为不合理的部分有权下达整改通知书，并要求乙方限期整改。</w:t>
      </w:r>
    </w:p>
    <w:p w14:paraId="69DF12BD">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2、甲方有权依据双方签订的考评办法对乙方提供的服务进行定期考评。当考评结果未达到标准时，有权依据考评办法约定的数额扣除履约保证金。</w:t>
      </w:r>
    </w:p>
    <w:p w14:paraId="7FC05275">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3、负责检查监督乙方管理工作的实施及制度的执行情况。</w:t>
      </w:r>
    </w:p>
    <w:p w14:paraId="58004754">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4、根据本合同规定，按时向乙方支付应付服务费用。</w:t>
      </w:r>
    </w:p>
    <w:p w14:paraId="5EBBE9CD">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 xml:space="preserve">5、国家法律、法规所规定由甲方承担的其他责任               </w:t>
      </w:r>
    </w:p>
    <w:p w14:paraId="3EA083AC">
      <w:pPr>
        <w:pStyle w:val="9"/>
        <w:kinsoku w:val="0"/>
        <w:overflowPunct w:val="0"/>
        <w:spacing w:line="364" w:lineRule="auto"/>
        <w:ind w:firstLine="422" w:firstLineChars="200"/>
        <w:rPr>
          <w:rFonts w:hint="eastAsia" w:ascii="宋体" w:hAnsi="宋体" w:eastAsia="宋体" w:cs="宋体"/>
          <w:b/>
          <w:color w:val="auto"/>
          <w:highlight w:val="none"/>
        </w:rPr>
      </w:pPr>
      <w:r>
        <w:rPr>
          <w:rFonts w:hint="eastAsia" w:ascii="宋体" w:hAnsi="宋体" w:eastAsia="宋体" w:cs="宋体"/>
          <w:b/>
          <w:color w:val="auto"/>
          <w:highlight w:val="none"/>
        </w:rPr>
        <w:t>第十一条 乙方的权利和义务</w:t>
      </w:r>
    </w:p>
    <w:p w14:paraId="289AEA16">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1、对本合同规定的委托服务范围内的项目享有管理权及服务义务。</w:t>
      </w:r>
    </w:p>
    <w:p w14:paraId="0F8D4FD0">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2、根据本合同的规定向甲方收取相关服务费用，并有权在本项目管理范围内管理及合理使用。</w:t>
      </w:r>
    </w:p>
    <w:p w14:paraId="0FA8C608">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3、及时向甲方通告本项目服务范围内有关服务的重大事项，及时配合处理投诉。</w:t>
      </w:r>
    </w:p>
    <w:p w14:paraId="467253FA">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4、接受项目行业管理部门及政府有关部门的指导，接受甲方的监督。</w:t>
      </w:r>
    </w:p>
    <w:p w14:paraId="59F4B72E">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5、国家法律、法规所规定由乙方承担的其它责任。</w:t>
      </w:r>
    </w:p>
    <w:p w14:paraId="13578050">
      <w:pPr>
        <w:pStyle w:val="9"/>
        <w:kinsoku w:val="0"/>
        <w:overflowPunct w:val="0"/>
        <w:spacing w:line="364" w:lineRule="auto"/>
        <w:ind w:firstLine="422" w:firstLineChars="200"/>
        <w:rPr>
          <w:rFonts w:hint="eastAsia" w:ascii="宋体" w:hAnsi="宋体" w:eastAsia="宋体" w:cs="宋体"/>
          <w:b/>
          <w:color w:val="auto"/>
          <w:highlight w:val="none"/>
        </w:rPr>
      </w:pPr>
      <w:r>
        <w:rPr>
          <w:rFonts w:hint="eastAsia" w:ascii="宋体" w:hAnsi="宋体" w:eastAsia="宋体" w:cs="宋体"/>
          <w:b/>
          <w:color w:val="auto"/>
          <w:highlight w:val="none"/>
        </w:rPr>
        <w:t>第十二条 违约责任</w:t>
      </w:r>
    </w:p>
    <w:p w14:paraId="5E465994">
      <w:pPr>
        <w:pStyle w:val="9"/>
        <w:kinsoku w:val="0"/>
        <w:overflowPunct w:val="0"/>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1、甲乙双方必须遵守本合同并执行合同中的各项规定，保证本合同的正常履行。</w:t>
      </w:r>
    </w:p>
    <w:p w14:paraId="76371DFE">
      <w:pPr>
        <w:pStyle w:val="9"/>
        <w:kinsoku w:val="0"/>
        <w:overflowPunct w:val="0"/>
        <w:spacing w:line="364"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2、甲方逾期付款的，除应及时付足款项外，应向乙方偿付欠款总额万分之 /天的违约金；逾期付款超过 天的，乙方有权终止合同。</w:t>
      </w:r>
    </w:p>
    <w:p w14:paraId="22E051BA">
      <w:pPr>
        <w:pStyle w:val="9"/>
        <w:kinsoku w:val="0"/>
        <w:overflowPunct w:val="0"/>
        <w:spacing w:line="364"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037C02CE">
      <w:pPr>
        <w:pStyle w:val="9"/>
        <w:kinsoku w:val="0"/>
        <w:overflowPunct w:val="0"/>
        <w:spacing w:line="364"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4、变更、中止或者终止合同，有过错的一方应当承担赔偿责任，双方都有过错的，各自承担相应的责任。</w:t>
      </w:r>
    </w:p>
    <w:p w14:paraId="4FDCE4BC">
      <w:pPr>
        <w:spacing w:line="360" w:lineRule="auto"/>
        <w:ind w:firstLine="422" w:firstLineChars="200"/>
        <w:rPr>
          <w:rFonts w:hint="eastAsia" w:ascii="宋体" w:hAnsi="宋体" w:eastAsia="宋体" w:cs="宋体"/>
          <w:b/>
          <w:color w:val="auto"/>
          <w:highlight w:val="none"/>
        </w:rPr>
      </w:pPr>
      <w:r>
        <w:rPr>
          <w:rFonts w:hint="eastAsia" w:ascii="宋体" w:hAnsi="宋体" w:eastAsia="宋体" w:cs="宋体"/>
          <w:b/>
          <w:bCs/>
          <w:color w:val="auto"/>
          <w:szCs w:val="27"/>
          <w:highlight w:val="none"/>
        </w:rPr>
        <w:t xml:space="preserve">第十三条 </w:t>
      </w:r>
      <w:r>
        <w:rPr>
          <w:rFonts w:hint="eastAsia" w:ascii="宋体" w:hAnsi="宋体" w:eastAsia="宋体" w:cs="宋体"/>
          <w:bCs/>
          <w:color w:val="auto"/>
          <w:highlight w:val="none"/>
        </w:rPr>
        <w:t>转让与分包</w:t>
      </w:r>
    </w:p>
    <w:p w14:paraId="10AAA46F">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szCs w:val="27"/>
          <w:highlight w:val="none"/>
        </w:rPr>
        <w:t>.</w:t>
      </w:r>
      <w:r>
        <w:rPr>
          <w:rFonts w:hint="eastAsia" w:ascii="宋体" w:hAnsi="宋体" w:eastAsia="宋体" w:cs="宋体"/>
          <w:color w:val="auto"/>
          <w:highlight w:val="none"/>
        </w:rPr>
        <w:t>除甲方事先书面同意外，乙方不得部分转让或全部转让其应履行的合同义务。</w:t>
      </w:r>
    </w:p>
    <w:p w14:paraId="6C1598EB">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w:t>
      </w:r>
      <w:r>
        <w:rPr>
          <w:rFonts w:hint="eastAsia" w:ascii="宋体" w:hAnsi="宋体" w:eastAsia="宋体" w:cs="宋体"/>
          <w:color w:val="auto"/>
          <w:szCs w:val="27"/>
          <w:highlight w:val="none"/>
        </w:rPr>
        <w:t>.</w:t>
      </w:r>
      <w:r>
        <w:rPr>
          <w:rFonts w:hint="eastAsia" w:ascii="宋体" w:hAnsi="宋体" w:eastAsia="宋体" w:cs="宋体"/>
          <w:color w:val="auto"/>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178A7786">
      <w:pPr>
        <w:spacing w:line="360" w:lineRule="auto"/>
        <w:ind w:firstLine="422" w:firstLineChars="200"/>
        <w:rPr>
          <w:rFonts w:hint="eastAsia" w:ascii="宋体" w:hAnsi="宋体" w:eastAsia="宋体" w:cs="宋体"/>
          <w:b/>
          <w:color w:val="auto"/>
          <w:highlight w:val="none"/>
        </w:rPr>
      </w:pPr>
      <w:r>
        <w:rPr>
          <w:rFonts w:hint="eastAsia" w:ascii="宋体" w:hAnsi="宋体" w:eastAsia="宋体" w:cs="宋体"/>
          <w:b/>
          <w:bCs/>
          <w:color w:val="auto"/>
          <w:szCs w:val="27"/>
          <w:highlight w:val="none"/>
        </w:rPr>
        <w:t xml:space="preserve">第十四条 </w:t>
      </w:r>
      <w:r>
        <w:rPr>
          <w:rFonts w:hint="eastAsia" w:ascii="宋体" w:hAnsi="宋体" w:eastAsia="宋体" w:cs="宋体"/>
          <w:bCs/>
          <w:color w:val="auto"/>
          <w:highlight w:val="none"/>
        </w:rPr>
        <w:t>合同文件及资料的使用</w:t>
      </w:r>
    </w:p>
    <w:p w14:paraId="3E63C4EB">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szCs w:val="27"/>
          <w:highlight w:val="none"/>
        </w:rPr>
        <w:t>.</w:t>
      </w:r>
      <w:r>
        <w:rPr>
          <w:rFonts w:hint="eastAsia" w:ascii="宋体" w:hAnsi="宋体" w:eastAsia="宋体" w:cs="宋体"/>
          <w:color w:val="auto"/>
          <w:highlight w:val="none"/>
        </w:rPr>
        <w:t>乙方在未经甲方同意的情况下，不得将合同、合同中的规定、有关计划、图纸、样本或甲方为上述内容向乙方提供的资料透露给任何人。</w:t>
      </w:r>
    </w:p>
    <w:p w14:paraId="03061DCA">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w:t>
      </w:r>
      <w:r>
        <w:rPr>
          <w:rFonts w:hint="eastAsia" w:ascii="宋体" w:hAnsi="宋体" w:eastAsia="宋体" w:cs="宋体"/>
          <w:color w:val="auto"/>
          <w:szCs w:val="27"/>
          <w:highlight w:val="none"/>
        </w:rPr>
        <w:t>.</w:t>
      </w:r>
      <w:r>
        <w:rPr>
          <w:rFonts w:hint="eastAsia" w:ascii="宋体" w:hAnsi="宋体" w:eastAsia="宋体" w:cs="宋体"/>
          <w:color w:val="auto"/>
          <w:highlight w:val="none"/>
        </w:rPr>
        <w:t>除非执行合同需要，在事先未得到甲方同意的情况下，乙方不得使用前款所列的任何文件和资料。</w:t>
      </w:r>
    </w:p>
    <w:p w14:paraId="79E43428">
      <w:pPr>
        <w:kinsoku w:val="0"/>
        <w:overflowPunct w:val="0"/>
        <w:ind w:firstLine="422" w:firstLineChars="200"/>
        <w:rPr>
          <w:rFonts w:hint="eastAsia" w:ascii="宋体" w:hAnsi="宋体" w:eastAsia="宋体" w:cs="宋体"/>
          <w:b/>
          <w:bCs/>
          <w:color w:val="auto"/>
          <w:szCs w:val="27"/>
          <w:highlight w:val="none"/>
        </w:rPr>
      </w:pPr>
      <w:r>
        <w:rPr>
          <w:rFonts w:hint="eastAsia" w:ascii="宋体" w:hAnsi="宋体" w:eastAsia="宋体" w:cs="宋体"/>
          <w:b/>
          <w:bCs/>
          <w:color w:val="auto"/>
          <w:szCs w:val="27"/>
          <w:highlight w:val="none"/>
        </w:rPr>
        <w:t>第十五条 不可抗力事件处理</w:t>
      </w:r>
    </w:p>
    <w:p w14:paraId="3798872F">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szCs w:val="27"/>
          <w:highlight w:val="none"/>
        </w:rPr>
        <w:t>.</w:t>
      </w:r>
      <w:r>
        <w:rPr>
          <w:rFonts w:hint="eastAsia" w:ascii="宋体" w:hAnsi="宋体" w:eastAsia="宋体" w:cs="宋体"/>
          <w:color w:val="auto"/>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382279CD">
      <w:pPr>
        <w:spacing w:line="360" w:lineRule="auto"/>
        <w:ind w:firstLine="420" w:firstLineChars="200"/>
        <w:rPr>
          <w:rFonts w:hint="eastAsia" w:ascii="宋体" w:hAnsi="宋体" w:eastAsia="宋体" w:cs="宋体"/>
          <w:color w:val="auto"/>
          <w:szCs w:val="27"/>
          <w:highlight w:val="none"/>
        </w:rPr>
      </w:pPr>
      <w:r>
        <w:rPr>
          <w:rFonts w:hint="eastAsia" w:ascii="宋体" w:hAnsi="宋体" w:eastAsia="宋体" w:cs="宋体"/>
          <w:color w:val="auto"/>
          <w:highlight w:val="none"/>
        </w:rPr>
        <w:t>2</w:t>
      </w:r>
      <w:r>
        <w:rPr>
          <w:rFonts w:hint="eastAsia" w:ascii="宋体" w:hAnsi="宋体" w:eastAsia="宋体" w:cs="宋体"/>
          <w:color w:val="auto"/>
          <w:szCs w:val="27"/>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1CC3618D">
      <w:pPr>
        <w:kinsoku w:val="0"/>
        <w:overflowPunct w:val="0"/>
        <w:ind w:firstLine="422" w:firstLineChars="200"/>
        <w:rPr>
          <w:rFonts w:hint="eastAsia" w:ascii="宋体" w:hAnsi="宋体" w:eastAsia="宋体" w:cs="宋体"/>
          <w:b/>
          <w:bCs/>
          <w:color w:val="auto"/>
          <w:szCs w:val="27"/>
          <w:highlight w:val="none"/>
        </w:rPr>
      </w:pPr>
      <w:r>
        <w:rPr>
          <w:rFonts w:hint="eastAsia" w:ascii="宋体" w:hAnsi="宋体" w:eastAsia="宋体" w:cs="宋体"/>
          <w:b/>
          <w:bCs/>
          <w:color w:val="auto"/>
          <w:szCs w:val="27"/>
          <w:highlight w:val="none"/>
        </w:rPr>
        <w:t>第十六条 合同纠纷调处</w:t>
      </w:r>
    </w:p>
    <w:p w14:paraId="1690CA01">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szCs w:val="27"/>
          <w:highlight w:val="none"/>
        </w:rPr>
        <w:t>.按本合同规定应该偿付的违约金、赔偿金、保管保养费和各种经济损失，应当在明确责任后10天内，按银行规定的结算办法付清，否则按逾期付款处理。</w:t>
      </w:r>
    </w:p>
    <w:p w14:paraId="643F5356">
      <w:pPr>
        <w:spacing w:line="360" w:lineRule="auto"/>
        <w:ind w:firstLine="420" w:firstLineChars="200"/>
        <w:rPr>
          <w:rFonts w:hint="eastAsia" w:ascii="宋体" w:hAnsi="宋体" w:eastAsia="宋体" w:cs="宋体"/>
          <w:color w:val="auto"/>
          <w:szCs w:val="27"/>
          <w:highlight w:val="none"/>
        </w:rPr>
      </w:pPr>
      <w:r>
        <w:rPr>
          <w:rFonts w:hint="eastAsia" w:ascii="宋体" w:hAnsi="宋体" w:eastAsia="宋体" w:cs="宋体"/>
          <w:color w:val="auto"/>
          <w:highlight w:val="none"/>
        </w:rPr>
        <w:t>2</w:t>
      </w:r>
      <w:r>
        <w:rPr>
          <w:rFonts w:hint="eastAsia" w:ascii="宋体" w:hAnsi="宋体" w:eastAsia="宋体" w:cs="宋体"/>
          <w:color w:val="auto"/>
          <w:szCs w:val="27"/>
          <w:highlight w:val="none"/>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color w:val="auto"/>
          <w:szCs w:val="27"/>
          <w:highlight w:val="none"/>
          <w:u w:val="single"/>
        </w:rPr>
        <w:t>周口仲裁委员会</w:t>
      </w:r>
      <w:r>
        <w:rPr>
          <w:rFonts w:hint="eastAsia" w:ascii="宋体" w:hAnsi="宋体" w:eastAsia="宋体" w:cs="宋体"/>
          <w:color w:val="auto"/>
          <w:szCs w:val="27"/>
          <w:highlight w:val="none"/>
        </w:rPr>
        <w:t>申请仲裁。②向</w:t>
      </w:r>
      <w:r>
        <w:rPr>
          <w:rFonts w:hint="eastAsia" w:ascii="宋体" w:hAnsi="宋体" w:eastAsia="宋体" w:cs="宋体"/>
          <w:color w:val="auto"/>
          <w:highlight w:val="none"/>
        </w:rPr>
        <w:t>合同签订地有级别管辖权的</w:t>
      </w:r>
      <w:r>
        <w:rPr>
          <w:rFonts w:hint="eastAsia" w:ascii="宋体" w:hAnsi="宋体" w:eastAsia="宋体" w:cs="宋体"/>
          <w:color w:val="auto"/>
          <w:szCs w:val="27"/>
          <w:highlight w:val="none"/>
        </w:rPr>
        <w:t>人民法院起诉。</w:t>
      </w:r>
    </w:p>
    <w:p w14:paraId="78513EF3">
      <w:pPr>
        <w:kinsoku w:val="0"/>
        <w:overflowPunct w:val="0"/>
        <w:ind w:firstLine="420" w:firstLineChars="200"/>
        <w:rPr>
          <w:rFonts w:hint="eastAsia" w:ascii="宋体" w:hAnsi="宋体" w:eastAsia="宋体" w:cs="宋体"/>
          <w:color w:val="auto"/>
          <w:szCs w:val="27"/>
          <w:highlight w:val="none"/>
        </w:rPr>
      </w:pPr>
      <w:r>
        <w:rPr>
          <w:rFonts w:hint="eastAsia" w:ascii="宋体" w:hAnsi="宋体" w:eastAsia="宋体" w:cs="宋体"/>
          <w:color w:val="auto"/>
          <w:szCs w:val="27"/>
          <w:highlight w:val="none"/>
        </w:rPr>
        <w:t>3、甲、乙双方均有权利向本项目具有监管职能的政府采购监督管理部门举报反映对方在合同履约中的违法违纪行为。</w:t>
      </w:r>
    </w:p>
    <w:p w14:paraId="235CDAEE">
      <w:pPr>
        <w:spacing w:line="360" w:lineRule="auto"/>
        <w:ind w:firstLine="422" w:firstLineChars="200"/>
        <w:rPr>
          <w:rFonts w:hint="eastAsia" w:ascii="宋体" w:hAnsi="宋体" w:eastAsia="宋体" w:cs="宋体"/>
          <w:b/>
          <w:bCs/>
          <w:color w:val="auto"/>
          <w:szCs w:val="27"/>
          <w:highlight w:val="none"/>
        </w:rPr>
      </w:pPr>
      <w:r>
        <w:rPr>
          <w:rFonts w:hint="eastAsia" w:ascii="宋体" w:hAnsi="宋体" w:eastAsia="宋体" w:cs="宋体"/>
          <w:b/>
          <w:bCs/>
          <w:color w:val="auto"/>
          <w:szCs w:val="27"/>
          <w:highlight w:val="none"/>
        </w:rPr>
        <w:t>第十七条 其他</w:t>
      </w:r>
    </w:p>
    <w:p w14:paraId="2FFC112C">
      <w:pPr>
        <w:spacing w:line="360" w:lineRule="auto"/>
        <w:ind w:firstLine="422" w:firstLineChars="200"/>
        <w:rPr>
          <w:rFonts w:hint="eastAsia" w:ascii="宋体" w:hAnsi="宋体" w:eastAsia="宋体" w:cs="宋体"/>
          <w:color w:val="auto"/>
          <w:szCs w:val="27"/>
          <w:highlight w:val="none"/>
        </w:rPr>
      </w:pPr>
      <w:r>
        <w:rPr>
          <w:rFonts w:hint="eastAsia" w:ascii="宋体" w:hAnsi="宋体" w:eastAsia="宋体" w:cs="宋体"/>
          <w:b/>
          <w:bCs/>
          <w:color w:val="auto"/>
          <w:szCs w:val="27"/>
          <w:highlight w:val="none"/>
        </w:rPr>
        <w:t xml:space="preserve"> </w:t>
      </w:r>
      <w:r>
        <w:rPr>
          <w:rFonts w:hint="eastAsia" w:ascii="宋体" w:hAnsi="宋体" w:eastAsia="宋体" w:cs="宋体"/>
          <w:color w:val="auto"/>
          <w:szCs w:val="27"/>
          <w:highlight w:val="none"/>
        </w:rPr>
        <w:t>下列关于周口市公共资源交易中心政府采购代理机构名称</w:t>
      </w:r>
      <w:r>
        <w:rPr>
          <w:rFonts w:hint="eastAsia" w:ascii="宋体" w:hAnsi="宋体" w:eastAsia="宋体" w:cs="宋体"/>
          <w:color w:val="auto"/>
          <w:szCs w:val="27"/>
          <w:highlight w:val="none"/>
          <w:u w:val="single"/>
        </w:rPr>
        <w:t>某项目（项目编号：某编号）</w:t>
      </w:r>
      <w:r>
        <w:rPr>
          <w:rFonts w:hint="eastAsia" w:ascii="宋体" w:hAnsi="宋体" w:eastAsia="宋体" w:cs="宋体"/>
          <w:color w:val="auto"/>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44B6AE75">
      <w:pPr>
        <w:spacing w:line="360" w:lineRule="auto"/>
        <w:ind w:firstLine="420" w:firstLineChars="200"/>
        <w:rPr>
          <w:rFonts w:hint="eastAsia" w:ascii="宋体" w:hAnsi="宋体" w:eastAsia="宋体" w:cs="宋体"/>
          <w:color w:val="auto"/>
          <w:szCs w:val="27"/>
          <w:highlight w:val="none"/>
        </w:rPr>
      </w:pPr>
      <w:r>
        <w:rPr>
          <w:rFonts w:hint="eastAsia" w:ascii="宋体" w:hAnsi="宋体" w:eastAsia="宋体" w:cs="宋体"/>
          <w:color w:val="auto"/>
          <w:szCs w:val="27"/>
          <w:highlight w:val="none"/>
        </w:rPr>
        <w:t xml:space="preserve">    </w:t>
      </w:r>
      <w:r>
        <w:rPr>
          <w:rFonts w:hint="eastAsia" w:ascii="宋体" w:hAnsi="宋体" w:eastAsia="宋体" w:cs="宋体"/>
          <w:color w:val="auto"/>
          <w:highlight w:val="none"/>
        </w:rPr>
        <w:t>本合同一式</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份，甲乙双方各执</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份，自双方当事人签字盖章之日起生效。</w:t>
      </w:r>
    </w:p>
    <w:p w14:paraId="77052CD0">
      <w:pPr>
        <w:spacing w:line="360" w:lineRule="auto"/>
        <w:ind w:firstLine="420" w:firstLineChars="200"/>
        <w:rPr>
          <w:rFonts w:hint="eastAsia" w:ascii="宋体" w:hAnsi="宋体" w:eastAsia="宋体" w:cs="宋体"/>
          <w:color w:val="auto"/>
          <w:szCs w:val="27"/>
          <w:highlight w:val="none"/>
        </w:rPr>
      </w:pPr>
    </w:p>
    <w:p w14:paraId="4A9A8324">
      <w:pPr>
        <w:pStyle w:val="38"/>
        <w:ind w:firstLine="210"/>
        <w:rPr>
          <w:rFonts w:hint="eastAsia" w:ascii="宋体" w:hAnsi="宋体" w:eastAsia="宋体" w:cs="宋体"/>
          <w:color w:val="auto"/>
          <w:highlight w:val="none"/>
        </w:rPr>
      </w:pPr>
    </w:p>
    <w:p w14:paraId="26898EE4">
      <w:pPr>
        <w:spacing w:line="360" w:lineRule="auto"/>
        <w:ind w:firstLine="420" w:firstLineChars="200"/>
        <w:rPr>
          <w:rFonts w:hint="eastAsia" w:ascii="宋体" w:hAnsi="宋体" w:eastAsia="宋体" w:cs="宋体"/>
          <w:color w:val="auto"/>
          <w:szCs w:val="27"/>
          <w:highlight w:val="none"/>
        </w:rPr>
      </w:pPr>
      <w:r>
        <w:rPr>
          <w:rFonts w:hint="eastAsia" w:ascii="宋体" w:hAnsi="宋体" w:eastAsia="宋体" w:cs="宋体"/>
          <w:color w:val="auto"/>
          <w:szCs w:val="27"/>
          <w:highlight w:val="none"/>
        </w:rPr>
        <w:t xml:space="preserve">采购人（甲方）：    （公章）         供货人（乙方）：     （公章）  </w:t>
      </w:r>
    </w:p>
    <w:p w14:paraId="7E67B4A3">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szCs w:val="27"/>
          <w:highlight w:val="none"/>
        </w:rPr>
        <w:t>地址：                               地址：</w:t>
      </w:r>
    </w:p>
    <w:p w14:paraId="646802D8">
      <w:pPr>
        <w:spacing w:line="360" w:lineRule="auto"/>
        <w:ind w:firstLine="420" w:firstLineChars="200"/>
        <w:rPr>
          <w:rFonts w:hint="eastAsia" w:ascii="宋体" w:hAnsi="宋体" w:eastAsia="宋体" w:cs="宋体"/>
          <w:color w:val="auto"/>
          <w:szCs w:val="27"/>
          <w:highlight w:val="none"/>
        </w:rPr>
      </w:pPr>
      <w:r>
        <w:rPr>
          <w:rFonts w:hint="eastAsia" w:ascii="宋体" w:hAnsi="宋体" w:eastAsia="宋体" w:cs="宋体"/>
          <w:color w:val="auto"/>
          <w:szCs w:val="27"/>
          <w:highlight w:val="none"/>
        </w:rPr>
        <w:t>法定代表人：                         法定代表人：</w:t>
      </w:r>
    </w:p>
    <w:p w14:paraId="15C94B98">
      <w:pPr>
        <w:spacing w:line="360" w:lineRule="auto"/>
        <w:ind w:firstLine="420" w:firstLineChars="200"/>
        <w:rPr>
          <w:rFonts w:hint="eastAsia" w:ascii="宋体" w:hAnsi="宋体" w:eastAsia="宋体" w:cs="宋体"/>
          <w:color w:val="auto"/>
          <w:highlight w:val="none"/>
          <w:u w:val="single"/>
        </w:rPr>
      </w:pPr>
      <w:r>
        <w:rPr>
          <w:rFonts w:hint="eastAsia" w:ascii="宋体" w:hAnsi="宋体" w:eastAsia="宋体" w:cs="宋体"/>
          <w:color w:val="auto"/>
          <w:szCs w:val="27"/>
          <w:highlight w:val="none"/>
        </w:rPr>
        <w:t>委托代理人：                         委托代理人：</w:t>
      </w:r>
    </w:p>
    <w:p w14:paraId="6C9D9749">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电话：                               电话：</w:t>
      </w:r>
    </w:p>
    <w:p w14:paraId="6515F50F">
      <w:pPr>
        <w:spacing w:line="360" w:lineRule="auto"/>
        <w:ind w:firstLine="420" w:firstLineChars="200"/>
        <w:rPr>
          <w:rFonts w:hint="eastAsia" w:ascii="宋体" w:hAnsi="宋体" w:eastAsia="宋体" w:cs="宋体"/>
          <w:color w:val="auto"/>
          <w:szCs w:val="27"/>
          <w:highlight w:val="none"/>
        </w:rPr>
      </w:pPr>
      <w:r>
        <w:rPr>
          <w:rFonts w:hint="eastAsia" w:ascii="宋体" w:hAnsi="宋体" w:eastAsia="宋体" w:cs="宋体"/>
          <w:color w:val="auto"/>
          <w:szCs w:val="27"/>
          <w:highlight w:val="none"/>
        </w:rPr>
        <w:t>开户银行：                           开户银行：</w:t>
      </w:r>
    </w:p>
    <w:p w14:paraId="45F2B824">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szCs w:val="27"/>
          <w:highlight w:val="none"/>
        </w:rPr>
        <w:t>账号：                               账号：</w:t>
      </w:r>
    </w:p>
    <w:p w14:paraId="27D767EB">
      <w:pPr>
        <w:spacing w:line="640" w:lineRule="exact"/>
        <w:ind w:firstLine="420" w:firstLineChars="200"/>
        <w:rPr>
          <w:rFonts w:hint="eastAsia" w:ascii="宋体" w:hAnsi="宋体" w:eastAsia="宋体" w:cs="宋体"/>
          <w:color w:val="auto"/>
          <w:szCs w:val="27"/>
          <w:highlight w:val="none"/>
          <w:u w:val="single"/>
        </w:rPr>
      </w:pPr>
    </w:p>
    <w:p w14:paraId="7BFC3E39">
      <w:pPr>
        <w:pStyle w:val="38"/>
        <w:ind w:firstLine="210"/>
        <w:rPr>
          <w:rFonts w:hint="eastAsia" w:ascii="宋体" w:hAnsi="宋体" w:eastAsia="宋体" w:cs="宋体"/>
          <w:b/>
          <w:color w:val="auto"/>
          <w:sz w:val="32"/>
          <w:szCs w:val="32"/>
          <w:highlight w:val="none"/>
        </w:rPr>
      </w:pPr>
      <w:r>
        <w:rPr>
          <w:rFonts w:hint="eastAsia" w:ascii="宋体" w:hAnsi="宋体" w:eastAsia="宋体" w:cs="宋体"/>
          <w:color w:val="auto"/>
          <w:szCs w:val="27"/>
          <w:highlight w:val="none"/>
          <w:u w:val="single"/>
        </w:rPr>
        <w:t>   </w:t>
      </w:r>
      <w:r>
        <w:rPr>
          <w:rFonts w:hint="eastAsia" w:ascii="宋体" w:hAnsi="宋体" w:eastAsia="宋体" w:cs="宋体"/>
          <w:color w:val="auto"/>
          <w:szCs w:val="27"/>
          <w:highlight w:val="none"/>
        </w:rPr>
        <w:t>年</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月</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 xml:space="preserve">日        </w:t>
      </w:r>
      <w:r>
        <w:rPr>
          <w:rFonts w:hint="eastAsia" w:ascii="宋体" w:hAnsi="宋体" w:cs="宋体"/>
          <w:color w:val="auto"/>
          <w:szCs w:val="27"/>
          <w:highlight w:val="none"/>
          <w:lang w:val="en-US" w:eastAsia="zh-CN"/>
        </w:rPr>
        <w:t xml:space="preserve">     </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年</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月</w:t>
      </w:r>
      <w:r>
        <w:rPr>
          <w:rFonts w:hint="eastAsia" w:ascii="宋体" w:hAnsi="宋体" w:eastAsia="宋体" w:cs="宋体"/>
          <w:color w:val="auto"/>
          <w:szCs w:val="27"/>
          <w:highlight w:val="none"/>
          <w:u w:val="single"/>
        </w:rPr>
        <w:t xml:space="preserve">  </w:t>
      </w:r>
      <w:r>
        <w:rPr>
          <w:rFonts w:hint="eastAsia" w:ascii="宋体" w:hAnsi="宋体" w:cs="宋体"/>
          <w:color w:val="auto"/>
          <w:szCs w:val="27"/>
          <w:highlight w:val="none"/>
          <w:u w:val="single"/>
          <w:lang w:val="en-US" w:eastAsia="zh-CN"/>
        </w:rPr>
        <w:t xml:space="preserve">   </w:t>
      </w:r>
      <w:r>
        <w:rPr>
          <w:rFonts w:hint="eastAsia" w:ascii="宋体" w:hAnsi="宋体" w:eastAsia="宋体" w:cs="宋体"/>
          <w:color w:val="auto"/>
          <w:szCs w:val="27"/>
          <w:highlight w:val="none"/>
        </w:rPr>
        <w:t>日</w:t>
      </w:r>
    </w:p>
    <w:p w14:paraId="5EE4FC73">
      <w:pP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br w:type="page"/>
      </w:r>
    </w:p>
    <w:p w14:paraId="14D66BBF">
      <w:pPr>
        <w:pStyle w:val="38"/>
        <w:spacing w:line="520" w:lineRule="exact"/>
        <w:ind w:firstLine="321"/>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周口市政府采购合同融资政策告知函</w:t>
      </w:r>
    </w:p>
    <w:p w14:paraId="7630DB8E">
      <w:pPr>
        <w:pStyle w:val="38"/>
        <w:spacing w:line="520" w:lineRule="exact"/>
        <w:ind w:firstLine="240"/>
        <w:rPr>
          <w:rFonts w:hint="eastAsia" w:ascii="宋体" w:hAnsi="宋体" w:eastAsia="宋体" w:cs="宋体"/>
          <w:color w:val="auto"/>
          <w:sz w:val="24"/>
          <w:highlight w:val="none"/>
        </w:rPr>
      </w:pPr>
      <w:r>
        <w:rPr>
          <w:rFonts w:hint="eastAsia" w:ascii="宋体" w:hAnsi="宋体" w:eastAsia="宋体" w:cs="宋体"/>
          <w:color w:val="auto"/>
          <w:sz w:val="24"/>
          <w:highlight w:val="none"/>
        </w:rPr>
        <w:t>各供应商：</w:t>
      </w:r>
    </w:p>
    <w:p w14:paraId="6710F7E0">
      <w:pPr>
        <w:pStyle w:val="38"/>
        <w:spacing w:line="520" w:lineRule="exact"/>
        <w:ind w:firstLine="240"/>
        <w:rPr>
          <w:rFonts w:hint="eastAsia" w:ascii="宋体" w:hAnsi="宋体" w:eastAsia="宋体" w:cs="宋体"/>
          <w:color w:val="auto"/>
          <w:sz w:val="24"/>
          <w:highlight w:val="none"/>
        </w:rPr>
      </w:pPr>
      <w:r>
        <w:rPr>
          <w:rFonts w:hint="eastAsia" w:ascii="宋体" w:hAnsi="宋体" w:eastAsia="宋体" w:cs="宋体"/>
          <w:color w:val="auto"/>
          <w:sz w:val="24"/>
          <w:highlight w:val="none"/>
        </w:rPr>
        <w:t>欢迎贵公司参与周口市政府采购活动！</w:t>
      </w:r>
    </w:p>
    <w:p w14:paraId="2A446EF6">
      <w:pPr>
        <w:pStyle w:val="38"/>
        <w:spacing w:line="520" w:lineRule="exact"/>
        <w:ind w:firstLine="240"/>
        <w:rPr>
          <w:rFonts w:hint="eastAsia" w:ascii="宋体" w:hAnsi="宋体" w:eastAsia="宋体" w:cs="宋体"/>
          <w:color w:val="auto"/>
          <w:sz w:val="24"/>
          <w:highlight w:val="none"/>
        </w:rPr>
      </w:pPr>
      <w:r>
        <w:rPr>
          <w:rFonts w:hint="eastAsia" w:ascii="宋体" w:hAnsi="宋体" w:eastAsia="宋体" w:cs="宋体"/>
          <w:color w:val="auto"/>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09D2B252">
      <w:pPr>
        <w:pStyle w:val="38"/>
        <w:spacing w:line="520" w:lineRule="exact"/>
        <w:ind w:firstLine="240"/>
        <w:rPr>
          <w:rFonts w:hint="eastAsia" w:ascii="宋体" w:hAnsi="宋体" w:eastAsia="宋体" w:cs="宋体"/>
          <w:color w:val="auto"/>
          <w:sz w:val="24"/>
          <w:highlight w:val="none"/>
        </w:rPr>
      </w:pPr>
      <w:r>
        <w:rPr>
          <w:rFonts w:hint="eastAsia" w:ascii="宋体" w:hAnsi="宋体" w:eastAsia="宋体" w:cs="宋体"/>
          <w:color w:val="auto"/>
          <w:sz w:val="24"/>
          <w:highlight w:val="none"/>
        </w:rPr>
        <w:t>贷款渠道和提供贷款的金融机构，可在河南省政府采购网“河南省政府采购合同融资平台”查询联系。</w:t>
      </w:r>
    </w:p>
    <w:p w14:paraId="2595CCF7">
      <w:pPr>
        <w:rPr>
          <w:rFonts w:hint="eastAsia" w:ascii="宋体" w:hAnsi="宋体" w:eastAsia="宋体" w:cs="宋体"/>
          <w:color w:val="auto"/>
          <w:highlight w:val="none"/>
        </w:rPr>
      </w:pPr>
    </w:p>
    <w:sectPr>
      <w:pgSz w:w="11907" w:h="16840"/>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楷体">
    <w:altName w:val="宋体"/>
    <w:panose1 w:val="02010600040101010101"/>
    <w:charset w:val="86"/>
    <w:family w:val="auto"/>
    <w:pitch w:val="default"/>
    <w:sig w:usb0="00000000" w:usb1="00000000" w:usb2="00000000" w:usb3="00000000" w:csb0="0004009F" w:csb1="DFD7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Droid Sans">
    <w:altName w:val="宋体"/>
    <w:panose1 w:val="00000000000000000000"/>
    <w:charset w:val="00"/>
    <w:family w:val="auto"/>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4D4014">
    <w:pPr>
      <w:pStyle w:val="17"/>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20</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199A53">
    <w:pPr>
      <w:pStyle w:val="18"/>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1B4A1809"/>
    <w:multiLevelType w:val="multilevel"/>
    <w:tmpl w:val="1B4A1809"/>
    <w:lvl w:ilvl="0" w:tentative="0">
      <w:start w:val="2"/>
      <w:numFmt w:val="decimal"/>
      <w:lvlText w:val="%1."/>
      <w:lvlJc w:val="left"/>
      <w:pPr>
        <w:tabs>
          <w:tab w:val="left" w:pos="312"/>
        </w:tabs>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1"/>
  </w:num>
  <w:num w:numId="2">
    <w:abstractNumId w:val="0"/>
  </w:num>
  <w:num w:numId="3">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gutterAtTop/>
  <w:documentProtection w:enforcement="0"/>
  <w:defaultTabStop w:val="420"/>
  <w:drawingGridHorizontalSpacing w:val="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YzYyNWQ1YjZlYTc4Mjk0YmYzMGUyNDM3Yjk5ZGQifQ=="/>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31AA7"/>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1E2"/>
    <w:rsid w:val="000A520A"/>
    <w:rsid w:val="000A5315"/>
    <w:rsid w:val="000B3B85"/>
    <w:rsid w:val="000B560A"/>
    <w:rsid w:val="000B7098"/>
    <w:rsid w:val="000C0E0E"/>
    <w:rsid w:val="000C3A4C"/>
    <w:rsid w:val="000D1060"/>
    <w:rsid w:val="000D13CD"/>
    <w:rsid w:val="000D2FDB"/>
    <w:rsid w:val="000D5EE1"/>
    <w:rsid w:val="000E1B46"/>
    <w:rsid w:val="000E6816"/>
    <w:rsid w:val="000F00E0"/>
    <w:rsid w:val="000F1943"/>
    <w:rsid w:val="000F24C7"/>
    <w:rsid w:val="000F39F3"/>
    <w:rsid w:val="000F7A85"/>
    <w:rsid w:val="00101C3F"/>
    <w:rsid w:val="001044E9"/>
    <w:rsid w:val="00110380"/>
    <w:rsid w:val="00112A3E"/>
    <w:rsid w:val="00114EC3"/>
    <w:rsid w:val="0011768E"/>
    <w:rsid w:val="00120244"/>
    <w:rsid w:val="00123AA2"/>
    <w:rsid w:val="001302F5"/>
    <w:rsid w:val="001337D6"/>
    <w:rsid w:val="00136327"/>
    <w:rsid w:val="00140512"/>
    <w:rsid w:val="00144E58"/>
    <w:rsid w:val="00145F03"/>
    <w:rsid w:val="00146C5A"/>
    <w:rsid w:val="001559D7"/>
    <w:rsid w:val="00156E7B"/>
    <w:rsid w:val="00157047"/>
    <w:rsid w:val="00163FD1"/>
    <w:rsid w:val="001670CA"/>
    <w:rsid w:val="00170FFC"/>
    <w:rsid w:val="00172A27"/>
    <w:rsid w:val="001740C8"/>
    <w:rsid w:val="001741A6"/>
    <w:rsid w:val="0017512B"/>
    <w:rsid w:val="0018079E"/>
    <w:rsid w:val="001836E3"/>
    <w:rsid w:val="00186974"/>
    <w:rsid w:val="00191897"/>
    <w:rsid w:val="00194767"/>
    <w:rsid w:val="00195842"/>
    <w:rsid w:val="00195D4F"/>
    <w:rsid w:val="00196EC8"/>
    <w:rsid w:val="001A0695"/>
    <w:rsid w:val="001A26F3"/>
    <w:rsid w:val="001A346F"/>
    <w:rsid w:val="001A59B6"/>
    <w:rsid w:val="001A5BD3"/>
    <w:rsid w:val="001B15B5"/>
    <w:rsid w:val="001B4FAB"/>
    <w:rsid w:val="001B576E"/>
    <w:rsid w:val="001B5FA9"/>
    <w:rsid w:val="001B7F67"/>
    <w:rsid w:val="001C2A62"/>
    <w:rsid w:val="001C5B45"/>
    <w:rsid w:val="001C621E"/>
    <w:rsid w:val="001C7744"/>
    <w:rsid w:val="001D45CF"/>
    <w:rsid w:val="001D7BCE"/>
    <w:rsid w:val="001E56E8"/>
    <w:rsid w:val="001F1738"/>
    <w:rsid w:val="001F441B"/>
    <w:rsid w:val="00200168"/>
    <w:rsid w:val="002025C2"/>
    <w:rsid w:val="00205F75"/>
    <w:rsid w:val="00206F03"/>
    <w:rsid w:val="00207987"/>
    <w:rsid w:val="00207FC8"/>
    <w:rsid w:val="00212001"/>
    <w:rsid w:val="00213E36"/>
    <w:rsid w:val="002156E9"/>
    <w:rsid w:val="002176AB"/>
    <w:rsid w:val="0022038E"/>
    <w:rsid w:val="0022145E"/>
    <w:rsid w:val="00222577"/>
    <w:rsid w:val="00224F94"/>
    <w:rsid w:val="00245594"/>
    <w:rsid w:val="00246082"/>
    <w:rsid w:val="002463BA"/>
    <w:rsid w:val="00247A19"/>
    <w:rsid w:val="00251AE3"/>
    <w:rsid w:val="00257C04"/>
    <w:rsid w:val="002628B8"/>
    <w:rsid w:val="00265B18"/>
    <w:rsid w:val="00270508"/>
    <w:rsid w:val="00270AB4"/>
    <w:rsid w:val="00280A38"/>
    <w:rsid w:val="0028546B"/>
    <w:rsid w:val="00290E21"/>
    <w:rsid w:val="002A0E0E"/>
    <w:rsid w:val="002A134F"/>
    <w:rsid w:val="002A2FB3"/>
    <w:rsid w:val="002A33CC"/>
    <w:rsid w:val="002A6593"/>
    <w:rsid w:val="002A6941"/>
    <w:rsid w:val="002B273C"/>
    <w:rsid w:val="002B29FD"/>
    <w:rsid w:val="002B4CF0"/>
    <w:rsid w:val="002B7671"/>
    <w:rsid w:val="002B7AB2"/>
    <w:rsid w:val="002C00CD"/>
    <w:rsid w:val="002C24BA"/>
    <w:rsid w:val="002C440E"/>
    <w:rsid w:val="002C650A"/>
    <w:rsid w:val="002D2A87"/>
    <w:rsid w:val="002D2DA6"/>
    <w:rsid w:val="002D5602"/>
    <w:rsid w:val="002D63D4"/>
    <w:rsid w:val="002D6658"/>
    <w:rsid w:val="002D6811"/>
    <w:rsid w:val="002D7BB8"/>
    <w:rsid w:val="002E3325"/>
    <w:rsid w:val="002F1318"/>
    <w:rsid w:val="002F3064"/>
    <w:rsid w:val="00300BC8"/>
    <w:rsid w:val="00304C09"/>
    <w:rsid w:val="00310CDB"/>
    <w:rsid w:val="00315AD3"/>
    <w:rsid w:val="00322F75"/>
    <w:rsid w:val="0032356A"/>
    <w:rsid w:val="00323990"/>
    <w:rsid w:val="00327B1D"/>
    <w:rsid w:val="00331138"/>
    <w:rsid w:val="00336C0C"/>
    <w:rsid w:val="003370FE"/>
    <w:rsid w:val="00341B57"/>
    <w:rsid w:val="003420B3"/>
    <w:rsid w:val="0034239E"/>
    <w:rsid w:val="00342B36"/>
    <w:rsid w:val="00342B7F"/>
    <w:rsid w:val="00347F63"/>
    <w:rsid w:val="003504C7"/>
    <w:rsid w:val="00360B52"/>
    <w:rsid w:val="0036629C"/>
    <w:rsid w:val="00367065"/>
    <w:rsid w:val="003723EC"/>
    <w:rsid w:val="0037369C"/>
    <w:rsid w:val="00373F72"/>
    <w:rsid w:val="0037692C"/>
    <w:rsid w:val="0037728A"/>
    <w:rsid w:val="00381FD5"/>
    <w:rsid w:val="0038214C"/>
    <w:rsid w:val="00386520"/>
    <w:rsid w:val="00397A34"/>
    <w:rsid w:val="003A3D7E"/>
    <w:rsid w:val="003A4ABC"/>
    <w:rsid w:val="003B0DED"/>
    <w:rsid w:val="003B488B"/>
    <w:rsid w:val="003B75AF"/>
    <w:rsid w:val="003C0583"/>
    <w:rsid w:val="003C21D6"/>
    <w:rsid w:val="003C2A5C"/>
    <w:rsid w:val="003C4372"/>
    <w:rsid w:val="003C5B13"/>
    <w:rsid w:val="003C7C99"/>
    <w:rsid w:val="003D68C0"/>
    <w:rsid w:val="003D7330"/>
    <w:rsid w:val="003E7C35"/>
    <w:rsid w:val="003F0BE5"/>
    <w:rsid w:val="003F2257"/>
    <w:rsid w:val="003F3F63"/>
    <w:rsid w:val="00412000"/>
    <w:rsid w:val="00412743"/>
    <w:rsid w:val="004144EF"/>
    <w:rsid w:val="004153F8"/>
    <w:rsid w:val="00415E9C"/>
    <w:rsid w:val="00416396"/>
    <w:rsid w:val="00417D8B"/>
    <w:rsid w:val="00421588"/>
    <w:rsid w:val="00421E87"/>
    <w:rsid w:val="00427E1C"/>
    <w:rsid w:val="00436E32"/>
    <w:rsid w:val="00440598"/>
    <w:rsid w:val="004441AE"/>
    <w:rsid w:val="00451260"/>
    <w:rsid w:val="004532AE"/>
    <w:rsid w:val="004546C0"/>
    <w:rsid w:val="00467101"/>
    <w:rsid w:val="00467BD4"/>
    <w:rsid w:val="00475851"/>
    <w:rsid w:val="00477078"/>
    <w:rsid w:val="00480775"/>
    <w:rsid w:val="00480D31"/>
    <w:rsid w:val="00484B4D"/>
    <w:rsid w:val="00484B9E"/>
    <w:rsid w:val="00487991"/>
    <w:rsid w:val="00492A0C"/>
    <w:rsid w:val="00493EBA"/>
    <w:rsid w:val="00495DFE"/>
    <w:rsid w:val="004A2891"/>
    <w:rsid w:val="004A35A6"/>
    <w:rsid w:val="004A63C1"/>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315F"/>
    <w:rsid w:val="00526086"/>
    <w:rsid w:val="005269CB"/>
    <w:rsid w:val="005301E0"/>
    <w:rsid w:val="0053098E"/>
    <w:rsid w:val="00534938"/>
    <w:rsid w:val="00541243"/>
    <w:rsid w:val="005429D6"/>
    <w:rsid w:val="005507A4"/>
    <w:rsid w:val="00556822"/>
    <w:rsid w:val="00557571"/>
    <w:rsid w:val="00557648"/>
    <w:rsid w:val="005745F5"/>
    <w:rsid w:val="00575B7A"/>
    <w:rsid w:val="00576301"/>
    <w:rsid w:val="00580085"/>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5F7CF3"/>
    <w:rsid w:val="00601BF7"/>
    <w:rsid w:val="006029E5"/>
    <w:rsid w:val="0060524B"/>
    <w:rsid w:val="00607654"/>
    <w:rsid w:val="006113CF"/>
    <w:rsid w:val="006158DC"/>
    <w:rsid w:val="0061645A"/>
    <w:rsid w:val="0062126D"/>
    <w:rsid w:val="00621B09"/>
    <w:rsid w:val="006227BE"/>
    <w:rsid w:val="0063018F"/>
    <w:rsid w:val="00632A25"/>
    <w:rsid w:val="006362B0"/>
    <w:rsid w:val="0064576F"/>
    <w:rsid w:val="00650ECD"/>
    <w:rsid w:val="006547BF"/>
    <w:rsid w:val="00654DE2"/>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C7A1C"/>
    <w:rsid w:val="006D09EA"/>
    <w:rsid w:val="006D0CE9"/>
    <w:rsid w:val="006D495E"/>
    <w:rsid w:val="006E3A01"/>
    <w:rsid w:val="006E3FE7"/>
    <w:rsid w:val="006E430F"/>
    <w:rsid w:val="006E43E5"/>
    <w:rsid w:val="006E6A04"/>
    <w:rsid w:val="006F3DCD"/>
    <w:rsid w:val="006F68AD"/>
    <w:rsid w:val="00702C0E"/>
    <w:rsid w:val="00706198"/>
    <w:rsid w:val="00714C4C"/>
    <w:rsid w:val="00715BAF"/>
    <w:rsid w:val="00724739"/>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5712"/>
    <w:rsid w:val="007A6607"/>
    <w:rsid w:val="007B22A9"/>
    <w:rsid w:val="007B26AB"/>
    <w:rsid w:val="007C2E93"/>
    <w:rsid w:val="007C4817"/>
    <w:rsid w:val="007C5B30"/>
    <w:rsid w:val="007C66B3"/>
    <w:rsid w:val="007D1029"/>
    <w:rsid w:val="007D68B2"/>
    <w:rsid w:val="007E1DC9"/>
    <w:rsid w:val="007E360B"/>
    <w:rsid w:val="007E4794"/>
    <w:rsid w:val="007E5954"/>
    <w:rsid w:val="007F0F99"/>
    <w:rsid w:val="007F7BCC"/>
    <w:rsid w:val="007F7E0C"/>
    <w:rsid w:val="0080554F"/>
    <w:rsid w:val="00806276"/>
    <w:rsid w:val="0081290A"/>
    <w:rsid w:val="008154F8"/>
    <w:rsid w:val="00820E85"/>
    <w:rsid w:val="008232CE"/>
    <w:rsid w:val="008249A0"/>
    <w:rsid w:val="008256E0"/>
    <w:rsid w:val="008300B9"/>
    <w:rsid w:val="00834ADC"/>
    <w:rsid w:val="00837F30"/>
    <w:rsid w:val="00842D62"/>
    <w:rsid w:val="00843022"/>
    <w:rsid w:val="008449D1"/>
    <w:rsid w:val="00852238"/>
    <w:rsid w:val="008556E9"/>
    <w:rsid w:val="008567B8"/>
    <w:rsid w:val="00862964"/>
    <w:rsid w:val="0086450E"/>
    <w:rsid w:val="00871035"/>
    <w:rsid w:val="0087215E"/>
    <w:rsid w:val="00873150"/>
    <w:rsid w:val="008773D9"/>
    <w:rsid w:val="00877A82"/>
    <w:rsid w:val="00884033"/>
    <w:rsid w:val="00885D9E"/>
    <w:rsid w:val="0089021D"/>
    <w:rsid w:val="008950FC"/>
    <w:rsid w:val="00895142"/>
    <w:rsid w:val="008A0F14"/>
    <w:rsid w:val="008A4F0E"/>
    <w:rsid w:val="008A57B7"/>
    <w:rsid w:val="008A5F0E"/>
    <w:rsid w:val="008B0347"/>
    <w:rsid w:val="008B12F6"/>
    <w:rsid w:val="008B5DE6"/>
    <w:rsid w:val="008B68A4"/>
    <w:rsid w:val="008C0B9D"/>
    <w:rsid w:val="008C6860"/>
    <w:rsid w:val="008C7CE6"/>
    <w:rsid w:val="008D14C4"/>
    <w:rsid w:val="008D2636"/>
    <w:rsid w:val="008D4262"/>
    <w:rsid w:val="008D565A"/>
    <w:rsid w:val="008D666A"/>
    <w:rsid w:val="008D7F46"/>
    <w:rsid w:val="008E0610"/>
    <w:rsid w:val="008E4432"/>
    <w:rsid w:val="008E678F"/>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0D80"/>
    <w:rsid w:val="00931C19"/>
    <w:rsid w:val="00933328"/>
    <w:rsid w:val="00933FF5"/>
    <w:rsid w:val="0094012B"/>
    <w:rsid w:val="009405C8"/>
    <w:rsid w:val="00942650"/>
    <w:rsid w:val="00945398"/>
    <w:rsid w:val="00950DCC"/>
    <w:rsid w:val="00954B14"/>
    <w:rsid w:val="009563B8"/>
    <w:rsid w:val="0097211C"/>
    <w:rsid w:val="00972511"/>
    <w:rsid w:val="00973CCF"/>
    <w:rsid w:val="00973CFC"/>
    <w:rsid w:val="00981EA7"/>
    <w:rsid w:val="009826D9"/>
    <w:rsid w:val="009833E8"/>
    <w:rsid w:val="00985B87"/>
    <w:rsid w:val="00986993"/>
    <w:rsid w:val="0099177A"/>
    <w:rsid w:val="00994E2B"/>
    <w:rsid w:val="009B640D"/>
    <w:rsid w:val="009C152E"/>
    <w:rsid w:val="009C1641"/>
    <w:rsid w:val="009C1815"/>
    <w:rsid w:val="009C1E45"/>
    <w:rsid w:val="009C4A93"/>
    <w:rsid w:val="009D02F1"/>
    <w:rsid w:val="009D1DF4"/>
    <w:rsid w:val="009D26B5"/>
    <w:rsid w:val="009D2780"/>
    <w:rsid w:val="009D3456"/>
    <w:rsid w:val="009D43AA"/>
    <w:rsid w:val="009D5101"/>
    <w:rsid w:val="009D7296"/>
    <w:rsid w:val="009D7626"/>
    <w:rsid w:val="009E2358"/>
    <w:rsid w:val="009E725B"/>
    <w:rsid w:val="009F1033"/>
    <w:rsid w:val="009F4EE7"/>
    <w:rsid w:val="00A042C7"/>
    <w:rsid w:val="00A05FC7"/>
    <w:rsid w:val="00A11EE6"/>
    <w:rsid w:val="00A21FFC"/>
    <w:rsid w:val="00A248DE"/>
    <w:rsid w:val="00A26921"/>
    <w:rsid w:val="00A325C7"/>
    <w:rsid w:val="00A35FF1"/>
    <w:rsid w:val="00A37EC9"/>
    <w:rsid w:val="00A37FA9"/>
    <w:rsid w:val="00A51635"/>
    <w:rsid w:val="00A52293"/>
    <w:rsid w:val="00A54E30"/>
    <w:rsid w:val="00A71698"/>
    <w:rsid w:val="00A720FE"/>
    <w:rsid w:val="00A73B05"/>
    <w:rsid w:val="00A74266"/>
    <w:rsid w:val="00A82462"/>
    <w:rsid w:val="00A86E65"/>
    <w:rsid w:val="00A904CC"/>
    <w:rsid w:val="00A9111B"/>
    <w:rsid w:val="00A94E7E"/>
    <w:rsid w:val="00A96B4F"/>
    <w:rsid w:val="00A97BC3"/>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61578"/>
    <w:rsid w:val="00B61F6A"/>
    <w:rsid w:val="00B63E2D"/>
    <w:rsid w:val="00B63E3B"/>
    <w:rsid w:val="00B65B2B"/>
    <w:rsid w:val="00B67846"/>
    <w:rsid w:val="00B72131"/>
    <w:rsid w:val="00B74DF6"/>
    <w:rsid w:val="00B75749"/>
    <w:rsid w:val="00B75770"/>
    <w:rsid w:val="00B80066"/>
    <w:rsid w:val="00B810FF"/>
    <w:rsid w:val="00B813C9"/>
    <w:rsid w:val="00B819C0"/>
    <w:rsid w:val="00B832B4"/>
    <w:rsid w:val="00B864BA"/>
    <w:rsid w:val="00B91785"/>
    <w:rsid w:val="00B91A63"/>
    <w:rsid w:val="00BA1264"/>
    <w:rsid w:val="00BA1E07"/>
    <w:rsid w:val="00BA3F05"/>
    <w:rsid w:val="00BA4044"/>
    <w:rsid w:val="00BA7189"/>
    <w:rsid w:val="00BB16AB"/>
    <w:rsid w:val="00BC0324"/>
    <w:rsid w:val="00BC3C3C"/>
    <w:rsid w:val="00BD0FFD"/>
    <w:rsid w:val="00BE15E3"/>
    <w:rsid w:val="00BE1722"/>
    <w:rsid w:val="00BE48BE"/>
    <w:rsid w:val="00BE6E7D"/>
    <w:rsid w:val="00BF01C3"/>
    <w:rsid w:val="00BF02C3"/>
    <w:rsid w:val="00BF0FC6"/>
    <w:rsid w:val="00BF5086"/>
    <w:rsid w:val="00BF5F55"/>
    <w:rsid w:val="00BF7F74"/>
    <w:rsid w:val="00C060D6"/>
    <w:rsid w:val="00C11BA9"/>
    <w:rsid w:val="00C11CE1"/>
    <w:rsid w:val="00C15294"/>
    <w:rsid w:val="00C163FF"/>
    <w:rsid w:val="00C1658C"/>
    <w:rsid w:val="00C21E8A"/>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0395"/>
    <w:rsid w:val="00C82739"/>
    <w:rsid w:val="00C83050"/>
    <w:rsid w:val="00C83BC9"/>
    <w:rsid w:val="00C83D2E"/>
    <w:rsid w:val="00C856A7"/>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13421"/>
    <w:rsid w:val="00D2241B"/>
    <w:rsid w:val="00D23640"/>
    <w:rsid w:val="00D25DF0"/>
    <w:rsid w:val="00D26C7D"/>
    <w:rsid w:val="00D27725"/>
    <w:rsid w:val="00D27DEA"/>
    <w:rsid w:val="00D31B04"/>
    <w:rsid w:val="00D514B2"/>
    <w:rsid w:val="00D52EE1"/>
    <w:rsid w:val="00D5419F"/>
    <w:rsid w:val="00D63B3F"/>
    <w:rsid w:val="00D663BA"/>
    <w:rsid w:val="00D7033A"/>
    <w:rsid w:val="00D722E5"/>
    <w:rsid w:val="00D90069"/>
    <w:rsid w:val="00D90654"/>
    <w:rsid w:val="00D90954"/>
    <w:rsid w:val="00D963B5"/>
    <w:rsid w:val="00DB2611"/>
    <w:rsid w:val="00DB3311"/>
    <w:rsid w:val="00DB4667"/>
    <w:rsid w:val="00DB5086"/>
    <w:rsid w:val="00DB6E55"/>
    <w:rsid w:val="00DB7C7E"/>
    <w:rsid w:val="00DC178C"/>
    <w:rsid w:val="00DC4C8F"/>
    <w:rsid w:val="00DD0C58"/>
    <w:rsid w:val="00DD4886"/>
    <w:rsid w:val="00DE2836"/>
    <w:rsid w:val="00DF2BF0"/>
    <w:rsid w:val="00DF50DE"/>
    <w:rsid w:val="00DF6901"/>
    <w:rsid w:val="00DF7061"/>
    <w:rsid w:val="00E061E2"/>
    <w:rsid w:val="00E069BE"/>
    <w:rsid w:val="00E10368"/>
    <w:rsid w:val="00E10BED"/>
    <w:rsid w:val="00E1690C"/>
    <w:rsid w:val="00E20C65"/>
    <w:rsid w:val="00E23C7A"/>
    <w:rsid w:val="00E31FB6"/>
    <w:rsid w:val="00E34F1B"/>
    <w:rsid w:val="00E37B8C"/>
    <w:rsid w:val="00E40ED0"/>
    <w:rsid w:val="00E41920"/>
    <w:rsid w:val="00E4462C"/>
    <w:rsid w:val="00E46EEB"/>
    <w:rsid w:val="00E47566"/>
    <w:rsid w:val="00E50376"/>
    <w:rsid w:val="00E525C0"/>
    <w:rsid w:val="00E70704"/>
    <w:rsid w:val="00E73041"/>
    <w:rsid w:val="00E774FE"/>
    <w:rsid w:val="00E85EA8"/>
    <w:rsid w:val="00E91F2D"/>
    <w:rsid w:val="00E94E14"/>
    <w:rsid w:val="00EB0ADA"/>
    <w:rsid w:val="00EB13EF"/>
    <w:rsid w:val="00EB48A6"/>
    <w:rsid w:val="00EB7E8A"/>
    <w:rsid w:val="00EC1F8A"/>
    <w:rsid w:val="00EC5DB1"/>
    <w:rsid w:val="00ED32AA"/>
    <w:rsid w:val="00ED33E8"/>
    <w:rsid w:val="00EE2AA0"/>
    <w:rsid w:val="00EE313D"/>
    <w:rsid w:val="00EE44DC"/>
    <w:rsid w:val="00EF42A8"/>
    <w:rsid w:val="00EF600C"/>
    <w:rsid w:val="00F03092"/>
    <w:rsid w:val="00F06E68"/>
    <w:rsid w:val="00F15662"/>
    <w:rsid w:val="00F15FAA"/>
    <w:rsid w:val="00F22A17"/>
    <w:rsid w:val="00F23A6B"/>
    <w:rsid w:val="00F249A7"/>
    <w:rsid w:val="00F25B89"/>
    <w:rsid w:val="00F26376"/>
    <w:rsid w:val="00F30298"/>
    <w:rsid w:val="00F3029E"/>
    <w:rsid w:val="00F32031"/>
    <w:rsid w:val="00F324E0"/>
    <w:rsid w:val="00F32F54"/>
    <w:rsid w:val="00F37939"/>
    <w:rsid w:val="00F400A4"/>
    <w:rsid w:val="00F52EE4"/>
    <w:rsid w:val="00F61537"/>
    <w:rsid w:val="00F66FB2"/>
    <w:rsid w:val="00F67CEB"/>
    <w:rsid w:val="00F7280F"/>
    <w:rsid w:val="00F816B6"/>
    <w:rsid w:val="00F8251B"/>
    <w:rsid w:val="00F8641B"/>
    <w:rsid w:val="00F87182"/>
    <w:rsid w:val="00F907E3"/>
    <w:rsid w:val="00F965D3"/>
    <w:rsid w:val="00FA1603"/>
    <w:rsid w:val="00FA2AB7"/>
    <w:rsid w:val="00FB185F"/>
    <w:rsid w:val="00FB1D44"/>
    <w:rsid w:val="00FB21C7"/>
    <w:rsid w:val="00FB5C5D"/>
    <w:rsid w:val="00FB7BB8"/>
    <w:rsid w:val="00FD3DF3"/>
    <w:rsid w:val="00FD440F"/>
    <w:rsid w:val="00FD52EF"/>
    <w:rsid w:val="00FD7284"/>
    <w:rsid w:val="00FE0F29"/>
    <w:rsid w:val="00FE6ED6"/>
    <w:rsid w:val="00FE7F88"/>
    <w:rsid w:val="00FF26A5"/>
    <w:rsid w:val="00FF309F"/>
    <w:rsid w:val="017C3055"/>
    <w:rsid w:val="01E832E3"/>
    <w:rsid w:val="01ED78BC"/>
    <w:rsid w:val="02B07FF7"/>
    <w:rsid w:val="03733BDF"/>
    <w:rsid w:val="039B5D1C"/>
    <w:rsid w:val="03A308DC"/>
    <w:rsid w:val="040532BA"/>
    <w:rsid w:val="04176582"/>
    <w:rsid w:val="041B294F"/>
    <w:rsid w:val="04F75BE8"/>
    <w:rsid w:val="050C2B95"/>
    <w:rsid w:val="051259ED"/>
    <w:rsid w:val="05886C0F"/>
    <w:rsid w:val="07041580"/>
    <w:rsid w:val="07932A4C"/>
    <w:rsid w:val="086C38DC"/>
    <w:rsid w:val="08DB1CFF"/>
    <w:rsid w:val="09003155"/>
    <w:rsid w:val="0A122539"/>
    <w:rsid w:val="0A2D4074"/>
    <w:rsid w:val="0A9E30AD"/>
    <w:rsid w:val="0BE75801"/>
    <w:rsid w:val="0BEB3B44"/>
    <w:rsid w:val="0C0644C0"/>
    <w:rsid w:val="0C76261F"/>
    <w:rsid w:val="0DC45C7F"/>
    <w:rsid w:val="0E1E1046"/>
    <w:rsid w:val="0E7771D7"/>
    <w:rsid w:val="0EE54141"/>
    <w:rsid w:val="0F5054F7"/>
    <w:rsid w:val="105570A4"/>
    <w:rsid w:val="108C5BB3"/>
    <w:rsid w:val="10D62AA4"/>
    <w:rsid w:val="117B48A9"/>
    <w:rsid w:val="11D65DD3"/>
    <w:rsid w:val="13552B79"/>
    <w:rsid w:val="13793DF7"/>
    <w:rsid w:val="13F96B6D"/>
    <w:rsid w:val="141C4A83"/>
    <w:rsid w:val="14354A58"/>
    <w:rsid w:val="14677422"/>
    <w:rsid w:val="14A807A1"/>
    <w:rsid w:val="151F5892"/>
    <w:rsid w:val="152E6B10"/>
    <w:rsid w:val="15BF1042"/>
    <w:rsid w:val="15FA6724"/>
    <w:rsid w:val="1656732A"/>
    <w:rsid w:val="17030A49"/>
    <w:rsid w:val="181939B9"/>
    <w:rsid w:val="18D74DC1"/>
    <w:rsid w:val="19DB3D80"/>
    <w:rsid w:val="19DC3AAE"/>
    <w:rsid w:val="1AE87493"/>
    <w:rsid w:val="1AED58EF"/>
    <w:rsid w:val="1B001596"/>
    <w:rsid w:val="1B026A9B"/>
    <w:rsid w:val="1BBB7E2A"/>
    <w:rsid w:val="1BE0775F"/>
    <w:rsid w:val="1C782024"/>
    <w:rsid w:val="1C8F491D"/>
    <w:rsid w:val="1CF47DDC"/>
    <w:rsid w:val="1D8F0EE4"/>
    <w:rsid w:val="1EC27FFB"/>
    <w:rsid w:val="1F271888"/>
    <w:rsid w:val="1F397F3B"/>
    <w:rsid w:val="1F3A0BB5"/>
    <w:rsid w:val="1FA92FCB"/>
    <w:rsid w:val="1FBB33C8"/>
    <w:rsid w:val="20193BC8"/>
    <w:rsid w:val="20BF0C96"/>
    <w:rsid w:val="210E7F88"/>
    <w:rsid w:val="220D398C"/>
    <w:rsid w:val="226E22B8"/>
    <w:rsid w:val="2277734E"/>
    <w:rsid w:val="2301566F"/>
    <w:rsid w:val="23166B67"/>
    <w:rsid w:val="24165293"/>
    <w:rsid w:val="2482721D"/>
    <w:rsid w:val="24A10BF5"/>
    <w:rsid w:val="24D70B68"/>
    <w:rsid w:val="25F211C5"/>
    <w:rsid w:val="26320878"/>
    <w:rsid w:val="26412FC6"/>
    <w:rsid w:val="26AB07CC"/>
    <w:rsid w:val="26E079BC"/>
    <w:rsid w:val="27AA0124"/>
    <w:rsid w:val="27EF56F2"/>
    <w:rsid w:val="286B525F"/>
    <w:rsid w:val="287B63A6"/>
    <w:rsid w:val="28E90A10"/>
    <w:rsid w:val="29613C02"/>
    <w:rsid w:val="29714AF7"/>
    <w:rsid w:val="29C42E79"/>
    <w:rsid w:val="2A397C18"/>
    <w:rsid w:val="2A5015D5"/>
    <w:rsid w:val="2AF63392"/>
    <w:rsid w:val="2B187E57"/>
    <w:rsid w:val="2BA67492"/>
    <w:rsid w:val="2BC755C1"/>
    <w:rsid w:val="2C53616B"/>
    <w:rsid w:val="2C66791C"/>
    <w:rsid w:val="2D221D01"/>
    <w:rsid w:val="2D676A80"/>
    <w:rsid w:val="2D7A3266"/>
    <w:rsid w:val="2D8D1641"/>
    <w:rsid w:val="2E24482E"/>
    <w:rsid w:val="2EF02945"/>
    <w:rsid w:val="2F106B60"/>
    <w:rsid w:val="2F1403FE"/>
    <w:rsid w:val="2F5F2B72"/>
    <w:rsid w:val="2F6361E3"/>
    <w:rsid w:val="2F776BDF"/>
    <w:rsid w:val="2FE70C36"/>
    <w:rsid w:val="302B6BAF"/>
    <w:rsid w:val="30874889"/>
    <w:rsid w:val="312513B2"/>
    <w:rsid w:val="31B042BF"/>
    <w:rsid w:val="31F12401"/>
    <w:rsid w:val="31FF5F72"/>
    <w:rsid w:val="32035D60"/>
    <w:rsid w:val="326E6953"/>
    <w:rsid w:val="32C739DA"/>
    <w:rsid w:val="33523A32"/>
    <w:rsid w:val="337A0A4C"/>
    <w:rsid w:val="340E2D06"/>
    <w:rsid w:val="353B04B6"/>
    <w:rsid w:val="35ED3757"/>
    <w:rsid w:val="36D23A94"/>
    <w:rsid w:val="375A353C"/>
    <w:rsid w:val="375F73F4"/>
    <w:rsid w:val="376940D0"/>
    <w:rsid w:val="38204506"/>
    <w:rsid w:val="383D7513"/>
    <w:rsid w:val="385B1861"/>
    <w:rsid w:val="388F6D48"/>
    <w:rsid w:val="391B68C8"/>
    <w:rsid w:val="39321D68"/>
    <w:rsid w:val="3ADD5BE3"/>
    <w:rsid w:val="3AE02C12"/>
    <w:rsid w:val="3AE25855"/>
    <w:rsid w:val="3B6C7053"/>
    <w:rsid w:val="3BAE6CD9"/>
    <w:rsid w:val="3C3000ED"/>
    <w:rsid w:val="3CA01523"/>
    <w:rsid w:val="3D2036D1"/>
    <w:rsid w:val="3D232399"/>
    <w:rsid w:val="3D2E2D19"/>
    <w:rsid w:val="3D31181A"/>
    <w:rsid w:val="3D5A2496"/>
    <w:rsid w:val="3DC87CB2"/>
    <w:rsid w:val="3E500D27"/>
    <w:rsid w:val="3E7C7D6E"/>
    <w:rsid w:val="3E845132"/>
    <w:rsid w:val="3F0A4F84"/>
    <w:rsid w:val="3F1749BD"/>
    <w:rsid w:val="3F1E3EBD"/>
    <w:rsid w:val="3F4F365B"/>
    <w:rsid w:val="3F666D2E"/>
    <w:rsid w:val="3F6E3B5B"/>
    <w:rsid w:val="3F9A5B70"/>
    <w:rsid w:val="3FBB10FF"/>
    <w:rsid w:val="3FF32364"/>
    <w:rsid w:val="401A783F"/>
    <w:rsid w:val="403812D5"/>
    <w:rsid w:val="407D1B7C"/>
    <w:rsid w:val="41093759"/>
    <w:rsid w:val="410B1EE2"/>
    <w:rsid w:val="41380196"/>
    <w:rsid w:val="41415EFF"/>
    <w:rsid w:val="41D026B4"/>
    <w:rsid w:val="422B59ED"/>
    <w:rsid w:val="42402AD9"/>
    <w:rsid w:val="43132C33"/>
    <w:rsid w:val="4512673D"/>
    <w:rsid w:val="452567EA"/>
    <w:rsid w:val="455235D7"/>
    <w:rsid w:val="46886BA6"/>
    <w:rsid w:val="46AF7460"/>
    <w:rsid w:val="47637D1D"/>
    <w:rsid w:val="47655843"/>
    <w:rsid w:val="47C168B2"/>
    <w:rsid w:val="4847319B"/>
    <w:rsid w:val="48524AAD"/>
    <w:rsid w:val="485B09F4"/>
    <w:rsid w:val="48A709E8"/>
    <w:rsid w:val="490552AA"/>
    <w:rsid w:val="494616A5"/>
    <w:rsid w:val="49B932AB"/>
    <w:rsid w:val="4A6C2683"/>
    <w:rsid w:val="4B1566CA"/>
    <w:rsid w:val="4B7A4CDC"/>
    <w:rsid w:val="4BEF2CA4"/>
    <w:rsid w:val="4DCD7488"/>
    <w:rsid w:val="4EEB759A"/>
    <w:rsid w:val="4F8C3B89"/>
    <w:rsid w:val="4FFA680C"/>
    <w:rsid w:val="50981A4B"/>
    <w:rsid w:val="5099655E"/>
    <w:rsid w:val="513B2C5D"/>
    <w:rsid w:val="51D924AD"/>
    <w:rsid w:val="52390069"/>
    <w:rsid w:val="528D1696"/>
    <w:rsid w:val="52CB2821"/>
    <w:rsid w:val="542F765C"/>
    <w:rsid w:val="54914939"/>
    <w:rsid w:val="54EB5EC1"/>
    <w:rsid w:val="554D13F6"/>
    <w:rsid w:val="56002E60"/>
    <w:rsid w:val="57580486"/>
    <w:rsid w:val="576307EB"/>
    <w:rsid w:val="57686183"/>
    <w:rsid w:val="59011144"/>
    <w:rsid w:val="59017396"/>
    <w:rsid w:val="59640CDE"/>
    <w:rsid w:val="59DA41E0"/>
    <w:rsid w:val="5A087A2E"/>
    <w:rsid w:val="5A2424B3"/>
    <w:rsid w:val="5A3906A0"/>
    <w:rsid w:val="5A9919E3"/>
    <w:rsid w:val="5AC10CD0"/>
    <w:rsid w:val="5B2A7B0A"/>
    <w:rsid w:val="5B3550D5"/>
    <w:rsid w:val="5B417B6B"/>
    <w:rsid w:val="5B4231ED"/>
    <w:rsid w:val="5B54373E"/>
    <w:rsid w:val="5BC16969"/>
    <w:rsid w:val="5BC745F2"/>
    <w:rsid w:val="5C327B4C"/>
    <w:rsid w:val="5C68135C"/>
    <w:rsid w:val="5CA161B2"/>
    <w:rsid w:val="5CAE3391"/>
    <w:rsid w:val="5D25313A"/>
    <w:rsid w:val="5DA93817"/>
    <w:rsid w:val="5ED252BB"/>
    <w:rsid w:val="5EE21916"/>
    <w:rsid w:val="5F4417E0"/>
    <w:rsid w:val="5F88669E"/>
    <w:rsid w:val="604E7941"/>
    <w:rsid w:val="60805044"/>
    <w:rsid w:val="618F2A1B"/>
    <w:rsid w:val="622F04A1"/>
    <w:rsid w:val="62407622"/>
    <w:rsid w:val="624A4C04"/>
    <w:rsid w:val="62707B3A"/>
    <w:rsid w:val="627C7ADB"/>
    <w:rsid w:val="645C0879"/>
    <w:rsid w:val="64734452"/>
    <w:rsid w:val="64741C1C"/>
    <w:rsid w:val="648C064A"/>
    <w:rsid w:val="64E87CBF"/>
    <w:rsid w:val="64EF4547"/>
    <w:rsid w:val="65157CDE"/>
    <w:rsid w:val="656B3097"/>
    <w:rsid w:val="65E21C31"/>
    <w:rsid w:val="666D606B"/>
    <w:rsid w:val="66AB4942"/>
    <w:rsid w:val="672A3411"/>
    <w:rsid w:val="677D6580"/>
    <w:rsid w:val="67BF49F2"/>
    <w:rsid w:val="687951D6"/>
    <w:rsid w:val="68A8338A"/>
    <w:rsid w:val="68AB69AF"/>
    <w:rsid w:val="68D653C8"/>
    <w:rsid w:val="68D85250"/>
    <w:rsid w:val="693232AC"/>
    <w:rsid w:val="698D4180"/>
    <w:rsid w:val="69C05D8A"/>
    <w:rsid w:val="6A2E78BF"/>
    <w:rsid w:val="6A3273AF"/>
    <w:rsid w:val="6C6321D3"/>
    <w:rsid w:val="6D1F0B58"/>
    <w:rsid w:val="6D3654A5"/>
    <w:rsid w:val="6D97577B"/>
    <w:rsid w:val="6DBC3DCA"/>
    <w:rsid w:val="6EB24C26"/>
    <w:rsid w:val="6EB722DE"/>
    <w:rsid w:val="6F382128"/>
    <w:rsid w:val="6FC91B0E"/>
    <w:rsid w:val="70E92792"/>
    <w:rsid w:val="730B2698"/>
    <w:rsid w:val="732E1691"/>
    <w:rsid w:val="733A204A"/>
    <w:rsid w:val="734C21D3"/>
    <w:rsid w:val="73B2330F"/>
    <w:rsid w:val="74170E85"/>
    <w:rsid w:val="74381A66"/>
    <w:rsid w:val="745E4A05"/>
    <w:rsid w:val="74681C20"/>
    <w:rsid w:val="74FC0CE6"/>
    <w:rsid w:val="75DC35E9"/>
    <w:rsid w:val="76DA32A9"/>
    <w:rsid w:val="77E64F7F"/>
    <w:rsid w:val="77EC3790"/>
    <w:rsid w:val="77F53F90"/>
    <w:rsid w:val="77FA11D3"/>
    <w:rsid w:val="784B5AE0"/>
    <w:rsid w:val="789E6834"/>
    <w:rsid w:val="790C34C1"/>
    <w:rsid w:val="79DD67E6"/>
    <w:rsid w:val="7B767B17"/>
    <w:rsid w:val="7B937ECA"/>
    <w:rsid w:val="7BCF79D9"/>
    <w:rsid w:val="7C1A4C7A"/>
    <w:rsid w:val="7C444892"/>
    <w:rsid w:val="7CAE7448"/>
    <w:rsid w:val="7CE73678"/>
    <w:rsid w:val="7D366731"/>
    <w:rsid w:val="7D6D61E3"/>
    <w:rsid w:val="7D9A5044"/>
    <w:rsid w:val="7DC45C1B"/>
    <w:rsid w:val="7DF36BF7"/>
    <w:rsid w:val="7E141A93"/>
    <w:rsid w:val="7E543E84"/>
    <w:rsid w:val="7EC62364"/>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szCs w:val="44"/>
    </w:rPr>
  </w:style>
  <w:style w:type="paragraph" w:styleId="2">
    <w:name w:val="heading 2"/>
    <w:basedOn w:val="1"/>
    <w:next w:val="1"/>
    <w:qFormat/>
    <w:uiPriority w:val="0"/>
    <w:pPr>
      <w:spacing w:line="0" w:lineRule="atLeast"/>
      <w:jc w:val="center"/>
      <w:outlineLvl w:val="1"/>
    </w:pPr>
    <w:rPr>
      <w:kern w:val="0"/>
      <w:sz w:val="28"/>
    </w:rPr>
  </w:style>
  <w:style w:type="paragraph" w:styleId="4">
    <w:name w:val="heading 3"/>
    <w:basedOn w:val="1"/>
    <w:next w:val="1"/>
    <w:link w:val="42"/>
    <w:qFormat/>
    <w:uiPriority w:val="0"/>
    <w:pPr>
      <w:keepNext/>
      <w:keepLines/>
      <w:spacing w:before="260" w:after="260" w:line="416" w:lineRule="auto"/>
      <w:outlineLvl w:val="2"/>
    </w:pPr>
    <w:rPr>
      <w:b/>
      <w:bCs/>
      <w:sz w:val="32"/>
      <w:szCs w:val="32"/>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qFormat/>
    <w:uiPriority w:val="0"/>
    <w:rPr>
      <w:rFonts w:ascii="Cambria" w:hAnsi="Cambria" w:eastAsia="黑体"/>
      <w:sz w:val="20"/>
    </w:rPr>
  </w:style>
  <w:style w:type="paragraph" w:styleId="6">
    <w:name w:val="Document Map"/>
    <w:basedOn w:val="1"/>
    <w:link w:val="50"/>
    <w:qFormat/>
    <w:uiPriority w:val="0"/>
    <w:rPr>
      <w:rFonts w:ascii="宋体"/>
      <w:sz w:val="18"/>
      <w:szCs w:val="18"/>
    </w:rPr>
  </w:style>
  <w:style w:type="paragraph" w:styleId="7">
    <w:name w:val="annotation text"/>
    <w:basedOn w:val="1"/>
    <w:link w:val="49"/>
    <w:qFormat/>
    <w:uiPriority w:val="0"/>
    <w:pPr>
      <w:jc w:val="left"/>
    </w:pPr>
  </w:style>
  <w:style w:type="paragraph" w:styleId="8">
    <w:name w:val="Body Text 3"/>
    <w:basedOn w:val="1"/>
    <w:qFormat/>
    <w:uiPriority w:val="0"/>
    <w:pPr>
      <w:spacing w:after="120"/>
    </w:pPr>
    <w:rPr>
      <w:sz w:val="16"/>
      <w:szCs w:val="16"/>
    </w:rPr>
  </w:style>
  <w:style w:type="paragraph" w:styleId="9">
    <w:name w:val="Body Text"/>
    <w:basedOn w:val="1"/>
    <w:link w:val="47"/>
    <w:qFormat/>
    <w:uiPriority w:val="99"/>
    <w:pPr>
      <w:spacing w:after="120"/>
    </w:pPr>
  </w:style>
  <w:style w:type="paragraph" w:styleId="10">
    <w:name w:val="Body Text Indent"/>
    <w:basedOn w:val="1"/>
    <w:next w:val="11"/>
    <w:qFormat/>
    <w:uiPriority w:val="0"/>
    <w:pPr>
      <w:ind w:firstLine="632" w:firstLineChars="200"/>
    </w:pPr>
    <w:rPr>
      <w:rFonts w:ascii="仿宋_GB2312" w:hAnsi="华文楷体" w:eastAsia="仿宋_GB2312"/>
      <w:sz w:val="32"/>
    </w:rPr>
  </w:style>
  <w:style w:type="paragraph" w:styleId="11">
    <w:name w:val="envelope return"/>
    <w:basedOn w:val="1"/>
    <w:qFormat/>
    <w:uiPriority w:val="99"/>
    <w:pPr>
      <w:snapToGrid w:val="0"/>
    </w:pPr>
    <w:rPr>
      <w:rFonts w:ascii="Arial" w:hAnsi="Arial"/>
    </w:rPr>
  </w:style>
  <w:style w:type="paragraph" w:styleId="12">
    <w:name w:val="List 2"/>
    <w:basedOn w:val="1"/>
    <w:qFormat/>
    <w:uiPriority w:val="0"/>
    <w:pPr>
      <w:ind w:left="400" w:leftChars="200" w:hanging="200" w:hangingChars="200"/>
    </w:pPr>
  </w:style>
  <w:style w:type="paragraph" w:styleId="13">
    <w:name w:val="Plain Text"/>
    <w:basedOn w:val="1"/>
    <w:link w:val="55"/>
    <w:qFormat/>
    <w:uiPriority w:val="99"/>
    <w:rPr>
      <w:rFonts w:ascii="宋体" w:hAnsi="Courier New"/>
      <w:szCs w:val="20"/>
    </w:rPr>
  </w:style>
  <w:style w:type="paragraph" w:styleId="14">
    <w:name w:val="Date"/>
    <w:basedOn w:val="1"/>
    <w:next w:val="1"/>
    <w:link w:val="51"/>
    <w:qFormat/>
    <w:uiPriority w:val="0"/>
    <w:pPr>
      <w:ind w:left="100" w:leftChars="2500"/>
    </w:pPr>
  </w:style>
  <w:style w:type="paragraph" w:styleId="15">
    <w:name w:val="Body Text Indent 2"/>
    <w:basedOn w:val="1"/>
    <w:qFormat/>
    <w:uiPriority w:val="0"/>
    <w:pPr>
      <w:spacing w:after="120" w:line="480" w:lineRule="auto"/>
      <w:ind w:left="420" w:leftChars="200"/>
    </w:pPr>
  </w:style>
  <w:style w:type="paragraph" w:styleId="16">
    <w:name w:val="Balloon Text"/>
    <w:basedOn w:val="1"/>
    <w:qFormat/>
    <w:uiPriority w:val="0"/>
    <w:rPr>
      <w:sz w:val="18"/>
      <w:szCs w:val="18"/>
    </w:rPr>
  </w:style>
  <w:style w:type="paragraph" w:styleId="17">
    <w:name w:val="footer"/>
    <w:basedOn w:val="1"/>
    <w:link w:val="72"/>
    <w:qFormat/>
    <w:uiPriority w:val="99"/>
    <w:pPr>
      <w:tabs>
        <w:tab w:val="center" w:pos="4153"/>
        <w:tab w:val="right" w:pos="8306"/>
      </w:tabs>
      <w:snapToGrid w:val="0"/>
      <w:jc w:val="left"/>
    </w:pPr>
    <w:rPr>
      <w:sz w:val="18"/>
      <w:szCs w:val="18"/>
    </w:rPr>
  </w:style>
  <w:style w:type="paragraph" w:styleId="18">
    <w:name w:val="header"/>
    <w:basedOn w:val="1"/>
    <w:link w:val="71"/>
    <w:qFormat/>
    <w:uiPriority w:val="99"/>
    <w:pPr>
      <w:pBdr>
        <w:bottom w:val="single" w:color="auto" w:sz="6" w:space="1"/>
      </w:pBdr>
      <w:tabs>
        <w:tab w:val="center" w:pos="4153"/>
        <w:tab w:val="right" w:pos="8306"/>
      </w:tabs>
      <w:snapToGrid w:val="0"/>
      <w:jc w:val="center"/>
    </w:pPr>
    <w:rPr>
      <w:sz w:val="18"/>
      <w:szCs w:val="18"/>
    </w:rPr>
  </w:style>
  <w:style w:type="paragraph" w:styleId="19">
    <w:name w:val="toc 1"/>
    <w:basedOn w:val="1"/>
    <w:next w:val="1"/>
    <w:qFormat/>
    <w:uiPriority w:val="39"/>
    <w:pPr>
      <w:spacing w:before="120" w:after="120"/>
      <w:jc w:val="left"/>
    </w:pPr>
    <w:rPr>
      <w:caps/>
    </w:rPr>
  </w:style>
  <w:style w:type="paragraph" w:styleId="20">
    <w:name w:val="footnote text"/>
    <w:basedOn w:val="1"/>
    <w:qFormat/>
    <w:uiPriority w:val="99"/>
    <w:pPr>
      <w:snapToGrid w:val="0"/>
      <w:jc w:val="left"/>
    </w:pPr>
    <w:rPr>
      <w:sz w:val="18"/>
      <w:szCs w:val="18"/>
    </w:rPr>
  </w:style>
  <w:style w:type="paragraph" w:styleId="21">
    <w:name w:val="toc 2"/>
    <w:basedOn w:val="1"/>
    <w:next w:val="1"/>
    <w:qFormat/>
    <w:uiPriority w:val="0"/>
    <w:pPr>
      <w:ind w:left="420" w:leftChars="200"/>
    </w:pPr>
  </w:style>
  <w:style w:type="paragraph" w:styleId="22">
    <w:name w:val="Body Text 2"/>
    <w:basedOn w:val="1"/>
    <w:link w:val="69"/>
    <w:qFormat/>
    <w:uiPriority w:val="0"/>
    <w:pPr>
      <w:spacing w:after="120" w:line="480" w:lineRule="auto"/>
    </w:pPr>
  </w:style>
  <w:style w:type="paragraph" w:styleId="23">
    <w:name w:val="Message Header"/>
    <w:basedOn w:val="1"/>
    <w:qFormat/>
    <w:uiPriority w:val="0"/>
    <w:pPr>
      <w:widowControl/>
      <w:shd w:val="pct20" w:color="000000" w:fill="auto"/>
      <w:ind w:left="1080" w:hanging="1080"/>
    </w:pPr>
    <w:rPr>
      <w:rFonts w:ascii="Cambria" w:hAnsi="Cambria" w:eastAsia="Cambria"/>
      <w:sz w:val="24"/>
    </w:rPr>
  </w:style>
  <w:style w:type="paragraph" w:styleId="24">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5">
    <w:name w:val="Body Text First Indent"/>
    <w:basedOn w:val="9"/>
    <w:next w:val="26"/>
    <w:link w:val="46"/>
    <w:qFormat/>
    <w:uiPriority w:val="0"/>
    <w:pPr>
      <w:ind w:firstLine="420" w:firstLineChars="100"/>
    </w:pPr>
  </w:style>
  <w:style w:type="paragraph" w:styleId="26">
    <w:name w:val="Body Text First Indent 2"/>
    <w:basedOn w:val="10"/>
    <w:next w:val="1"/>
    <w:qFormat/>
    <w:uiPriority w:val="99"/>
    <w:pPr>
      <w:tabs>
        <w:tab w:val="left" w:pos="0"/>
        <w:tab w:val="left" w:pos="993"/>
        <w:tab w:val="left" w:pos="1134"/>
      </w:tabs>
      <w:ind w:firstLine="420"/>
    </w:pPr>
  </w:style>
  <w:style w:type="table" w:styleId="28">
    <w:name w:val="Table Grid"/>
    <w:basedOn w:val="2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0">
    <w:name w:val="Strong"/>
    <w:qFormat/>
    <w:uiPriority w:val="22"/>
    <w:rPr>
      <w:b/>
      <w:bCs/>
    </w:rPr>
  </w:style>
  <w:style w:type="character" w:styleId="31">
    <w:name w:val="page number"/>
    <w:basedOn w:val="29"/>
    <w:qFormat/>
    <w:uiPriority w:val="0"/>
  </w:style>
  <w:style w:type="character" w:styleId="32">
    <w:name w:val="FollowedHyperlink"/>
    <w:basedOn w:val="29"/>
    <w:qFormat/>
    <w:uiPriority w:val="0"/>
    <w:rPr>
      <w:color w:val="000000"/>
      <w:u w:val="none"/>
    </w:rPr>
  </w:style>
  <w:style w:type="character" w:styleId="33">
    <w:name w:val="Hyperlink"/>
    <w:qFormat/>
    <w:uiPriority w:val="0"/>
    <w:rPr>
      <w:color w:val="333333"/>
      <w:u w:val="none"/>
    </w:rPr>
  </w:style>
  <w:style w:type="character" w:styleId="34">
    <w:name w:val="annotation reference"/>
    <w:qFormat/>
    <w:uiPriority w:val="99"/>
    <w:rPr>
      <w:sz w:val="21"/>
    </w:rPr>
  </w:style>
  <w:style w:type="paragraph" w:customStyle="1" w:styleId="35">
    <w:name w:val="段"/>
    <w:next w:val="1"/>
    <w:qFormat/>
    <w:uiPriority w:val="0"/>
    <w:pPr>
      <w:autoSpaceDE w:val="0"/>
      <w:autoSpaceDN w:val="0"/>
      <w:adjustRightInd w:val="0"/>
      <w:snapToGrid w:val="0"/>
      <w:spacing w:line="360" w:lineRule="auto"/>
      <w:ind w:firstLine="200" w:firstLineChars="200"/>
      <w:jc w:val="both"/>
    </w:pPr>
    <w:rPr>
      <w:rFonts w:ascii="宋体" w:hAnsi="Times New Roman" w:eastAsia="宋体" w:cs="Times New Roman"/>
      <w:sz w:val="24"/>
      <w:szCs w:val="22"/>
      <w:lang w:val="en-US" w:eastAsia="zh-CN" w:bidi="ar-SA"/>
    </w:rPr>
  </w:style>
  <w:style w:type="paragraph" w:customStyle="1" w:styleId="36">
    <w:name w:val="Default"/>
    <w:next w:val="37"/>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7">
    <w:name w:val="大标题"/>
    <w:basedOn w:val="1"/>
    <w:next w:val="26"/>
    <w:qFormat/>
    <w:uiPriority w:val="0"/>
    <w:pPr>
      <w:jc w:val="center"/>
    </w:pPr>
    <w:rPr>
      <w:rFonts w:ascii="Arial" w:hAnsi="Arial"/>
      <w:b/>
      <w:sz w:val="28"/>
    </w:rPr>
  </w:style>
  <w:style w:type="paragraph" w:customStyle="1" w:styleId="38">
    <w:name w:val="BodyText1I"/>
    <w:basedOn w:val="39"/>
    <w:qFormat/>
    <w:uiPriority w:val="99"/>
    <w:pPr>
      <w:ind w:firstLine="420" w:firstLineChars="100"/>
    </w:pPr>
  </w:style>
  <w:style w:type="paragraph" w:customStyle="1" w:styleId="39">
    <w:name w:val="BodyText"/>
    <w:basedOn w:val="1"/>
    <w:next w:val="40"/>
    <w:qFormat/>
    <w:uiPriority w:val="99"/>
    <w:pPr>
      <w:spacing w:after="120"/>
    </w:pPr>
  </w:style>
  <w:style w:type="paragraph" w:customStyle="1" w:styleId="40">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41">
    <w:name w:val="无间隔1"/>
    <w:next w:val="5"/>
    <w:qFormat/>
    <w:uiPriority w:val="0"/>
    <w:pPr>
      <w:widowControl w:val="0"/>
      <w:jc w:val="both"/>
    </w:pPr>
    <w:rPr>
      <w:rFonts w:ascii="Calibri" w:hAnsi="Calibri" w:eastAsia="宋体" w:cs="Times New Roman"/>
      <w:kern w:val="2"/>
      <w:sz w:val="21"/>
      <w:szCs w:val="22"/>
      <w:lang w:val="en-US" w:eastAsia="zh-CN" w:bidi="ar-SA"/>
    </w:rPr>
  </w:style>
  <w:style w:type="character" w:customStyle="1" w:styleId="42">
    <w:name w:val="标题 3 Char"/>
    <w:link w:val="4"/>
    <w:semiHidden/>
    <w:qFormat/>
    <w:uiPriority w:val="0"/>
    <w:rPr>
      <w:b/>
      <w:bCs/>
      <w:kern w:val="2"/>
      <w:sz w:val="32"/>
      <w:szCs w:val="32"/>
    </w:rPr>
  </w:style>
  <w:style w:type="character" w:customStyle="1" w:styleId="43">
    <w:name w:val="font231"/>
    <w:qFormat/>
    <w:uiPriority w:val="0"/>
    <w:rPr>
      <w:rFonts w:hint="eastAsia" w:ascii="宋体" w:hAnsi="宋体" w:eastAsia="宋体" w:cs="宋体"/>
      <w:color w:val="000000"/>
      <w:sz w:val="22"/>
      <w:szCs w:val="22"/>
      <w:u w:val="none"/>
    </w:rPr>
  </w:style>
  <w:style w:type="character" w:customStyle="1" w:styleId="44">
    <w:name w:val="font11"/>
    <w:qFormat/>
    <w:uiPriority w:val="0"/>
    <w:rPr>
      <w:rFonts w:hint="default" w:ascii="Times New Roman" w:hAnsi="Times New Roman" w:cs="Times New Roman"/>
      <w:color w:val="000000"/>
      <w:sz w:val="18"/>
      <w:szCs w:val="18"/>
      <w:u w:val="none"/>
    </w:rPr>
  </w:style>
  <w:style w:type="character" w:customStyle="1" w:styleId="45">
    <w:name w:val="font191"/>
    <w:qFormat/>
    <w:uiPriority w:val="0"/>
    <w:rPr>
      <w:rFonts w:hint="default" w:ascii="Calibri" w:hAnsi="Calibri" w:cs="Calibri"/>
      <w:color w:val="000000"/>
      <w:sz w:val="22"/>
      <w:szCs w:val="22"/>
      <w:u w:val="none"/>
    </w:rPr>
  </w:style>
  <w:style w:type="character" w:customStyle="1" w:styleId="46">
    <w:name w:val="正文首行缩进 Char"/>
    <w:link w:val="25"/>
    <w:qFormat/>
    <w:uiPriority w:val="0"/>
    <w:rPr>
      <w:kern w:val="2"/>
      <w:sz w:val="21"/>
      <w:szCs w:val="24"/>
    </w:rPr>
  </w:style>
  <w:style w:type="character" w:customStyle="1" w:styleId="47">
    <w:name w:val="正文文本 Char"/>
    <w:link w:val="9"/>
    <w:qFormat/>
    <w:uiPriority w:val="99"/>
    <w:rPr>
      <w:kern w:val="2"/>
      <w:sz w:val="21"/>
      <w:szCs w:val="24"/>
    </w:rPr>
  </w:style>
  <w:style w:type="character" w:customStyle="1" w:styleId="48">
    <w:name w:val="font151"/>
    <w:qFormat/>
    <w:uiPriority w:val="0"/>
    <w:rPr>
      <w:rFonts w:hint="default" w:ascii="Calibri" w:hAnsi="Calibri" w:cs="Calibri"/>
      <w:color w:val="000000"/>
      <w:sz w:val="22"/>
      <w:szCs w:val="22"/>
      <w:u w:val="none"/>
    </w:rPr>
  </w:style>
  <w:style w:type="character" w:customStyle="1" w:styleId="49">
    <w:name w:val="批注文字 Char"/>
    <w:link w:val="7"/>
    <w:qFormat/>
    <w:uiPriority w:val="0"/>
    <w:rPr>
      <w:kern w:val="2"/>
      <w:sz w:val="21"/>
      <w:szCs w:val="24"/>
    </w:rPr>
  </w:style>
  <w:style w:type="character" w:customStyle="1" w:styleId="50">
    <w:name w:val="文档结构图 Char"/>
    <w:link w:val="6"/>
    <w:qFormat/>
    <w:uiPriority w:val="0"/>
    <w:rPr>
      <w:rFonts w:ascii="宋体"/>
      <w:kern w:val="2"/>
      <w:sz w:val="18"/>
      <w:szCs w:val="18"/>
    </w:rPr>
  </w:style>
  <w:style w:type="character" w:customStyle="1" w:styleId="51">
    <w:name w:val="日期 Char"/>
    <w:link w:val="14"/>
    <w:qFormat/>
    <w:uiPriority w:val="0"/>
    <w:rPr>
      <w:kern w:val="2"/>
      <w:sz w:val="21"/>
      <w:szCs w:val="24"/>
    </w:rPr>
  </w:style>
  <w:style w:type="character" w:customStyle="1" w:styleId="52">
    <w:name w:val="font221"/>
    <w:qFormat/>
    <w:uiPriority w:val="0"/>
    <w:rPr>
      <w:rFonts w:hint="eastAsia" w:ascii="宋体" w:hAnsi="宋体" w:eastAsia="宋体" w:cs="宋体"/>
      <w:color w:val="000000"/>
      <w:sz w:val="20"/>
      <w:szCs w:val="20"/>
      <w:u w:val="none"/>
    </w:rPr>
  </w:style>
  <w:style w:type="character" w:customStyle="1" w:styleId="53">
    <w:name w:val="font61"/>
    <w:qFormat/>
    <w:uiPriority w:val="0"/>
    <w:rPr>
      <w:rFonts w:hint="eastAsia" w:ascii="宋体" w:hAnsi="宋体" w:eastAsia="宋体" w:cs="宋体"/>
      <w:color w:val="FF0000"/>
      <w:sz w:val="22"/>
      <w:szCs w:val="22"/>
      <w:u w:val="none"/>
    </w:rPr>
  </w:style>
  <w:style w:type="character" w:customStyle="1" w:styleId="54">
    <w:name w:val="font31"/>
    <w:qFormat/>
    <w:uiPriority w:val="0"/>
    <w:rPr>
      <w:rFonts w:hint="eastAsia" w:ascii="宋体" w:hAnsi="宋体" w:eastAsia="宋体" w:cs="宋体"/>
      <w:color w:val="000000"/>
      <w:sz w:val="18"/>
      <w:szCs w:val="18"/>
      <w:u w:val="none"/>
    </w:rPr>
  </w:style>
  <w:style w:type="character" w:customStyle="1" w:styleId="55">
    <w:name w:val="纯文本 Char"/>
    <w:link w:val="13"/>
    <w:qFormat/>
    <w:uiPriority w:val="99"/>
    <w:rPr>
      <w:rFonts w:ascii="宋体" w:hAnsi="Courier New"/>
      <w:kern w:val="2"/>
      <w:sz w:val="21"/>
    </w:rPr>
  </w:style>
  <w:style w:type="character" w:customStyle="1" w:styleId="56">
    <w:name w:val="访问过的超链接1"/>
    <w:qFormat/>
    <w:uiPriority w:val="0"/>
    <w:rPr>
      <w:color w:val="333333"/>
      <w:u w:val="none"/>
    </w:rPr>
  </w:style>
  <w:style w:type="character" w:customStyle="1" w:styleId="57">
    <w:name w:val="font01"/>
    <w:qFormat/>
    <w:uiPriority w:val="0"/>
    <w:rPr>
      <w:rFonts w:hint="eastAsia" w:ascii="宋体" w:hAnsi="宋体" w:eastAsia="宋体" w:cs="宋体"/>
      <w:color w:val="000000"/>
      <w:sz w:val="22"/>
      <w:szCs w:val="22"/>
      <w:u w:val="none"/>
    </w:rPr>
  </w:style>
  <w:style w:type="character" w:customStyle="1" w:styleId="58">
    <w:name w:val="font21"/>
    <w:qFormat/>
    <w:uiPriority w:val="0"/>
    <w:rPr>
      <w:rFonts w:hint="default" w:ascii="Times New Roman" w:hAnsi="Times New Roman" w:cs="Times New Roman"/>
      <w:color w:val="000000"/>
      <w:sz w:val="18"/>
      <w:szCs w:val="18"/>
      <w:u w:val="none"/>
    </w:rPr>
  </w:style>
  <w:style w:type="paragraph" w:customStyle="1" w:styleId="59">
    <w:name w:val="p0"/>
    <w:basedOn w:val="1"/>
    <w:qFormat/>
    <w:uiPriority w:val="0"/>
    <w:pPr>
      <w:widowControl/>
    </w:pPr>
    <w:rPr>
      <w:rFonts w:ascii="Calibri" w:hAnsi="Calibri" w:cs="宋体"/>
      <w:kern w:val="0"/>
      <w:szCs w:val="21"/>
    </w:rPr>
  </w:style>
  <w:style w:type="paragraph" w:customStyle="1" w:styleId="60">
    <w:name w:val="List Paragraph1"/>
    <w:basedOn w:val="1"/>
    <w:qFormat/>
    <w:uiPriority w:val="0"/>
    <w:pPr>
      <w:ind w:firstLine="420" w:firstLineChars="200"/>
    </w:pPr>
  </w:style>
  <w:style w:type="paragraph" w:customStyle="1" w:styleId="61">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62">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63">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4">
    <w:name w:val="Char Char Char Char Char Char Char1 Char"/>
    <w:basedOn w:val="1"/>
    <w:qFormat/>
    <w:uiPriority w:val="0"/>
    <w:rPr>
      <w:rFonts w:ascii="Tahoma" w:hAnsi="Tahoma"/>
      <w:sz w:val="24"/>
      <w:szCs w:val="20"/>
    </w:rPr>
  </w:style>
  <w:style w:type="paragraph" w:styleId="65">
    <w:name w:val="List Paragraph"/>
    <w:basedOn w:val="1"/>
    <w:qFormat/>
    <w:uiPriority w:val="34"/>
    <w:pPr>
      <w:ind w:firstLine="420" w:firstLineChars="200"/>
    </w:pPr>
  </w:style>
  <w:style w:type="paragraph" w:customStyle="1" w:styleId="66">
    <w:name w:val="Char Char Char1 Char"/>
    <w:basedOn w:val="1"/>
    <w:qFormat/>
    <w:uiPriority w:val="0"/>
    <w:pPr>
      <w:spacing w:line="360" w:lineRule="auto"/>
      <w:ind w:firstLine="200" w:firstLineChars="200"/>
    </w:pPr>
    <w:rPr>
      <w:rFonts w:ascii="宋体" w:hAnsi="宋体" w:cs="宋体"/>
      <w:sz w:val="24"/>
    </w:rPr>
  </w:style>
  <w:style w:type="paragraph" w:customStyle="1" w:styleId="67">
    <w:name w:val="默认段落字体 Para Char Char Char Char Char Char Char Char Char Char"/>
    <w:basedOn w:val="1"/>
    <w:qFormat/>
    <w:uiPriority w:val="0"/>
    <w:pPr>
      <w:tabs>
        <w:tab w:val="right" w:pos="-2120"/>
      </w:tabs>
      <w:snapToGrid w:val="0"/>
    </w:pPr>
  </w:style>
  <w:style w:type="character" w:customStyle="1" w:styleId="68">
    <w:name w:val="generalinfo-address-text"/>
    <w:basedOn w:val="29"/>
    <w:qFormat/>
    <w:uiPriority w:val="0"/>
  </w:style>
  <w:style w:type="character" w:customStyle="1" w:styleId="69">
    <w:name w:val="正文文本 2 Char"/>
    <w:link w:val="22"/>
    <w:qFormat/>
    <w:uiPriority w:val="0"/>
    <w:rPr>
      <w:kern w:val="2"/>
      <w:sz w:val="21"/>
      <w:szCs w:val="24"/>
    </w:rPr>
  </w:style>
  <w:style w:type="character" w:customStyle="1" w:styleId="70">
    <w:name w:val="NormalCharacter"/>
    <w:qFormat/>
    <w:uiPriority w:val="0"/>
  </w:style>
  <w:style w:type="character" w:customStyle="1" w:styleId="71">
    <w:name w:val="页眉 Char"/>
    <w:link w:val="18"/>
    <w:qFormat/>
    <w:uiPriority w:val="99"/>
    <w:rPr>
      <w:kern w:val="2"/>
      <w:sz w:val="18"/>
      <w:szCs w:val="18"/>
    </w:rPr>
  </w:style>
  <w:style w:type="character" w:customStyle="1" w:styleId="72">
    <w:name w:val="页脚 Char"/>
    <w:link w:val="17"/>
    <w:qFormat/>
    <w:uiPriority w:val="99"/>
    <w:rPr>
      <w:kern w:val="2"/>
      <w:sz w:val="18"/>
      <w:szCs w:val="18"/>
    </w:rPr>
  </w:style>
  <w:style w:type="paragraph" w:customStyle="1" w:styleId="73">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4">
    <w:name w:val="contentlabel"/>
    <w:qFormat/>
    <w:uiPriority w:val="0"/>
  </w:style>
  <w:style w:type="paragraph" w:customStyle="1" w:styleId="75">
    <w:name w:val="Body Text First Indent1"/>
    <w:basedOn w:val="9"/>
    <w:qFormat/>
    <w:uiPriority w:val="0"/>
    <w:pPr>
      <w:autoSpaceDE w:val="0"/>
      <w:autoSpaceDN w:val="0"/>
      <w:ind w:firstLine="420" w:firstLineChars="100"/>
      <w:jc w:val="left"/>
    </w:pPr>
    <w:rPr>
      <w:rFonts w:ascii="宋体" w:hAnsi="等线" w:eastAsia="等线" w:cs="宋体"/>
      <w:kern w:val="0"/>
      <w:lang w:val="zh-CN"/>
    </w:rPr>
  </w:style>
  <w:style w:type="paragraph" w:customStyle="1" w:styleId="76">
    <w:name w:val="D&amp;L"/>
    <w:basedOn w:val="18"/>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7">
    <w:name w:val="icon_gys"/>
    <w:basedOn w:val="29"/>
    <w:qFormat/>
    <w:uiPriority w:val="0"/>
    <w:rPr>
      <w:sz w:val="21"/>
      <w:szCs w:val="21"/>
    </w:rPr>
  </w:style>
  <w:style w:type="character" w:customStyle="1" w:styleId="78">
    <w:name w:val="first-child"/>
    <w:basedOn w:val="29"/>
    <w:qFormat/>
    <w:uiPriority w:val="0"/>
    <w:rPr>
      <w:color w:val="1F3149"/>
      <w:sz w:val="24"/>
      <w:szCs w:val="24"/>
    </w:rPr>
  </w:style>
  <w:style w:type="character" w:customStyle="1" w:styleId="79">
    <w:name w:val="first-child1"/>
    <w:basedOn w:val="29"/>
    <w:qFormat/>
    <w:uiPriority w:val="0"/>
    <w:rPr>
      <w:color w:val="1F3149"/>
      <w:sz w:val="24"/>
      <w:szCs w:val="24"/>
    </w:rPr>
  </w:style>
  <w:style w:type="character" w:customStyle="1" w:styleId="80">
    <w:name w:val="xiadan"/>
    <w:basedOn w:val="29"/>
    <w:qFormat/>
    <w:uiPriority w:val="0"/>
    <w:rPr>
      <w:shd w:val="clear" w:color="auto" w:fill="E4393C"/>
    </w:rPr>
  </w:style>
  <w:style w:type="character" w:customStyle="1" w:styleId="81">
    <w:name w:val="fr"/>
    <w:basedOn w:val="29"/>
    <w:qFormat/>
    <w:uiPriority w:val="0"/>
  </w:style>
  <w:style w:type="character" w:customStyle="1" w:styleId="82">
    <w:name w:val="icon_ds"/>
    <w:basedOn w:val="29"/>
    <w:qFormat/>
    <w:uiPriority w:val="0"/>
  </w:style>
  <w:style w:type="paragraph" w:customStyle="1" w:styleId="83">
    <w:name w:val="正文1"/>
    <w:basedOn w:val="1"/>
    <w:qFormat/>
    <w:uiPriority w:val="0"/>
    <w:pPr>
      <w:widowControl/>
      <w:topLinePunct/>
      <w:spacing w:beforeLines="50" w:afterLines="50" w:line="300" w:lineRule="auto"/>
      <w:ind w:left="420"/>
    </w:pPr>
  </w:style>
  <w:style w:type="character" w:customStyle="1" w:styleId="84">
    <w:name w:val="未处理的提及1"/>
    <w:basedOn w:val="29"/>
    <w:semiHidden/>
    <w:unhideWhenUsed/>
    <w:qFormat/>
    <w:uiPriority w:val="99"/>
    <w:rPr>
      <w:color w:val="605E5C"/>
      <w:shd w:val="clear" w:color="auto" w:fill="E1DFDD"/>
    </w:rPr>
  </w:style>
  <w:style w:type="paragraph" w:customStyle="1" w:styleId="85">
    <w:name w:val="_Style 2"/>
    <w:basedOn w:val="1"/>
    <w:qFormat/>
    <w:uiPriority w:val="0"/>
    <w:pPr>
      <w:ind w:firstLine="200" w:firstLineChars="200"/>
    </w:pPr>
    <w:rPr>
      <w:rFonts w:cs="Droid Sans"/>
    </w:rPr>
  </w:style>
  <w:style w:type="paragraph" w:customStyle="1" w:styleId="86">
    <w:name w:val="Table Text"/>
    <w:basedOn w:val="1"/>
    <w:semiHidden/>
    <w:qFormat/>
    <w:uiPriority w:val="0"/>
    <w:rPr>
      <w:rFonts w:ascii="宋体" w:hAnsi="宋体" w:cs="宋体"/>
      <w:sz w:val="24"/>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1167DE7-E29B-4075-A297-4A93436037CF}">
  <ds:schemaRefs/>
</ds:datastoreItem>
</file>

<file path=docProps/app.xml><?xml version="1.0" encoding="utf-8"?>
<Properties xmlns="http://schemas.openxmlformats.org/officeDocument/2006/extended-properties" xmlns:vt="http://schemas.openxmlformats.org/officeDocument/2006/docPropsVTypes">
  <Template>Normal.dotm</Template>
  <Pages>45</Pages>
  <Words>16307</Words>
  <Characters>17178</Characters>
  <Lines>1</Lines>
  <Paragraphs>1</Paragraphs>
  <TotalTime>5</TotalTime>
  <ScaleCrop>false</ScaleCrop>
  <LinksUpToDate>false</LinksUpToDate>
  <CharactersWithSpaces>17909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2025-10-15T01:27:00Z</dcterms:created>
  <dc:creator>gg1</dc:creator>
  <cp:lastModifiedBy>Administrator</cp:lastModifiedBy>
  <cp:lastPrinted>2020-11-18T03:21:00Z</cp:lastPrinted>
  <dcterms:modified xsi:type="dcterms:W3CDTF">2026-07-28T08:12:15Z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BE9804992D8143A7AD5FC28F22428AE0_13</vt:lpwstr>
  </property>
  <property fmtid="{D5CDD505-2E9C-101B-9397-08002B2CF9AE}" pid="4" name="KSOTemplateDocerSaveRecord">
    <vt:lpwstr>eyJoZGlkIjoiMzY3OTE0MzFlMWZhNmYzYzU2Y2EwNGZmYzNmMTVlOWMifQ==</vt:lpwstr>
  </property>
</Properties>
</file>