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77E11AA4">
      <w:pPr>
        <w:pStyle w:val="10"/>
        <w:rPr>
          <w:rFonts w:ascii="宋体" w:hAnsi="宋体"/>
          <w:sz w:val="32"/>
          <w:highlight w:val="none"/>
        </w:rPr>
      </w:pPr>
    </w:p>
    <w:p w14:paraId="479DB073">
      <w:pPr>
        <w:pStyle w:val="11"/>
        <w:rPr>
          <w:rFonts w:ascii="宋体" w:hAnsi="宋体"/>
          <w:sz w:val="32"/>
          <w:highlight w:val="none"/>
        </w:rPr>
      </w:pPr>
    </w:p>
    <w:p w14:paraId="25ECA8C5">
      <w:pPr>
        <w:rPr>
          <w:highlight w:val="none"/>
        </w:rPr>
      </w:pPr>
    </w:p>
    <w:p w14:paraId="5946A4B1">
      <w:pPr>
        <w:rPr>
          <w:highlight w:val="none"/>
        </w:rPr>
      </w:pPr>
    </w:p>
    <w:p w14:paraId="58E63542">
      <w:pPr>
        <w:rPr>
          <w:highlight w:val="none"/>
        </w:rPr>
      </w:pPr>
    </w:p>
    <w:p w14:paraId="60937E31">
      <w:pPr>
        <w:pStyle w:val="10"/>
        <w:rPr>
          <w:highlight w:val="none"/>
        </w:rPr>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2" w:leftChars="200" w:right="-92" w:rightChars="-44" w:hanging="1502" w:hangingChars="50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项目名称:</w:t>
      </w:r>
      <w:r>
        <w:rPr>
          <w:rFonts w:hint="eastAsia" w:ascii="宋体" w:hAnsi="宋体" w:cs="宋体"/>
          <w:b/>
          <w:bCs/>
          <w:color w:val="auto"/>
          <w:sz w:val="30"/>
          <w:szCs w:val="30"/>
          <w:highlight w:val="none"/>
          <w:lang w:eastAsia="zh-CN"/>
        </w:rPr>
        <w:t>项城市第一人民医院检验外送服务项目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30"/>
          <w:szCs w:val="30"/>
          <w:highlight w:val="none"/>
          <w:lang w:eastAsia="zh-CN"/>
          <w14:textFill>
            <w14:solidFill>
              <w14:schemeClr w14:val="tx1">
                <w14:lumMod w14:val="95000"/>
                <w14:lumOff w14:val="5000"/>
              </w14:schemeClr>
            </w14:solidFill>
          </w14:textFill>
        </w:rPr>
        <w:t>项目编号:</w:t>
      </w:r>
      <w:r>
        <w:rPr>
          <w:rFonts w:hint="eastAsia" w:ascii="宋体" w:hAnsi="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t>项财磋商采购-2026-40</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pPr>
    </w:p>
    <w:p w14:paraId="4CF81C97">
      <w:pPr>
        <w:tabs>
          <w:tab w:val="left" w:pos="315"/>
          <w:tab w:val="left" w:pos="8820"/>
        </w:tabs>
        <w:spacing w:line="600" w:lineRule="exact"/>
        <w:ind w:left="1890" w:leftChars="0" w:right="-92" w:rightChars="-44" w:hanging="1890" w:hangingChars="590"/>
        <w:jc w:val="left"/>
        <w:rPr>
          <w:rFonts w:hint="eastAsia" w:ascii="宋体" w:hAnsi="宋体" w:eastAsia="宋体" w:cs="宋体"/>
          <w:b/>
          <w:bCs/>
          <w:color w:val="auto"/>
          <w:sz w:val="32"/>
          <w:szCs w:val="32"/>
          <w:highlight w:val="none"/>
          <w:lang w:eastAsia="zh-CN"/>
        </w:rPr>
      </w:pPr>
    </w:p>
    <w:p w14:paraId="7F397FBE">
      <w:pPr>
        <w:tabs>
          <w:tab w:val="left" w:pos="315"/>
          <w:tab w:val="left" w:pos="8820"/>
        </w:tabs>
        <w:spacing w:line="600" w:lineRule="exact"/>
        <w:ind w:left="1890" w:leftChars="0" w:right="-92" w:rightChars="-44" w:hanging="1890" w:hangingChars="590"/>
        <w:jc w:val="center"/>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2026年7月17日</w:t>
      </w:r>
    </w:p>
    <w:p w14:paraId="450A2A74">
      <w:pPr>
        <w:pStyle w:val="9"/>
        <w:jc w:val="center"/>
        <w:rPr>
          <w:rFonts w:ascii="宋体" w:hAnsi="宋体"/>
          <w:b/>
          <w:sz w:val="32"/>
          <w:highlight w:val="none"/>
        </w:rPr>
      </w:pPr>
    </w:p>
    <w:p w14:paraId="125C012F">
      <w:pPr>
        <w:rPr>
          <w:rFonts w:ascii="仿宋_GB2312" w:eastAsia="仿宋_GB2312"/>
          <w:b/>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2" w:firstLineChars="700"/>
        <w:rPr>
          <w:rFonts w:ascii="宋体" w:hAnsi="宋体" w:cs="宋体"/>
          <w:b/>
          <w:sz w:val="32"/>
          <w:szCs w:val="32"/>
          <w:highlight w:val="none"/>
        </w:rPr>
      </w:pPr>
    </w:p>
    <w:p w14:paraId="75CD38C5">
      <w:pPr>
        <w:spacing w:line="800" w:lineRule="exact"/>
        <w:rPr>
          <w:rFonts w:ascii="宋体" w:hAnsi="宋体" w:cs="宋体"/>
          <w:b/>
          <w:sz w:val="32"/>
          <w:szCs w:val="32"/>
          <w:highlight w:val="none"/>
        </w:rPr>
      </w:pPr>
    </w:p>
    <w:p w14:paraId="3B6B2A75">
      <w:pPr>
        <w:spacing w:line="800" w:lineRule="exact"/>
        <w:ind w:firstLine="2242"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1"/>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项城市第一人民医院检验外送服务项目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bookmarkStart w:id="38" w:name="_GoBack"/>
      <w:bookmarkEnd w:id="38"/>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 xml:space="preserve"> 30</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项目编号：</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项财磋商采购-2026-40</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项城市第一人民医院检验外送服务项目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1600000.00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1600000.00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项城市第一人民医院检验外送服务项目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1600000.00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需求：</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医疗卫生类合作服务</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3年</w:t>
      </w:r>
    </w:p>
    <w:p w14:paraId="4E4740DB">
      <w:pPr>
        <w:spacing w:line="360" w:lineRule="auto"/>
        <w:ind w:firstLine="480" w:firstLineChars="200"/>
        <w:jc w:val="left"/>
        <w:rPr>
          <w:rFonts w:ascii="宋体" w:hAnsi="宋体" w:cs="宋体"/>
          <w:sz w:val="24"/>
          <w:highlight w:val="none"/>
        </w:rPr>
      </w:pPr>
      <w:bookmarkStart w:id="4" w:name="_Toc35393799"/>
      <w:bookmarkStart w:id="5" w:name="_Toc28359013"/>
      <w:bookmarkStart w:id="6" w:name="_Toc35393630"/>
      <w:bookmarkStart w:id="7" w:name="_Toc2835909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D3F7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7BC0A91C">
      <w:pPr>
        <w:widowControl/>
        <w:spacing w:line="520" w:lineRule="exact"/>
        <w:ind w:left="0" w:leftChars="0" w:firstLine="420" w:firstLineChars="175"/>
        <w:jc w:val="both"/>
        <w:rPr>
          <w:rFonts w:hint="default" w:ascii="宋体" w:hAnsi="宋体" w:cs="宋体"/>
          <w:sz w:val="24"/>
          <w:szCs w:val="22"/>
          <w:highlight w:val="none"/>
          <w:lang w:val="en-US" w:eastAsia="zh-CN"/>
        </w:rPr>
      </w:pPr>
      <w:r>
        <w:rPr>
          <w:rFonts w:hint="eastAsia" w:ascii="宋体" w:hAnsi="宋体" w:cs="宋体"/>
          <w:sz w:val="24"/>
          <w:szCs w:val="22"/>
          <w:highlight w:val="none"/>
        </w:rPr>
        <w:t>3.</w:t>
      </w:r>
      <w:r>
        <w:rPr>
          <w:rFonts w:hint="eastAsia" w:ascii="宋体" w:hAnsi="宋体" w:cs="宋体"/>
          <w:sz w:val="24"/>
          <w:szCs w:val="22"/>
          <w:highlight w:val="none"/>
          <w:lang w:val="en-US" w:eastAsia="zh-CN"/>
        </w:rPr>
        <w:t>2</w:t>
      </w:r>
      <w:r>
        <w:rPr>
          <w:rFonts w:hint="eastAsia" w:ascii="宋体" w:hAnsi="宋体" w:eastAsia="宋体" w:cs="宋体"/>
          <w:color w:val="auto"/>
          <w:sz w:val="24"/>
          <w:szCs w:val="24"/>
          <w:highlight w:val="none"/>
          <w:lang w:eastAsia="zh-CN"/>
        </w:rPr>
        <w:t>投标人须具备</w:t>
      </w:r>
      <w:r>
        <w:rPr>
          <w:rFonts w:hint="eastAsia" w:ascii="宋体" w:hAnsi="宋体" w:eastAsia="宋体" w:cs="宋体"/>
          <w:color w:val="auto"/>
          <w:sz w:val="24"/>
          <w:szCs w:val="24"/>
          <w:highlight w:val="none"/>
          <w:lang w:val="en-US" w:eastAsia="zh-CN"/>
        </w:rPr>
        <w:t>有效的</w:t>
      </w:r>
      <w:r>
        <w:rPr>
          <w:rFonts w:hint="eastAsia" w:ascii="宋体" w:hAnsi="宋体" w:cs="宋体"/>
          <w:color w:val="auto"/>
          <w:kern w:val="2"/>
          <w:sz w:val="24"/>
          <w:szCs w:val="24"/>
          <w:highlight w:val="none"/>
          <w:lang w:val="en-US" w:eastAsia="zh-CN" w:bidi="ar-SA"/>
        </w:rPr>
        <w:t>《医疗机构执业许可证》、《临床基因扩增检验实验室技术验收合格证书》以及《生物安全实验室备案证书（实验室等级：BSL-2或以上)》</w:t>
      </w:r>
      <w:r>
        <w:rPr>
          <w:rFonts w:hint="eastAsia" w:ascii="宋体" w:hAnsi="宋体" w:eastAsia="宋体" w:cs="宋体"/>
          <w:color w:val="auto"/>
          <w:kern w:val="2"/>
          <w:sz w:val="24"/>
          <w:szCs w:val="24"/>
          <w:highlight w:val="none"/>
          <w:lang w:val="en-US" w:eastAsia="zh-CN" w:bidi="ar-SA"/>
        </w:rPr>
        <w:t>。</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highlight w:val="none"/>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24</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802"/>
      <w:bookmarkStart w:id="18" w:name="_Toc28359093"/>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2CF30A23">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val="en-US" w:eastAsia="zh-CN"/>
        </w:rPr>
        <w:t>项城市第一人民医院</w:t>
      </w:r>
      <w:r>
        <w:rPr>
          <w:rFonts w:hint="eastAsia" w:ascii="宋体" w:hAnsi="宋体" w:cs="宋体"/>
          <w:sz w:val="24"/>
          <w:highlight w:val="none"/>
        </w:rPr>
        <w:t>　　　　　　　　　　　</w:t>
      </w:r>
    </w:p>
    <w:p w14:paraId="10D6F8C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lang w:val="en-US" w:eastAsia="zh-CN"/>
        </w:rPr>
        <w:t>项城市</w:t>
      </w:r>
      <w:r>
        <w:rPr>
          <w:rFonts w:hint="eastAsia" w:ascii="宋体" w:hAnsi="宋体" w:cs="宋体"/>
          <w:sz w:val="24"/>
          <w:highlight w:val="none"/>
        </w:rPr>
        <w:t>　　　　　　　　　　　</w:t>
      </w:r>
    </w:p>
    <w:p w14:paraId="48A1CC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张森</w:t>
      </w:r>
      <w:r>
        <w:rPr>
          <w:rFonts w:hint="eastAsia" w:ascii="宋体" w:hAnsi="宋体" w:cs="宋体"/>
          <w:sz w:val="24"/>
          <w:highlight w:val="none"/>
        </w:rPr>
        <w:t xml:space="preserve">    联系方式：</w:t>
      </w:r>
      <w:r>
        <w:rPr>
          <w:rFonts w:hint="eastAsia" w:ascii="宋体" w:hAnsi="宋体" w:cs="宋体"/>
          <w:sz w:val="24"/>
          <w:highlight w:val="none"/>
          <w:lang w:val="en-US" w:eastAsia="zh-CN"/>
        </w:rPr>
        <w:t>18238969876</w:t>
      </w:r>
      <w:r>
        <w:rPr>
          <w:rFonts w:hint="eastAsia" w:ascii="宋体" w:hAnsi="宋体" w:cs="宋体"/>
          <w:sz w:val="24"/>
          <w:highlight w:val="none"/>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项目联系人： </w:t>
      </w:r>
      <w:r>
        <w:rPr>
          <w:rFonts w:hint="eastAsia" w:ascii="宋体" w:hAnsi="宋体" w:cs="宋体"/>
          <w:sz w:val="24"/>
          <w:highlight w:val="none"/>
          <w:lang w:val="en-US" w:eastAsia="zh-CN"/>
        </w:rPr>
        <w:t>王蕾</w:t>
      </w:r>
      <w:r>
        <w:rPr>
          <w:rFonts w:hint="eastAsia" w:ascii="宋体" w:hAnsi="宋体" w:cs="宋体"/>
          <w:sz w:val="24"/>
          <w:highlight w:val="none"/>
        </w:rPr>
        <w:t xml:space="preserve">             联系方式：</w:t>
      </w:r>
      <w:bookmarkStart w:id="32" w:name="_Toc28359010"/>
      <w:bookmarkStart w:id="33" w:name="_Toc28359087"/>
      <w:r>
        <w:rPr>
          <w:rFonts w:hint="eastAsia" w:ascii="宋体" w:hAnsi="宋体" w:cs="宋体"/>
          <w:sz w:val="24"/>
          <w:highlight w:val="none"/>
          <w:lang w:val="en-US" w:eastAsia="zh-CN"/>
        </w:rPr>
        <w:t xml:space="preserve">0394-8106517 </w:t>
      </w:r>
      <w:r>
        <w:rPr>
          <w:rFonts w:hint="eastAsia" w:ascii="宋体" w:hAnsi="宋体" w:cs="宋体"/>
          <w:sz w:val="24"/>
          <w:highlight w:val="none"/>
        </w:rPr>
        <w:t>　</w:t>
      </w:r>
      <w:r>
        <w:rPr>
          <w:rFonts w:hint="eastAsia" w:ascii="宋体" w:hAnsi="宋体" w:cs="宋体"/>
          <w:sz w:val="24"/>
          <w:highlight w:val="none"/>
          <w:lang w:val="en-US" w:eastAsia="zh-CN"/>
        </w:rPr>
        <w:t>18638068666</w:t>
      </w:r>
      <w:r>
        <w:rPr>
          <w:rFonts w:hint="eastAsia" w:ascii="宋体" w:hAnsi="宋体" w:cs="宋体"/>
          <w:sz w:val="24"/>
          <w:highlight w:val="none"/>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highlight w:val="none"/>
        </w:rPr>
      </w:pPr>
      <w:r>
        <w:rPr>
          <w:rFonts w:hint="eastAsia" w:ascii="宋体" w:hAnsi="宋体" w:cs="宋体"/>
          <w:sz w:val="24"/>
          <w:highlight w:val="none"/>
        </w:rPr>
        <w:t>3.</w:t>
      </w:r>
      <w:r>
        <w:rPr>
          <w:rFonts w:hint="eastAsia" w:asciiTheme="minorEastAsia" w:hAnsiTheme="minorEastAsia" w:eastAsiaTheme="minorEastAsia" w:cstheme="minorEastAsia"/>
          <w:b w:val="0"/>
          <w:i w:val="0"/>
          <w:iCs w:val="0"/>
          <w:sz w:val="24"/>
          <w:szCs w:val="24"/>
          <w:highlight w:val="none"/>
        </w:rPr>
        <w:t>监督单位：</w:t>
      </w:r>
      <w:r>
        <w:rPr>
          <w:rFonts w:hint="eastAsia" w:asciiTheme="minorEastAsia" w:hAnsiTheme="minorEastAsia" w:eastAsiaTheme="minorEastAsia" w:cstheme="minorEastAsia"/>
          <w:b w:val="0"/>
          <w:i w:val="0"/>
          <w:iCs w:val="0"/>
          <w:sz w:val="24"/>
          <w:szCs w:val="24"/>
          <w:highlight w:val="none"/>
          <w:lang w:eastAsia="zh-CN"/>
        </w:rPr>
        <w:t>项城市财政局采购科</w:t>
      </w:r>
    </w:p>
    <w:p w14:paraId="37069798">
      <w:pPr>
        <w:pStyle w:val="37"/>
        <w:ind w:firstLine="720" w:firstLineChars="300"/>
        <w:rPr>
          <w:rFonts w:ascii="宋体" w:hAnsi="宋体" w:eastAsia="宋体" w:cs="宋体"/>
          <w:sz w:val="24"/>
          <w:highlight w:val="none"/>
        </w:rPr>
      </w:pPr>
      <w:r>
        <w:rPr>
          <w:rFonts w:hint="eastAsia" w:asciiTheme="minorEastAsia" w:hAnsiTheme="minorEastAsia" w:eastAsiaTheme="minorEastAsia" w:cstheme="minorEastAsia"/>
          <w:b w:val="0"/>
          <w:i w:val="0"/>
          <w:iCs w:val="0"/>
          <w:sz w:val="24"/>
          <w:szCs w:val="24"/>
          <w:highlight w:val="none"/>
        </w:rPr>
        <w:t>联系方式：</w:t>
      </w:r>
      <w:r>
        <w:rPr>
          <w:rFonts w:hint="eastAsia" w:ascii="宋体" w:hAnsi="宋体" w:cs="宋体"/>
          <w:color w:val="auto"/>
          <w:spacing w:val="0"/>
          <w:position w:val="0"/>
          <w:sz w:val="24"/>
          <w:highlight w:val="none"/>
          <w:shd w:val="clear" w:color="auto" w:fill="auto"/>
          <w:lang w:eastAsia="zh-CN"/>
        </w:rPr>
        <w:t>0394-4315676</w:t>
      </w:r>
      <w:r>
        <w:rPr>
          <w:rFonts w:hint="eastAsia" w:ascii="宋体" w:hAnsi="宋体" w:eastAsia="宋体" w:cs="宋体"/>
          <w:color w:val="auto"/>
          <w:spacing w:val="0"/>
          <w:position w:val="0"/>
          <w:sz w:val="24"/>
          <w:highlight w:val="none"/>
          <w:shd w:val="clear" w:fill="auto"/>
        </w:rPr>
        <w:t xml:space="preserve"> </w:t>
      </w:r>
    </w:p>
    <w:p w14:paraId="14EA5711">
      <w:pPr>
        <w:pStyle w:val="37"/>
        <w:ind w:firstLine="480" w:firstLineChars="200"/>
        <w:rPr>
          <w:rFonts w:hint="eastAsia" w:ascii="宋体" w:hAnsi="宋体" w:cs="宋体"/>
          <w:sz w:val="24"/>
          <w:highlight w:val="none"/>
        </w:rPr>
      </w:pPr>
    </w:p>
    <w:p w14:paraId="32DCD84C">
      <w:pPr>
        <w:pStyle w:val="37"/>
        <w:tabs>
          <w:tab w:val="left" w:pos="2629"/>
        </w:tabs>
        <w:ind w:firstLine="480" w:firstLineChars="200"/>
        <w:rPr>
          <w:highlight w:val="none"/>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cs="宋体"/>
          <w:color w:val="auto"/>
          <w:spacing w:val="0"/>
          <w:position w:val="0"/>
          <w:sz w:val="24"/>
          <w:highlight w:val="none"/>
          <w:shd w:val="clear" w:fill="auto"/>
          <w:lang w:eastAsia="zh-CN"/>
        </w:rPr>
        <w:tab/>
      </w: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2"/>
        <w:adjustRightInd w:val="0"/>
        <w:spacing w:line="360" w:lineRule="auto"/>
        <w:ind w:left="0" w:leftChars="0" w:firstLine="4324" w:firstLineChars="180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2026年7月17日</w:t>
      </w:r>
      <w:r>
        <w:rPr>
          <w:rFonts w:hint="eastAsia" w:ascii="宋体" w:hAnsi="宋体" w:cs="宋体"/>
          <w:color w:val="000000" w:themeColor="text1"/>
          <w:sz w:val="24"/>
          <w:szCs w:val="24"/>
          <w:highlight w:val="none"/>
          <w14:textFill>
            <w14:solidFill>
              <w14:schemeClr w14:val="tx1"/>
            </w14:solidFill>
          </w14:textFill>
        </w:rPr>
        <w:t>　</w:t>
      </w:r>
    </w:p>
    <w:p w14:paraId="04D37CC4">
      <w:pPr>
        <w:pStyle w:val="27"/>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项目概况</w:t>
            </w:r>
          </w:p>
        </w:tc>
        <w:tc>
          <w:tcPr>
            <w:tcW w:w="6615" w:type="dxa"/>
            <w:vAlign w:val="center"/>
          </w:tcPr>
          <w:p w14:paraId="689E8F47">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项目名称：</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项城市第一人民医院检验外送服务项目</w:t>
            </w:r>
          </w:p>
          <w:p w14:paraId="5AB06AC2">
            <w:pPr>
              <w:rPr>
                <w:rFonts w:hint="default"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采购内容：</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医疗卫生类合作服务</w:t>
            </w:r>
          </w:p>
          <w:p w14:paraId="5F5E0913">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采购人：</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项城市第一人民医院　</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　　　</w:t>
            </w:r>
          </w:p>
          <w:p w14:paraId="69EBCCD9">
            <w:pP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采购代理机构：周口市公共资源交易中心政府采购中心</w:t>
            </w:r>
          </w:p>
        </w:tc>
      </w:tr>
      <w:tr w14:paraId="1BC6BD86">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15</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highlight w:val="none"/>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Theme="minorEastAsia" w:hAnsiTheme="minorEastAsia" w:cstheme="minorEastAsia"/>
                <w:sz w:val="24"/>
                <w:szCs w:val="24"/>
                <w:highlight w:val="none"/>
                <w:lang w:val="en-US" w:eastAsia="zh-CN"/>
              </w:rPr>
              <w:t>3年</w:t>
            </w:r>
          </w:p>
        </w:tc>
      </w:tr>
      <w:tr w14:paraId="1BDBF877">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36EF7C71">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根据每月送检清单，按照协议约定按月据实结算</w:t>
            </w:r>
          </w:p>
        </w:tc>
      </w:tr>
      <w:tr w14:paraId="74387AE0">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322A45EB">
        <w:trPr>
          <w:trHeight w:val="841" w:hRule="atLeast"/>
        </w:trPr>
        <w:tc>
          <w:tcPr>
            <w:tcW w:w="735" w:type="dxa"/>
            <w:vAlign w:val="center"/>
          </w:tcPr>
          <w:p w14:paraId="7A344943">
            <w:pPr>
              <w:numPr>
                <w:ilvl w:val="0"/>
                <w:numId w:val="1"/>
              </w:numPr>
              <w:spacing w:before="156" w:beforeLines="50"/>
              <w:jc w:val="center"/>
              <w:rPr>
                <w:rFonts w:ascii="宋体" w:hAnsi="宋体" w:cs="宋体"/>
                <w:sz w:val="24"/>
                <w:szCs w:val="24"/>
                <w:highlight w:val="none"/>
              </w:rPr>
            </w:pPr>
          </w:p>
        </w:tc>
        <w:tc>
          <w:tcPr>
            <w:tcW w:w="1995" w:type="dxa"/>
            <w:vAlign w:val="center"/>
          </w:tcPr>
          <w:p w14:paraId="7327C84D">
            <w:pPr>
              <w:spacing w:before="156" w:beforeLines="50"/>
              <w:jc w:val="center"/>
              <w:rPr>
                <w:rFonts w:hint="eastAsia" w:ascii="宋体" w:hAnsi="宋体" w:cs="宋体"/>
                <w:b w:val="0"/>
                <w:bCs w:val="0"/>
                <w:sz w:val="24"/>
                <w:szCs w:val="24"/>
                <w:highlight w:val="none"/>
              </w:rPr>
            </w:pPr>
            <w:r>
              <w:rPr>
                <w:rFonts w:hint="eastAsia" w:asciiTheme="minorEastAsia" w:hAnsiTheme="minorEastAsia" w:eastAsiaTheme="minorEastAsia" w:cstheme="minorEastAsia"/>
                <w:sz w:val="24"/>
                <w:highlight w:val="none"/>
              </w:rPr>
              <w:t>预算金额</w:t>
            </w:r>
          </w:p>
        </w:tc>
        <w:tc>
          <w:tcPr>
            <w:tcW w:w="6615" w:type="dxa"/>
            <w:vAlign w:val="center"/>
          </w:tcPr>
          <w:p w14:paraId="12ED9AF4">
            <w:pPr>
              <w:tabs>
                <w:tab w:val="left" w:pos="8640"/>
              </w:tabs>
              <w:spacing w:line="360" w:lineRule="auto"/>
              <w:jc w:val="left"/>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1600000.00</w:t>
            </w:r>
            <w:r>
              <w:rPr>
                <w:rFonts w:hint="eastAsia" w:asciiTheme="minorEastAsia" w:hAnsiTheme="minorEastAsia" w:eastAsiaTheme="minorEastAsia" w:cstheme="minorEastAsia"/>
                <w:sz w:val="24"/>
                <w:highlight w:val="none"/>
                <w:lang w:eastAsia="zh-CN"/>
              </w:rPr>
              <w:t>元</w:t>
            </w:r>
            <w:r>
              <w:rPr>
                <w:rFonts w:hint="eastAsia" w:asciiTheme="minorEastAsia" w:hAnsiTheme="minorEastAsia" w:eastAsiaTheme="minorEastAsia" w:cstheme="minorEastAsia"/>
                <w:sz w:val="24"/>
                <w:highlight w:val="none"/>
                <w:lang w:val="en-US" w:eastAsia="zh-CN"/>
              </w:rPr>
              <w:t>（本院外送样本收费标准按照周口市医疗服务价格项目规范县级标准执行收费，如遇收费价格动态调整，按调整后最新医疗服务价格执行，其中本院收入合作方所得比例不高于60%。）</w:t>
            </w:r>
          </w:p>
          <w:p w14:paraId="11C5D0FF">
            <w:pPr>
              <w:tabs>
                <w:tab w:val="left" w:pos="8640"/>
              </w:tabs>
              <w:spacing w:line="36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最终报价以报价一览表</w:t>
            </w:r>
            <w:r>
              <w:rPr>
                <w:rFonts w:hint="eastAsia" w:ascii="宋体" w:hAnsi="宋体" w:eastAsia="宋体" w:cs="宋体"/>
                <w:b/>
                <w:bCs/>
                <w:color w:val="auto"/>
                <w:sz w:val="24"/>
                <w:szCs w:val="24"/>
                <w:highlight w:val="none"/>
                <w:lang w:val="en-US" w:eastAsia="zh-CN"/>
              </w:rPr>
              <w:t>所报费率</w:t>
            </w:r>
            <w:r>
              <w:rPr>
                <w:rFonts w:hint="eastAsia" w:ascii="宋体" w:hAnsi="宋体" w:eastAsia="宋体" w:cs="宋体"/>
                <w:b/>
                <w:bCs/>
                <w:color w:val="auto"/>
                <w:sz w:val="24"/>
                <w:szCs w:val="24"/>
                <w:highlight w:val="none"/>
              </w:rPr>
              <w:t>为准，</w:t>
            </w:r>
            <w:r>
              <w:rPr>
                <w:rFonts w:hint="eastAsia" w:asciiTheme="minorEastAsia" w:hAnsiTheme="minorEastAsia" w:eastAsiaTheme="minorEastAsia" w:cstheme="minorEastAsia"/>
                <w:b/>
                <w:bCs/>
                <w:color w:val="auto"/>
                <w:sz w:val="24"/>
                <w:szCs w:val="24"/>
                <w:highlight w:val="none"/>
              </w:rPr>
              <w:t>根据每月送检清单，按照</w:t>
            </w:r>
            <w:r>
              <w:rPr>
                <w:rFonts w:hint="eastAsia" w:asciiTheme="minorEastAsia" w:hAnsiTheme="minorEastAsia" w:eastAsiaTheme="minorEastAsia" w:cstheme="minorEastAsia"/>
                <w:b/>
                <w:bCs/>
                <w:color w:val="auto"/>
                <w:sz w:val="24"/>
                <w:szCs w:val="24"/>
                <w:highlight w:val="none"/>
                <w:lang w:val="en-US" w:eastAsia="zh-CN"/>
              </w:rPr>
              <w:t>所报费率</w:t>
            </w:r>
            <w:r>
              <w:rPr>
                <w:rFonts w:hint="eastAsia" w:asciiTheme="minorEastAsia" w:hAnsiTheme="minorEastAsia" w:eastAsiaTheme="minorEastAsia" w:cstheme="minorEastAsia"/>
                <w:b/>
                <w:bCs/>
                <w:color w:val="auto"/>
                <w:sz w:val="24"/>
                <w:szCs w:val="24"/>
                <w:highlight w:val="none"/>
              </w:rPr>
              <w:t>按月据实结算</w:t>
            </w:r>
            <w:r>
              <w:rPr>
                <w:rFonts w:hint="eastAsia" w:ascii="宋体" w:hAnsi="宋体" w:eastAsia="宋体" w:cs="宋体"/>
                <w:b/>
                <w:bCs/>
                <w:color w:val="auto"/>
                <w:sz w:val="24"/>
                <w:szCs w:val="24"/>
                <w:highlight w:val="none"/>
              </w:rPr>
              <w:t>。</w:t>
            </w:r>
          </w:p>
        </w:tc>
      </w:tr>
      <w:tr w14:paraId="70B07A12">
        <w:trPr>
          <w:trHeight w:val="168" w:hRule="atLeast"/>
        </w:trPr>
        <w:tc>
          <w:tcPr>
            <w:tcW w:w="735" w:type="dxa"/>
            <w:vAlign w:val="center"/>
          </w:tcPr>
          <w:p w14:paraId="3F8D6826">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highlight w:val="none"/>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color w:val="auto"/>
                <w:sz w:val="24"/>
                <w:szCs w:val="24"/>
                <w:highlight w:val="none"/>
              </w:rPr>
              <w:t>其他未列明行业</w:t>
            </w:r>
          </w:p>
        </w:tc>
      </w:tr>
    </w:tbl>
    <w:p w14:paraId="2BD7ACE3">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0"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0"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0"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0"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68DBF26E">
      <w:pPr>
        <w:pStyle w:val="78"/>
        <w:keepNext w:val="0"/>
        <w:keepLines w:val="0"/>
        <w:pageBreakBefore w:val="0"/>
        <w:widowControl w:val="0"/>
        <w:kinsoku/>
        <w:wordWrap/>
        <w:overflowPunct/>
        <w:topLinePunct w:val="0"/>
        <w:bidi w:val="0"/>
        <w:snapToGrid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70C42FB6">
      <w:pPr>
        <w:spacing w:line="560" w:lineRule="exact"/>
        <w:ind w:firstLine="480"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w:t>
      </w:r>
      <w:r>
        <w:rPr>
          <w:rFonts w:ascii="宋体" w:hAnsi="宋体" w:eastAsia="宋体" w:cs="宋体"/>
          <w:color w:val="000000"/>
          <w:sz w:val="24"/>
          <w:highlight w:val="none"/>
        </w:rPr>
        <w:t>需</w:t>
      </w:r>
      <w:r>
        <w:rPr>
          <w:rFonts w:hint="eastAsia" w:ascii="宋体" w:hAnsi="宋体" w:cs="宋体"/>
          <w:color w:val="000000"/>
          <w:sz w:val="24"/>
          <w:highlight w:val="none"/>
          <w:lang w:val="en-US" w:eastAsia="zh-CN"/>
        </w:rPr>
        <w:t>承诺</w:t>
      </w:r>
      <w:r>
        <w:rPr>
          <w:rFonts w:hint="eastAsia" w:ascii="宋体" w:hAnsi="宋体" w:cs="宋体"/>
          <w:sz w:val="24"/>
          <w:highlight w:val="none"/>
        </w:rPr>
        <w:t>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0"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0"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0"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0"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w:t>
      </w:r>
      <w:r>
        <w:rPr>
          <w:rFonts w:hint="eastAsia" w:ascii="宋体" w:hAnsi="宋体" w:cs="宋体"/>
          <w:sz w:val="24"/>
          <w:highlight w:val="none"/>
          <w:lang w:val="en-US" w:eastAsia="zh-CN"/>
        </w:rPr>
        <w:t>电话</w:t>
      </w:r>
      <w:r>
        <w:rPr>
          <w:rFonts w:hint="eastAsia" w:ascii="宋体" w:hAnsi="宋体" w:cs="宋体"/>
          <w:sz w:val="24"/>
          <w:highlight w:val="none"/>
        </w:rPr>
        <w:t>等信息。</w:t>
      </w:r>
    </w:p>
    <w:p w14:paraId="2B91BFD9">
      <w:pPr>
        <w:spacing w:line="560" w:lineRule="exact"/>
        <w:ind w:firstLine="480"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0"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eastAsia="宋体" w:cs="宋体"/>
          <w:color w:val="auto"/>
          <w:spacing w:val="-3"/>
          <w:sz w:val="24"/>
          <w:szCs w:val="22"/>
          <w:highlight w:val="none"/>
          <w:lang w:val="zh-CN" w:eastAsia="zh-CN" w:bidi="zh-CN"/>
        </w:rPr>
        <w:t>且</w:t>
      </w:r>
      <w:r>
        <w:rPr>
          <w:rFonts w:hint="eastAsia" w:ascii="宋体" w:hAnsi="宋体" w:cs="宋体"/>
          <w:sz w:val="24"/>
          <w:highlight w:val="none"/>
        </w:rPr>
        <w:t>供应商</w:t>
      </w:r>
      <w:r>
        <w:rPr>
          <w:rFonts w:hint="eastAsia" w:ascii="宋体" w:hAnsi="宋体" w:eastAsia="宋体" w:cs="宋体"/>
          <w:color w:val="auto"/>
          <w:spacing w:val="-3"/>
          <w:sz w:val="24"/>
          <w:szCs w:val="22"/>
          <w:highlight w:val="none"/>
          <w:lang w:val="zh-CN" w:eastAsia="zh-CN" w:bidi="zh-CN"/>
        </w:rPr>
        <w:t>需在报价一览表竞标报价大写处加盖公章。</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78B36C2A">
      <w:pPr>
        <w:spacing w:line="560" w:lineRule="exact"/>
        <w:ind w:firstLine="480" w:firstLineChars="200"/>
        <w:rPr>
          <w:rFonts w:hint="eastAsia" w:ascii="宋体" w:hAnsi="宋体" w:cs="宋体"/>
          <w:b w:val="0"/>
          <w:bCs w:val="0"/>
          <w:sz w:val="24"/>
          <w:highlight w:val="none"/>
        </w:rPr>
      </w:pPr>
      <w:r>
        <w:rPr>
          <w:rFonts w:hint="eastAsia" w:ascii="宋体" w:hAnsi="宋体" w:cs="宋体"/>
          <w:b w:val="0"/>
          <w:bCs w:val="0"/>
          <w:sz w:val="24"/>
          <w:highlight w:val="none"/>
        </w:rPr>
        <w:t>12.5供应商需声明不存在投标人之间协商投标报价的情形。</w:t>
      </w:r>
    </w:p>
    <w:p w14:paraId="30B427F3">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0"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786FACD">
      <w:pPr>
        <w:spacing w:line="360" w:lineRule="auto"/>
        <w:ind w:firstLine="55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授权委托书须在法定代表人和委托代理人身份证正面签名确认。本竞争性磋商文件所表述（指定）的公章是指法人（供应商）行政公章，不包括专用章</w:t>
      </w:r>
      <w:r>
        <w:rPr>
          <w:rFonts w:hint="eastAsia" w:ascii="宋体" w:hAnsi="宋体" w:cs="宋体"/>
          <w:color w:val="auto"/>
          <w:sz w:val="24"/>
          <w:highlight w:val="none"/>
          <w:lang w:val="zh-CN"/>
        </w:rPr>
        <w:t>。</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0"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0"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0"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1"/>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1"/>
        <w:rPr>
          <w:rFonts w:ascii="宋体" w:hAnsi="宋体" w:cs="宋体"/>
          <w:sz w:val="24"/>
          <w:szCs w:val="24"/>
          <w:highlight w:val="none"/>
        </w:rPr>
      </w:pPr>
    </w:p>
    <w:p w14:paraId="3C2E2FD7">
      <w:pPr>
        <w:pStyle w:val="41"/>
        <w:rPr>
          <w:rFonts w:ascii="宋体" w:hAnsi="宋体" w:cs="宋体"/>
          <w:sz w:val="24"/>
          <w:szCs w:val="24"/>
          <w:highlight w:val="none"/>
        </w:rPr>
      </w:pPr>
    </w:p>
    <w:p w14:paraId="65510C0C">
      <w:pPr>
        <w:spacing w:line="560" w:lineRule="exact"/>
        <w:ind w:firstLine="480"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0"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37"/>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37"/>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b/>
          <w:color w:val="auto"/>
          <w:sz w:val="24"/>
          <w:highlight w:val="none"/>
        </w:rPr>
        <w:t>六、评定标准</w:t>
      </w:r>
    </w:p>
    <w:p w14:paraId="3EAED460">
      <w:pPr>
        <w:spacing w:line="560" w:lineRule="exact"/>
        <w:ind w:firstLine="480"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8AAC56A">
      <w:pPr>
        <w:pStyle w:val="16"/>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767F526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pPr w:leftFromText="180" w:rightFromText="180" w:vertAnchor="text" w:horzAnchor="page" w:tblpX="1646" w:tblpY="415"/>
        <w:tblOverlap w:val="never"/>
        <w:tblW w:w="879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7"/>
        <w:gridCol w:w="1255"/>
        <w:gridCol w:w="6438"/>
      </w:tblGrid>
      <w:tr w14:paraId="2CC422D1">
        <w:trPr>
          <w:trHeight w:val="0" w:hRule="atLeast"/>
        </w:trPr>
        <w:tc>
          <w:tcPr>
            <w:tcW w:w="1097" w:type="dxa"/>
            <w:tcBorders>
              <w:left w:val="single" w:color="auto" w:sz="4" w:space="0"/>
            </w:tcBorders>
            <w:noWrap w:val="0"/>
            <w:vAlign w:val="center"/>
          </w:tcPr>
          <w:p w14:paraId="5A31C7A5">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投标报价评分标准</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w:t>
            </w:r>
          </w:p>
          <w:p w14:paraId="3EAF8823">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noWrap w:val="0"/>
            <w:vAlign w:val="center"/>
          </w:tcPr>
          <w:p w14:paraId="2D416965">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438" w:type="dxa"/>
            <w:noWrap w:val="0"/>
            <w:vAlign w:val="center"/>
          </w:tcPr>
          <w:p w14:paraId="5920D83A">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价格分应当采用低价优先法计算，即满足招标文件要求且投标价格最低的投标报价</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费率</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为评标基准价，其价格分为满分。其他投标人的价格分统一按照下列公式计算：</w:t>
            </w:r>
          </w:p>
          <w:p w14:paraId="23B76F01">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sz w:val="24"/>
                <w:szCs w:val="24"/>
                <w:highlight w:val="none"/>
              </w:rPr>
              <w:t>　　投标报价得分=(评标基准价／投标报价)×</w:t>
            </w:r>
            <w:r>
              <w:rPr>
                <w:rFonts w:hint="eastAsia" w:ascii="宋体" w:hAnsi="宋体" w:eastAsia="宋体" w:cs="宋体"/>
                <w:sz w:val="24"/>
                <w:szCs w:val="24"/>
                <w:highlight w:val="none"/>
                <w:lang w:val="en-US" w:eastAsia="zh-CN"/>
              </w:rPr>
              <w:t>10</w:t>
            </w:r>
          </w:p>
          <w:p w14:paraId="0713C778">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w:t>
            </w:r>
            <w:r>
              <w:rPr>
                <w:rFonts w:hint="eastAsia" w:ascii="宋体" w:hAnsi="宋体" w:eastAsia="宋体" w:cs="宋体"/>
                <w:sz w:val="24"/>
                <w:szCs w:val="24"/>
                <w:highlight w:val="none"/>
                <w:lang w:val="en-US" w:eastAsia="zh-CN"/>
              </w:rPr>
              <w:t>两</w:t>
            </w:r>
            <w:r>
              <w:rPr>
                <w:rFonts w:hint="eastAsia" w:ascii="宋体" w:hAnsi="宋体" w:eastAsia="宋体" w:cs="宋体"/>
                <w:sz w:val="24"/>
                <w:szCs w:val="24"/>
                <w:highlight w:val="none"/>
              </w:rPr>
              <w:t>位。</w:t>
            </w:r>
          </w:p>
          <w:p w14:paraId="7BA9F32A">
            <w:pPr>
              <w:pStyle w:val="26"/>
              <w:keepNext w:val="0"/>
              <w:keepLines w:val="0"/>
              <w:pageBreakBefore w:val="0"/>
              <w:kinsoku/>
              <w:wordWrap/>
              <w:overflowPunct/>
              <w:topLinePunct w:val="0"/>
              <w:autoSpaceDE/>
              <w:autoSpaceDN/>
              <w:bidi w:val="0"/>
              <w:snapToGrid w:val="0"/>
              <w:spacing w:after="0" w:line="312" w:lineRule="auto"/>
              <w:ind w:right="-21" w:firstLine="0" w:firstLineChars="0"/>
              <w:textAlignment w:val="auto"/>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财库〔2022〕19号）文件规定：</w:t>
            </w:r>
          </w:p>
          <w:p w14:paraId="44A59B0C">
            <w:pPr>
              <w:pStyle w:val="26"/>
              <w:keepNext w:val="0"/>
              <w:keepLines w:val="0"/>
              <w:pageBreakBefore w:val="0"/>
              <w:kinsoku/>
              <w:wordWrap/>
              <w:overflowPunct/>
              <w:topLinePunct w:val="0"/>
              <w:autoSpaceDE/>
              <w:autoSpaceDN/>
              <w:bidi w:val="0"/>
              <w:snapToGrid w:val="0"/>
              <w:spacing w:after="0" w:line="312" w:lineRule="auto"/>
              <w:ind w:right="-21" w:firstLine="0" w:firstLineChars="0"/>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 xml:space="preserve">（1）对小微企业报价给予 </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7AE11C4C">
            <w:pPr>
              <w:pStyle w:val="26"/>
              <w:keepNext w:val="0"/>
              <w:keepLines w:val="0"/>
              <w:pageBreakBefore w:val="0"/>
              <w:kinsoku/>
              <w:wordWrap/>
              <w:overflowPunct/>
              <w:topLinePunct w:val="0"/>
              <w:autoSpaceDE/>
              <w:autoSpaceDN/>
              <w:bidi w:val="0"/>
              <w:snapToGrid w:val="0"/>
              <w:spacing w:after="0" w:line="312" w:lineRule="auto"/>
              <w:ind w:right="-21" w:firstLine="0" w:firstLineChars="0"/>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1DBDE695">
            <w:pPr>
              <w:pStyle w:val="26"/>
              <w:keepNext w:val="0"/>
              <w:keepLines w:val="0"/>
              <w:pageBreakBefore w:val="0"/>
              <w:kinsoku/>
              <w:wordWrap/>
              <w:overflowPunct/>
              <w:topLinePunct w:val="0"/>
              <w:autoSpaceDE/>
              <w:autoSpaceDN/>
              <w:bidi w:val="0"/>
              <w:snapToGrid w:val="0"/>
              <w:spacing w:after="0" w:line="312" w:lineRule="auto"/>
              <w:ind w:right="-21" w:firstLine="0" w:firstLineChars="0"/>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F13A045">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（4）没有提供有效证明材料的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将被视为不接受投标总价的扣除，用原投标总价参与评审。</w:t>
            </w:r>
          </w:p>
        </w:tc>
      </w:tr>
      <w:tr w14:paraId="3B0E1C76">
        <w:trPr>
          <w:trHeight w:val="0" w:hRule="atLeast"/>
        </w:trPr>
        <w:tc>
          <w:tcPr>
            <w:tcW w:w="1097" w:type="dxa"/>
            <w:vMerge w:val="restart"/>
            <w:tcBorders>
              <w:left w:val="single" w:color="auto" w:sz="4" w:space="0"/>
            </w:tcBorders>
            <w:shd w:val="clear" w:color="auto" w:fill="auto"/>
            <w:noWrap w:val="0"/>
            <w:vAlign w:val="center"/>
          </w:tcPr>
          <w:p w14:paraId="1E08D945">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w:t>
            </w:r>
          </w:p>
          <w:p w14:paraId="352AC025">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部分</w:t>
            </w:r>
          </w:p>
          <w:p w14:paraId="33C53AE2">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60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w:t>
            </w:r>
          </w:p>
        </w:tc>
        <w:tc>
          <w:tcPr>
            <w:tcW w:w="1255" w:type="dxa"/>
            <w:shd w:val="clear" w:color="000000" w:fill="FFFFFF"/>
            <w:noWrap w:val="0"/>
            <w:vAlign w:val="center"/>
          </w:tcPr>
          <w:p w14:paraId="0AC10541">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p w14:paraId="07035515">
            <w:pPr>
              <w:keepNext w:val="0"/>
              <w:keepLines w:val="0"/>
              <w:pageBreakBefore w:val="0"/>
              <w:widowControl w:val="0"/>
              <w:kinsoku/>
              <w:wordWrap/>
              <w:overflowPunct/>
              <w:topLinePunct w:val="0"/>
              <w:bidi w:val="0"/>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6438" w:type="dxa"/>
            <w:shd w:val="clear" w:color="000000" w:fill="FFFFFF"/>
            <w:noWrap w:val="0"/>
            <w:vAlign w:val="center"/>
          </w:tcPr>
          <w:p w14:paraId="013DECF2">
            <w:pPr>
              <w:keepNext w:val="0"/>
              <w:keepLines w:val="0"/>
              <w:pageBreakBefore w:val="0"/>
              <w:widowControl w:val="0"/>
              <w:kinsoku/>
              <w:wordWrap/>
              <w:overflowPunct/>
              <w:topLinePunct w:val="0"/>
              <w:bidi w:val="0"/>
              <w:snapToGrid w:val="0"/>
              <w:spacing w:line="360" w:lineRule="auto"/>
              <w:ind w:left="0" w:leftChars="0" w:firstLine="278" w:firstLineChars="116"/>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rPr>
              <w:t>投标人所投投标服务全部满足竞争性磋商文件第三章 采购内容及要求的，得满分</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分；投标服务任意一项技术参数不满足磋商文件规定要求的，每项扣</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w:t>
            </w:r>
            <w:r>
              <w:rPr>
                <w:rFonts w:hint="eastAsia" w:ascii="宋体" w:hAnsi="宋体" w:eastAsia="宋体" w:cs="宋体"/>
                <w:color w:val="auto"/>
                <w:sz w:val="24"/>
                <w:highlight w:val="none"/>
              </w:rPr>
              <w:t>扣完为止。</w:t>
            </w:r>
          </w:p>
        </w:tc>
      </w:tr>
      <w:tr w14:paraId="5D4204A2">
        <w:trPr>
          <w:trHeight w:val="0" w:hRule="atLeast"/>
        </w:trPr>
        <w:tc>
          <w:tcPr>
            <w:tcW w:w="1097" w:type="dxa"/>
            <w:vMerge w:val="continue"/>
            <w:tcBorders>
              <w:left w:val="single" w:color="auto" w:sz="4" w:space="0"/>
            </w:tcBorders>
            <w:shd w:val="clear" w:color="auto" w:fill="auto"/>
            <w:noWrap w:val="0"/>
            <w:vAlign w:val="center"/>
          </w:tcPr>
          <w:p w14:paraId="748DA54E">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kern w:val="2"/>
                <w:sz w:val="24"/>
                <w:szCs w:val="24"/>
                <w:highlight w:val="none"/>
                <w:lang w:val="en-US" w:eastAsia="zh-CN" w:bidi="ar-SA"/>
              </w:rPr>
            </w:pPr>
          </w:p>
        </w:tc>
        <w:tc>
          <w:tcPr>
            <w:tcW w:w="1255" w:type="dxa"/>
            <w:shd w:val="clear" w:color="auto" w:fill="auto"/>
            <w:noWrap w:val="0"/>
            <w:vAlign w:val="center"/>
          </w:tcPr>
          <w:p w14:paraId="534FAB64">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技术服务工作</w:t>
            </w:r>
            <w:r>
              <w:rPr>
                <w:rFonts w:hint="eastAsia" w:ascii="宋体" w:hAnsi="宋体" w:eastAsia="宋体" w:cs="宋体"/>
                <w:sz w:val="24"/>
                <w:szCs w:val="24"/>
                <w:highlight w:val="none"/>
                <w:lang w:val="en-US" w:eastAsia="zh-CN"/>
              </w:rPr>
              <w:t>方案</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438" w:type="dxa"/>
            <w:shd w:val="clear" w:color="auto" w:fill="auto"/>
            <w:noWrap w:val="0"/>
            <w:vAlign w:val="center"/>
          </w:tcPr>
          <w:p w14:paraId="76B8D732">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en-US" w:bidi="ar-SA"/>
              </w:rPr>
            </w:pPr>
            <w:r>
              <w:rPr>
                <w:rFonts w:hint="eastAsia" w:ascii="宋体" w:hAnsi="宋体" w:eastAsia="宋体" w:cs="宋体"/>
                <w:sz w:val="24"/>
                <w:szCs w:val="24"/>
                <w:highlight w:val="none"/>
              </w:rPr>
              <w:t>提供技术服务工作</w:t>
            </w:r>
            <w:r>
              <w:rPr>
                <w:rFonts w:hint="eastAsia" w:ascii="宋体" w:hAnsi="宋体" w:eastAsia="宋体" w:cs="宋体"/>
                <w:sz w:val="24"/>
                <w:szCs w:val="24"/>
                <w:highlight w:val="none"/>
                <w:lang w:val="en-US" w:eastAsia="zh-CN"/>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包括但不限于</w:t>
            </w:r>
            <w:r>
              <w:rPr>
                <w:rFonts w:hint="eastAsia" w:ascii="宋体" w:hAnsi="宋体" w:eastAsia="宋体" w:cs="宋体"/>
                <w:sz w:val="24"/>
                <w:szCs w:val="24"/>
                <w:highlight w:val="none"/>
              </w:rPr>
              <w:t>：整体服务流程、标本接收方案、检测工作流程、发送检测结果报告方法、服务质量保障措施、生物信息安全保密措施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得1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lang w:eastAsia="zh-CN"/>
              </w:rPr>
              <w:t>。</w:t>
            </w:r>
          </w:p>
        </w:tc>
      </w:tr>
      <w:tr w14:paraId="207325D8">
        <w:trPr>
          <w:trHeight w:val="0" w:hRule="atLeast"/>
        </w:trPr>
        <w:tc>
          <w:tcPr>
            <w:tcW w:w="1097" w:type="dxa"/>
            <w:vMerge w:val="continue"/>
            <w:tcBorders>
              <w:left w:val="single" w:color="auto" w:sz="4" w:space="0"/>
            </w:tcBorders>
          </w:tcPr>
          <w:p w14:paraId="0CE962DE">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78E2F949">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物流运输</w:t>
            </w:r>
            <w:r>
              <w:rPr>
                <w:rFonts w:hint="eastAsia" w:ascii="宋体" w:hAnsi="宋体" w:eastAsia="宋体" w:cs="宋体"/>
                <w:sz w:val="24"/>
                <w:szCs w:val="24"/>
                <w:highlight w:val="none"/>
                <w:lang w:val="en-US" w:eastAsia="zh-CN"/>
              </w:rPr>
              <w:t>方案</w:t>
            </w:r>
          </w:p>
          <w:p w14:paraId="2BB7CAA6">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438" w:type="dxa"/>
            <w:shd w:val="clear" w:color="auto" w:fill="auto"/>
            <w:vAlign w:val="center"/>
          </w:tcPr>
          <w:p w14:paraId="14B880BF">
            <w:pPr>
              <w:pStyle w:val="13"/>
              <w:keepNext w:val="0"/>
              <w:keepLines w:val="0"/>
              <w:pageBreakBefore w:val="0"/>
              <w:kinsoku/>
              <w:wordWrap/>
              <w:overflowPunct/>
              <w:topLinePunct w:val="0"/>
              <w:autoSpaceDE/>
              <w:autoSpaceDN/>
              <w:bidi w:val="0"/>
              <w:snapToGrid w:val="0"/>
              <w:spacing w:line="312" w:lineRule="auto"/>
              <w:ind w:left="0" w:leftChars="0" w:right="-10" w:firstLine="420" w:firstLineChars="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w:t>
            </w:r>
            <w:r>
              <w:rPr>
                <w:rFonts w:hint="eastAsia" w:ascii="宋体" w:hAnsi="宋体" w:eastAsia="宋体" w:cs="宋体"/>
                <w:sz w:val="24"/>
                <w:szCs w:val="24"/>
                <w:highlight w:val="none"/>
                <w:lang w:val="en-US" w:eastAsia="zh-CN"/>
              </w:rPr>
              <w:t>供应商具有</w:t>
            </w:r>
            <w:r>
              <w:rPr>
                <w:rFonts w:hint="eastAsia" w:ascii="宋体" w:hAnsi="宋体" w:eastAsia="宋体" w:cs="宋体"/>
                <w:sz w:val="24"/>
                <w:szCs w:val="24"/>
                <w:highlight w:val="none"/>
                <w:lang w:val="en-US"/>
              </w:rPr>
              <w:t>冷链物流资质证书</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val="en-US"/>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rPr>
              <w:t>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rPr>
              <w:t>若委托第三方冷链物流机构</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rPr>
              <w:t>提供资质证书复印件</w:t>
            </w:r>
            <w:r>
              <w:rPr>
                <w:rFonts w:hint="eastAsia" w:ascii="宋体" w:hAnsi="宋体" w:eastAsia="宋体" w:cs="宋体"/>
                <w:sz w:val="24"/>
                <w:szCs w:val="24"/>
                <w:highlight w:val="none"/>
                <w:lang w:val="en-US" w:eastAsia="zh-CN"/>
              </w:rPr>
              <w:t>、委托协议书的</w:t>
            </w:r>
            <w:r>
              <w:rPr>
                <w:rFonts w:hint="eastAsia" w:ascii="宋体" w:hAnsi="宋体" w:eastAsia="宋体" w:cs="宋体"/>
                <w:sz w:val="24"/>
                <w:szCs w:val="24"/>
                <w:highlight w:val="none"/>
                <w:lang w:val="en-US"/>
              </w:rPr>
              <w:t>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lang w:val="en-US"/>
              </w:rPr>
              <w:t>分，</w:t>
            </w:r>
            <w:r>
              <w:rPr>
                <w:rFonts w:hint="eastAsia" w:ascii="宋体" w:hAnsi="宋体" w:eastAsia="宋体" w:cs="宋体"/>
                <w:sz w:val="24"/>
                <w:szCs w:val="24"/>
                <w:highlight w:val="none"/>
                <w:lang w:val="en-US" w:eastAsia="zh-CN"/>
              </w:rPr>
              <w:t>此项最高得1分</w:t>
            </w:r>
            <w:r>
              <w:rPr>
                <w:rFonts w:hint="eastAsia" w:ascii="宋体" w:hAnsi="宋体" w:eastAsia="宋体" w:cs="宋体"/>
                <w:sz w:val="24"/>
                <w:szCs w:val="24"/>
                <w:highlight w:val="none"/>
                <w:lang w:val="en-US"/>
              </w:rPr>
              <w:t>。</w:t>
            </w:r>
          </w:p>
          <w:p w14:paraId="41B95F27">
            <w:pPr>
              <w:pStyle w:val="13"/>
              <w:keepNext w:val="0"/>
              <w:keepLines w:val="0"/>
              <w:pageBreakBefore w:val="0"/>
              <w:kinsoku/>
              <w:wordWrap/>
              <w:overflowPunct/>
              <w:topLinePunct w:val="0"/>
              <w:autoSpaceDE/>
              <w:autoSpaceDN/>
              <w:bidi w:val="0"/>
              <w:snapToGrid w:val="0"/>
              <w:spacing w:line="312" w:lineRule="auto"/>
              <w:ind w:left="0" w:leftChars="0" w:right="-10" w:firstLine="42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lang w:val="en-US"/>
              </w:rPr>
              <w:t>物流运输方案、样本采集、保存及物流质控、物流安全保障、标本转运物流流程规章制度</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rPr>
              <w:t>具</w:t>
            </w:r>
            <w:r>
              <w:rPr>
                <w:rFonts w:hint="eastAsia" w:ascii="宋体" w:hAnsi="宋体" w:eastAsia="宋体" w:cs="宋体"/>
                <w:sz w:val="24"/>
                <w:szCs w:val="24"/>
                <w:highlight w:val="none"/>
                <w:lang w:val="en-US" w:eastAsia="zh-CN"/>
              </w:rPr>
              <w:t>备</w:t>
            </w:r>
            <w:r>
              <w:rPr>
                <w:rFonts w:hint="eastAsia" w:ascii="宋体" w:hAnsi="宋体" w:eastAsia="宋体" w:cs="宋体"/>
                <w:sz w:val="24"/>
                <w:szCs w:val="24"/>
                <w:highlight w:val="none"/>
                <w:lang w:val="en-US"/>
              </w:rPr>
              <w:t>物流配送设施</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val="en-US"/>
              </w:rPr>
              <w:t>得</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en-US"/>
              </w:rPr>
              <w:t>分</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lang w:eastAsia="zh-CN"/>
              </w:rPr>
              <w:t>。</w:t>
            </w:r>
          </w:p>
          <w:p w14:paraId="124278F4">
            <w:pPr>
              <w:pStyle w:val="13"/>
              <w:keepNext w:val="0"/>
              <w:keepLines w:val="0"/>
              <w:pageBreakBefore w:val="0"/>
              <w:kinsoku/>
              <w:wordWrap/>
              <w:overflowPunct/>
              <w:topLinePunct w:val="0"/>
              <w:autoSpaceDE/>
              <w:autoSpaceDN/>
              <w:bidi w:val="0"/>
              <w:snapToGrid w:val="0"/>
              <w:spacing w:line="312" w:lineRule="auto"/>
              <w:ind w:left="0" w:leftChars="0" w:right="-10" w:firstLine="420" w:firstLineChars="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3.</w:t>
            </w:r>
            <w:r>
              <w:rPr>
                <w:rFonts w:hint="eastAsia" w:ascii="宋体" w:hAnsi="宋体" w:eastAsia="宋体" w:cs="宋体"/>
                <w:sz w:val="24"/>
                <w:szCs w:val="24"/>
                <w:highlight w:val="none"/>
                <w:lang w:val="en-US" w:eastAsia="zh-CN"/>
              </w:rPr>
              <w:t>供应商具有</w:t>
            </w:r>
            <w:r>
              <w:rPr>
                <w:rFonts w:hint="eastAsia" w:ascii="宋体" w:hAnsi="宋体" w:eastAsia="宋体" w:cs="宋体"/>
                <w:sz w:val="24"/>
                <w:szCs w:val="24"/>
                <w:highlight w:val="none"/>
                <w:lang w:val="en-US"/>
              </w:rPr>
              <w:t>符合《医学检验生物样本冷链物流运作规范》企业</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val="en-US"/>
              </w:rPr>
              <w:t>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rPr>
              <w:t>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lang w:val="en-US" w:eastAsia="zh-CN"/>
              </w:rPr>
              <w:t>注：</w:t>
            </w:r>
            <w:r>
              <w:rPr>
                <w:rFonts w:hint="eastAsia" w:ascii="宋体" w:hAnsi="宋体" w:eastAsia="宋体" w:cs="宋体"/>
                <w:sz w:val="24"/>
                <w:szCs w:val="24"/>
                <w:highlight w:val="none"/>
                <w:lang w:val="en-US"/>
              </w:rPr>
              <w:t>提供相应证明材料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不提供不得分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rPr>
              <w:t>）</w:t>
            </w:r>
          </w:p>
          <w:p w14:paraId="19CAF36D">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en-US" w:bidi="ar-SA"/>
              </w:rPr>
            </w:pPr>
            <w:r>
              <w:rPr>
                <w:rFonts w:hint="eastAsia" w:ascii="宋体" w:hAnsi="宋体" w:eastAsia="宋体" w:cs="宋体"/>
                <w:sz w:val="24"/>
                <w:szCs w:val="24"/>
                <w:highlight w:val="none"/>
                <w:lang w:val="en-US"/>
              </w:rPr>
              <w:t>4.</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en-US"/>
              </w:rPr>
              <w:t>为本项目配备物流团队</w:t>
            </w:r>
            <w:r>
              <w:rPr>
                <w:rFonts w:hint="eastAsia" w:ascii="宋体" w:hAnsi="宋体" w:eastAsia="宋体" w:cs="宋体"/>
                <w:sz w:val="24"/>
                <w:szCs w:val="24"/>
                <w:highlight w:val="none"/>
                <w:lang w:val="en-US" w:eastAsia="zh-CN"/>
              </w:rPr>
              <w:t>人员</w:t>
            </w:r>
            <w:r>
              <w:rPr>
                <w:rFonts w:hint="eastAsia" w:ascii="宋体" w:hAnsi="宋体" w:eastAsia="宋体" w:cs="宋体"/>
                <w:sz w:val="24"/>
                <w:szCs w:val="24"/>
                <w:highlight w:val="none"/>
                <w:lang w:val="en-US"/>
              </w:rPr>
              <w:t>具有通过生物安全培训</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val="en-US"/>
              </w:rPr>
              <w:t>，提供一人得0.5分，</w:t>
            </w:r>
            <w:r>
              <w:rPr>
                <w:rFonts w:hint="eastAsia" w:ascii="宋体" w:hAnsi="宋体" w:eastAsia="宋体" w:cs="宋体"/>
                <w:sz w:val="24"/>
                <w:szCs w:val="24"/>
                <w:highlight w:val="none"/>
                <w:lang w:val="en-US" w:eastAsia="zh-CN"/>
              </w:rPr>
              <w:t>此项</w:t>
            </w:r>
            <w:r>
              <w:rPr>
                <w:rFonts w:hint="eastAsia" w:ascii="宋体" w:hAnsi="宋体" w:eastAsia="宋体" w:cs="宋体"/>
                <w:sz w:val="24"/>
                <w:szCs w:val="24"/>
                <w:highlight w:val="none"/>
                <w:lang w:val="en-US"/>
              </w:rPr>
              <w:t>最高</w:t>
            </w:r>
            <w:r>
              <w:rPr>
                <w:rFonts w:hint="eastAsia" w:ascii="宋体" w:hAnsi="宋体" w:eastAsia="宋体" w:cs="宋体"/>
                <w:sz w:val="24"/>
                <w:szCs w:val="24"/>
                <w:highlight w:val="none"/>
                <w:lang w:val="en-US" w:eastAsia="zh-CN"/>
              </w:rPr>
              <w:t>得</w:t>
            </w:r>
            <w:r>
              <w:rPr>
                <w:rFonts w:hint="eastAsia" w:ascii="宋体" w:hAnsi="宋体" w:eastAsia="宋体" w:cs="宋体"/>
                <w:sz w:val="24"/>
                <w:szCs w:val="24"/>
                <w:highlight w:val="none"/>
                <w:lang w:val="en-US"/>
              </w:rPr>
              <w:t>1分。（</w:t>
            </w:r>
            <w:r>
              <w:rPr>
                <w:rFonts w:hint="eastAsia" w:ascii="宋体" w:hAnsi="宋体" w:eastAsia="宋体" w:cs="宋体"/>
                <w:sz w:val="24"/>
                <w:szCs w:val="24"/>
                <w:highlight w:val="none"/>
                <w:lang w:val="en-US" w:eastAsia="zh-CN"/>
              </w:rPr>
              <w:t>注：</w:t>
            </w:r>
            <w:r>
              <w:rPr>
                <w:rFonts w:hint="eastAsia" w:ascii="宋体" w:hAnsi="宋体" w:eastAsia="宋体" w:cs="宋体"/>
                <w:sz w:val="24"/>
                <w:szCs w:val="24"/>
                <w:highlight w:val="none"/>
                <w:lang w:val="en-US"/>
              </w:rPr>
              <w:t>提供证书、</w:t>
            </w:r>
            <w:r>
              <w:rPr>
                <w:rFonts w:hint="eastAsia" w:ascii="宋体" w:hAnsi="宋体" w:eastAsia="宋体" w:cs="宋体"/>
                <w:sz w:val="24"/>
                <w:szCs w:val="24"/>
                <w:highlight w:val="none"/>
                <w:lang w:val="en-US" w:eastAsia="zh-CN"/>
              </w:rPr>
              <w:t>劳务</w:t>
            </w:r>
            <w:r>
              <w:rPr>
                <w:rFonts w:hint="eastAsia" w:ascii="宋体" w:hAnsi="宋体" w:eastAsia="宋体" w:cs="宋体"/>
                <w:sz w:val="24"/>
                <w:szCs w:val="24"/>
                <w:highlight w:val="none"/>
                <w:lang w:val="en-US"/>
              </w:rPr>
              <w:t>合同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lang w:eastAsia="zh-CN"/>
              </w:rPr>
              <w:t>。）</w:t>
            </w:r>
          </w:p>
        </w:tc>
      </w:tr>
      <w:tr w14:paraId="69EC8424">
        <w:trPr>
          <w:trHeight w:val="0" w:hRule="atLeast"/>
        </w:trPr>
        <w:tc>
          <w:tcPr>
            <w:tcW w:w="1097" w:type="dxa"/>
            <w:vMerge w:val="continue"/>
            <w:tcBorders>
              <w:left w:val="single" w:color="auto" w:sz="4" w:space="0"/>
            </w:tcBorders>
          </w:tcPr>
          <w:p w14:paraId="5813D959">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2C2929FC">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jc w:val="center"/>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响应时效</w:t>
            </w:r>
          </w:p>
          <w:p w14:paraId="12B28945">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（3分）</w:t>
            </w:r>
          </w:p>
        </w:tc>
        <w:tc>
          <w:tcPr>
            <w:tcW w:w="6438" w:type="dxa"/>
            <w:shd w:val="clear" w:color="auto" w:fill="auto"/>
            <w:vAlign w:val="center"/>
          </w:tcPr>
          <w:p w14:paraId="52E039A5">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en-US" w:bidi="ar-SA"/>
              </w:rPr>
            </w:pPr>
            <w:r>
              <w:rPr>
                <w:rFonts w:hint="eastAsia" w:ascii="宋体" w:hAnsi="宋体" w:eastAsia="宋体" w:cs="宋体"/>
                <w:i w:val="0"/>
                <w:iCs w:val="0"/>
                <w:caps w:val="0"/>
                <w:color w:val="000000"/>
                <w:spacing w:val="0"/>
                <w:sz w:val="24"/>
                <w:szCs w:val="24"/>
                <w:highlight w:val="none"/>
              </w:rPr>
              <w:t>为保障标本稳定性与检验结果精准度，以采购人通知起算，自医院接收标本至冷链运输送达</w:t>
            </w:r>
            <w:r>
              <w:rPr>
                <w:rFonts w:hint="eastAsia" w:ascii="宋体" w:hAnsi="宋体" w:eastAsia="宋体" w:cs="宋体"/>
                <w:i w:val="0"/>
                <w:iCs w:val="0"/>
                <w:caps w:val="0"/>
                <w:color w:val="000000"/>
                <w:spacing w:val="0"/>
                <w:sz w:val="24"/>
                <w:szCs w:val="24"/>
                <w:highlight w:val="none"/>
                <w:lang w:eastAsia="zh-CN"/>
              </w:rPr>
              <w:t>供应商</w:t>
            </w:r>
            <w:r>
              <w:rPr>
                <w:rFonts w:hint="eastAsia" w:ascii="宋体" w:hAnsi="宋体" w:eastAsia="宋体" w:cs="宋体"/>
                <w:i w:val="0"/>
                <w:iCs w:val="0"/>
                <w:caps w:val="0"/>
                <w:color w:val="000000"/>
                <w:spacing w:val="0"/>
                <w:sz w:val="24"/>
                <w:szCs w:val="24"/>
                <w:highlight w:val="none"/>
              </w:rPr>
              <w:t>实验室全程时长作为响应考核依据：标本运输响应时间≤5小时得</w:t>
            </w:r>
            <w:r>
              <w:rPr>
                <w:rFonts w:hint="eastAsia" w:ascii="宋体" w:hAnsi="宋体" w:eastAsia="宋体" w:cs="宋体"/>
                <w:i w:val="0"/>
                <w:iCs w:val="0"/>
                <w:caps w:val="0"/>
                <w:color w:val="000000"/>
                <w:spacing w:val="0"/>
                <w:sz w:val="24"/>
                <w:szCs w:val="24"/>
                <w:highlight w:val="none"/>
                <w:lang w:val="en-US" w:eastAsia="zh-CN"/>
              </w:rPr>
              <w:t>的</w:t>
            </w:r>
            <w:r>
              <w:rPr>
                <w:rFonts w:hint="eastAsia" w:ascii="宋体" w:hAnsi="宋体" w:eastAsia="宋体" w:cs="宋体"/>
                <w:i w:val="0"/>
                <w:iCs w:val="0"/>
                <w:caps w:val="0"/>
                <w:color w:val="000000"/>
                <w:spacing w:val="0"/>
                <w:sz w:val="24"/>
                <w:szCs w:val="24"/>
                <w:highlight w:val="none"/>
              </w:rPr>
              <w:t>3分；5小时＜标本运输响应时间≤7小时</w:t>
            </w:r>
            <w:r>
              <w:rPr>
                <w:rFonts w:hint="eastAsia" w:ascii="宋体" w:hAnsi="宋体" w:eastAsia="宋体" w:cs="宋体"/>
                <w:i w:val="0"/>
                <w:iCs w:val="0"/>
                <w:caps w:val="0"/>
                <w:color w:val="000000"/>
                <w:spacing w:val="0"/>
                <w:sz w:val="24"/>
                <w:szCs w:val="24"/>
                <w:highlight w:val="none"/>
                <w:lang w:val="en-US" w:eastAsia="zh-CN"/>
              </w:rPr>
              <w:t>的</w:t>
            </w:r>
            <w:r>
              <w:rPr>
                <w:rFonts w:hint="eastAsia" w:ascii="宋体" w:hAnsi="宋体" w:eastAsia="宋体" w:cs="宋体"/>
                <w:i w:val="0"/>
                <w:iCs w:val="0"/>
                <w:caps w:val="0"/>
                <w:color w:val="000000"/>
                <w:spacing w:val="0"/>
                <w:sz w:val="24"/>
                <w:szCs w:val="24"/>
                <w:highlight w:val="none"/>
              </w:rPr>
              <w:t>得2分；标本运输响应时间＞7小时</w:t>
            </w:r>
            <w:r>
              <w:rPr>
                <w:rFonts w:hint="eastAsia" w:ascii="宋体" w:hAnsi="宋体" w:eastAsia="宋体" w:cs="宋体"/>
                <w:i w:val="0"/>
                <w:iCs w:val="0"/>
                <w:caps w:val="0"/>
                <w:color w:val="000000"/>
                <w:spacing w:val="0"/>
                <w:sz w:val="24"/>
                <w:szCs w:val="24"/>
                <w:highlight w:val="none"/>
                <w:lang w:val="en-US" w:eastAsia="zh-CN"/>
              </w:rPr>
              <w:t>的</w:t>
            </w:r>
            <w:r>
              <w:rPr>
                <w:rFonts w:hint="eastAsia" w:ascii="宋体" w:hAnsi="宋体" w:eastAsia="宋体" w:cs="宋体"/>
                <w:i w:val="0"/>
                <w:iCs w:val="0"/>
                <w:caps w:val="0"/>
                <w:color w:val="000000"/>
                <w:spacing w:val="0"/>
                <w:sz w:val="24"/>
                <w:szCs w:val="24"/>
                <w:highlight w:val="none"/>
              </w:rPr>
              <w:t>得1分；</w:t>
            </w:r>
            <w:r>
              <w:rPr>
                <w:rFonts w:hint="eastAsia" w:ascii="宋体" w:hAnsi="宋体" w:eastAsia="宋体" w:cs="宋体"/>
                <w:i w:val="0"/>
                <w:iCs w:val="0"/>
                <w:caps w:val="0"/>
                <w:color w:val="000000"/>
                <w:spacing w:val="0"/>
                <w:sz w:val="24"/>
                <w:szCs w:val="24"/>
                <w:highlight w:val="none"/>
                <w:lang w:eastAsia="zh-CN"/>
              </w:rPr>
              <w:t>供应商</w:t>
            </w:r>
            <w:r>
              <w:rPr>
                <w:rFonts w:hint="eastAsia" w:ascii="宋体" w:hAnsi="宋体" w:eastAsia="宋体" w:cs="宋体"/>
                <w:i w:val="0"/>
                <w:iCs w:val="0"/>
                <w:caps w:val="0"/>
                <w:color w:val="000000"/>
                <w:spacing w:val="0"/>
                <w:sz w:val="24"/>
                <w:szCs w:val="24"/>
                <w:highlight w:val="none"/>
              </w:rPr>
              <w:t>无法提供标本冷链运输服务的，不得分。</w:t>
            </w:r>
            <w:r>
              <w:rPr>
                <w:rFonts w:hint="eastAsia" w:ascii="宋体" w:hAnsi="宋体" w:eastAsia="宋体" w:cs="宋体"/>
                <w:sz w:val="24"/>
                <w:szCs w:val="24"/>
                <w:highlight w:val="none"/>
                <w:lang w:val="en-US" w:eastAsia="zh-CN"/>
              </w:rPr>
              <w:t>（须提供供应商实验室地址以及从医院地址导航至供应商实验室地址的导航所需时间截图等相关证明材料并加盖公章，未按要求提供的不计分。）</w:t>
            </w:r>
          </w:p>
        </w:tc>
      </w:tr>
      <w:tr w14:paraId="1A00962F">
        <w:trPr>
          <w:trHeight w:val="0" w:hRule="atLeast"/>
        </w:trPr>
        <w:tc>
          <w:tcPr>
            <w:tcW w:w="1097" w:type="dxa"/>
            <w:vMerge w:val="continue"/>
            <w:tcBorders>
              <w:left w:val="single" w:color="auto" w:sz="4" w:space="0"/>
            </w:tcBorders>
          </w:tcPr>
          <w:p w14:paraId="402D2516">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5E56F3E6">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服务能力与系统对接方案(12分)</w:t>
            </w:r>
          </w:p>
        </w:tc>
        <w:tc>
          <w:tcPr>
            <w:tcW w:w="6438" w:type="dxa"/>
            <w:shd w:val="clear" w:color="auto" w:fill="auto"/>
            <w:vAlign w:val="center"/>
          </w:tcPr>
          <w:p w14:paraId="647BBAEC">
            <w:pPr>
              <w:keepNext w:val="0"/>
              <w:keepLines w:val="0"/>
              <w:pageBreakBefore w:val="0"/>
              <w:widowControl/>
              <w:suppressLineNumbers w:val="0"/>
              <w:kinsoku/>
              <w:wordWrap/>
              <w:overflowPunct/>
              <w:topLinePunct w:val="0"/>
              <w:autoSpaceDE/>
              <w:autoSpaceDN/>
              <w:bidi w:val="0"/>
              <w:snapToGrid w:val="0"/>
              <w:spacing w:line="312" w:lineRule="auto"/>
              <w:ind w:left="0" w:leftChars="0" w:firstLine="42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sz w:val="24"/>
                <w:szCs w:val="24"/>
                <w:highlight w:val="none"/>
                <w:lang w:val="en-US" w:eastAsia="zh-CN"/>
              </w:rPr>
              <w:t>提供系统对接方案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包括但不限于</w:t>
            </w:r>
            <w:r>
              <w:rPr>
                <w:rFonts w:hint="eastAsia" w:ascii="宋体" w:hAnsi="宋体" w:eastAsia="宋体" w:cs="宋体"/>
                <w:sz w:val="24"/>
                <w:szCs w:val="24"/>
                <w:highlight w:val="none"/>
              </w:rPr>
              <w:t>：</w:t>
            </w:r>
            <w:r>
              <w:rPr>
                <w:rFonts w:hint="eastAsia" w:ascii="宋体" w:hAnsi="宋体" w:eastAsia="宋体" w:cs="宋体"/>
                <w:kern w:val="2"/>
                <w:sz w:val="24"/>
                <w:szCs w:val="24"/>
                <w:highlight w:val="none"/>
                <w:lang w:val="en-US" w:eastAsia="zh-CN" w:bidi="ar-SA"/>
              </w:rPr>
              <w:t>与医院现有系统的对接方式（如HIS、EMR、LIS等）、接口设计文档、数据流图和测试报告）的得4分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lang w:eastAsia="zh-CN"/>
              </w:rPr>
              <w:t>。</w:t>
            </w:r>
          </w:p>
          <w:p w14:paraId="1F81B500">
            <w:pPr>
              <w:pStyle w:val="13"/>
              <w:keepNext w:val="0"/>
              <w:keepLines w:val="0"/>
              <w:pageBreakBefore w:val="0"/>
              <w:kinsoku/>
              <w:wordWrap/>
              <w:overflowPunct/>
              <w:topLinePunct w:val="0"/>
              <w:autoSpaceDE/>
              <w:autoSpaceDN/>
              <w:bidi w:val="0"/>
              <w:snapToGrid w:val="0"/>
              <w:spacing w:line="312" w:lineRule="auto"/>
              <w:ind w:left="0" w:leftChars="0" w:right="-10" w:firstLine="42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en-US" w:bidi="ar-SA"/>
              </w:rPr>
              <w:t>2.</w:t>
            </w:r>
            <w:r>
              <w:rPr>
                <w:rFonts w:hint="eastAsia" w:ascii="宋体" w:hAnsi="宋体" w:eastAsia="宋体" w:cs="宋体"/>
                <w:kern w:val="2"/>
                <w:sz w:val="24"/>
                <w:szCs w:val="24"/>
                <w:highlight w:val="none"/>
                <w:lang w:val="en-US" w:eastAsia="zh-CN" w:bidi="ar-SA"/>
              </w:rPr>
              <w:t>提供了AI辅助功能（如智能诊断、个性化治疗方案）和远程协作工具的技术方案的得4分。</w:t>
            </w: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lang w:val="en-US" w:eastAsia="zh-CN"/>
              </w:rPr>
              <w:t>注：</w:t>
            </w:r>
            <w:r>
              <w:rPr>
                <w:rFonts w:hint="eastAsia" w:ascii="宋体" w:hAnsi="宋体" w:eastAsia="宋体" w:cs="宋体"/>
                <w:sz w:val="24"/>
                <w:szCs w:val="24"/>
                <w:highlight w:val="none"/>
                <w:lang w:val="en-US"/>
              </w:rPr>
              <w:t>提供</w:t>
            </w:r>
            <w:r>
              <w:rPr>
                <w:rFonts w:hint="eastAsia" w:ascii="宋体" w:hAnsi="宋体" w:eastAsia="宋体" w:cs="宋体"/>
                <w:kern w:val="2"/>
                <w:sz w:val="24"/>
                <w:szCs w:val="24"/>
                <w:highlight w:val="none"/>
                <w:lang w:val="en-US" w:eastAsia="zh-CN" w:bidi="ar-SA"/>
              </w:rPr>
              <w:t>功能对应</w:t>
            </w:r>
            <w:r>
              <w:rPr>
                <w:rFonts w:hint="eastAsia" w:ascii="宋体" w:hAnsi="宋体" w:eastAsia="宋体" w:cs="宋体"/>
                <w:sz w:val="24"/>
                <w:szCs w:val="24"/>
                <w:highlight w:val="none"/>
                <w:lang w:val="en-US"/>
              </w:rPr>
              <w:t>证明材料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不提供不得分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rPr>
              <w:t>）</w:t>
            </w:r>
          </w:p>
          <w:p w14:paraId="2AEE5FDB">
            <w:pPr>
              <w:pStyle w:val="13"/>
              <w:keepNext w:val="0"/>
              <w:keepLines w:val="0"/>
              <w:pageBreakBefore w:val="0"/>
              <w:kinsoku/>
              <w:wordWrap/>
              <w:overflowPunct/>
              <w:topLinePunct w:val="0"/>
              <w:autoSpaceDE/>
              <w:autoSpaceDN/>
              <w:bidi w:val="0"/>
              <w:snapToGrid w:val="0"/>
              <w:spacing w:line="312" w:lineRule="auto"/>
              <w:ind w:left="0" w:leftChars="0" w:right="-10" w:firstLine="420" w:firstLineChars="0"/>
              <w:textAlignment w:val="auto"/>
              <w:rPr>
                <w:rFonts w:hint="eastAsia" w:ascii="宋体" w:hAnsi="宋体" w:eastAsia="宋体" w:cs="宋体"/>
                <w:kern w:val="2"/>
                <w:sz w:val="24"/>
                <w:szCs w:val="24"/>
                <w:highlight w:val="none"/>
                <w:lang w:val="en-US" w:eastAsia="en-US" w:bidi="ar-SA"/>
              </w:rPr>
            </w:pPr>
            <w:r>
              <w:rPr>
                <w:rFonts w:hint="eastAsia" w:ascii="宋体" w:hAnsi="宋体" w:eastAsia="宋体" w:cs="宋体"/>
                <w:kern w:val="2"/>
                <w:sz w:val="24"/>
                <w:szCs w:val="24"/>
                <w:highlight w:val="none"/>
                <w:lang w:val="en-US" w:eastAsia="zh-CN" w:bidi="ar-SA"/>
              </w:rPr>
              <w:t>3.供应商实验室获得IS027001信息安全认证且具有公安系统颁发的信息系统安全3级及以上保护备案证明的得4分。（注：提供相应证明材料</w:t>
            </w:r>
            <w:r>
              <w:rPr>
                <w:rFonts w:hint="eastAsia" w:ascii="宋体" w:hAnsi="宋体" w:eastAsia="宋体" w:cs="宋体"/>
                <w:sz w:val="24"/>
                <w:szCs w:val="24"/>
                <w:highlight w:val="none"/>
                <w:lang w:val="en-US" w:eastAsia="zh-CN"/>
              </w:rPr>
              <w:t>，缺项不提供不得分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rPr>
              <w:t>）</w:t>
            </w:r>
          </w:p>
        </w:tc>
      </w:tr>
      <w:tr w14:paraId="6DD2F0FD">
        <w:trPr>
          <w:trHeight w:val="0" w:hRule="atLeast"/>
        </w:trPr>
        <w:tc>
          <w:tcPr>
            <w:tcW w:w="1097" w:type="dxa"/>
            <w:vMerge w:val="continue"/>
            <w:tcBorders>
              <w:left w:val="single" w:color="auto" w:sz="4" w:space="0"/>
            </w:tcBorders>
          </w:tcPr>
          <w:p w14:paraId="3ABCF8EB">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28BCEBBD">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应急方案</w:t>
            </w:r>
          </w:p>
          <w:p w14:paraId="0388CE1D">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en-US"/>
              </w:rPr>
              <w:t>分）</w:t>
            </w:r>
          </w:p>
        </w:tc>
        <w:tc>
          <w:tcPr>
            <w:tcW w:w="6438" w:type="dxa"/>
            <w:shd w:val="clear" w:color="auto" w:fill="auto"/>
            <w:vAlign w:val="center"/>
          </w:tcPr>
          <w:p w14:paraId="20B2FA4D">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en-US" w:bidi="ar-SA"/>
              </w:rPr>
            </w:pPr>
            <w:r>
              <w:rPr>
                <w:rFonts w:hint="eastAsia" w:ascii="宋体" w:hAnsi="宋体" w:eastAsia="宋体" w:cs="宋体"/>
                <w:kern w:val="2"/>
                <w:sz w:val="24"/>
                <w:szCs w:val="24"/>
                <w:highlight w:val="none"/>
                <w:lang w:val="en-US" w:eastAsia="zh-CN"/>
              </w:rPr>
              <w:t>提供应急处置预案（包括但不限于：重大活动、消防应急、人身伤害、自然灾害等应急预案及处置措施）的得10分，缺项或不提供不得分。</w:t>
            </w:r>
          </w:p>
        </w:tc>
      </w:tr>
      <w:tr w14:paraId="43784DAD">
        <w:trPr>
          <w:trHeight w:val="0" w:hRule="atLeast"/>
        </w:trPr>
        <w:tc>
          <w:tcPr>
            <w:tcW w:w="1097" w:type="dxa"/>
            <w:vMerge w:val="continue"/>
            <w:tcBorders>
              <w:left w:val="single" w:color="auto" w:sz="4" w:space="0"/>
            </w:tcBorders>
          </w:tcPr>
          <w:p w14:paraId="707FF6D0">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0AACFB4E">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售后服务承诺（5分）</w:t>
            </w:r>
          </w:p>
        </w:tc>
        <w:tc>
          <w:tcPr>
            <w:tcW w:w="6438" w:type="dxa"/>
            <w:shd w:val="clear" w:color="auto" w:fill="auto"/>
            <w:vAlign w:val="center"/>
          </w:tcPr>
          <w:p w14:paraId="456F7399">
            <w:pPr>
              <w:pStyle w:val="13"/>
              <w:keepNext w:val="0"/>
              <w:keepLines w:val="0"/>
              <w:pageBreakBefore w:val="0"/>
              <w:kinsoku/>
              <w:wordWrap/>
              <w:overflowPunct/>
              <w:topLinePunct w:val="0"/>
              <w:autoSpaceDE/>
              <w:autoSpaceDN/>
              <w:bidi w:val="0"/>
              <w:snapToGrid w:val="0"/>
              <w:spacing w:line="312" w:lineRule="auto"/>
              <w:ind w:left="0" w:leftChars="0" w:right="-10" w:rightChars="0" w:firstLine="480" w:firstLineChars="200"/>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sz w:val="24"/>
                <w:szCs w:val="24"/>
                <w:highlight w:val="none"/>
                <w:lang w:val="en-US" w:eastAsia="zh-CN"/>
              </w:rPr>
              <w:t>供应商</w:t>
            </w:r>
            <w:r>
              <w:rPr>
                <w:rFonts w:hint="eastAsia" w:ascii="宋体" w:hAnsi="宋体" w:eastAsia="宋体" w:cs="宋体"/>
                <w:kern w:val="2"/>
                <w:sz w:val="24"/>
                <w:szCs w:val="24"/>
                <w:highlight w:val="none"/>
                <w:lang w:val="en-US" w:eastAsia="zh-CN"/>
              </w:rPr>
              <w:t>提供售后服务承诺（包括但不限于：1、每季度提供不低于1节学术讲课；2、科室有学习需求时提供学习机会，包括提供住宿等基本需求；3、医院有需求时提供相关科研支持）的得5分，缺项或不提供不得分。</w:t>
            </w:r>
          </w:p>
        </w:tc>
      </w:tr>
      <w:tr w14:paraId="61B7739D">
        <w:trPr>
          <w:trHeight w:val="0" w:hRule="atLeast"/>
        </w:trPr>
        <w:tc>
          <w:tcPr>
            <w:tcW w:w="1097" w:type="dxa"/>
            <w:vMerge w:val="restart"/>
            <w:tcBorders>
              <w:left w:val="single" w:color="auto" w:sz="4" w:space="0"/>
            </w:tcBorders>
            <w:shd w:val="clear" w:color="auto" w:fill="auto"/>
            <w:vAlign w:val="center"/>
          </w:tcPr>
          <w:p w14:paraId="0A83701B">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1B312407">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w:t>
            </w:r>
          </w:p>
        </w:tc>
        <w:tc>
          <w:tcPr>
            <w:tcW w:w="1255" w:type="dxa"/>
            <w:shd w:val="clear" w:color="auto" w:fill="auto"/>
            <w:vAlign w:val="center"/>
          </w:tcPr>
          <w:p w14:paraId="4173900C">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综合实力</w:t>
            </w:r>
          </w:p>
          <w:p w14:paraId="09C4E9CC">
            <w:pPr>
              <w:pStyle w:val="13"/>
              <w:keepNext w:val="0"/>
              <w:keepLines w:val="0"/>
              <w:pageBreakBefore w:val="0"/>
              <w:kinsoku/>
              <w:wordWrap/>
              <w:overflowPunct/>
              <w:topLinePunct w:val="0"/>
              <w:autoSpaceDE/>
              <w:autoSpaceDN/>
              <w:bidi w:val="0"/>
              <w:snapToGrid w:val="0"/>
              <w:spacing w:line="312" w:lineRule="auto"/>
              <w:ind w:right="-10" w:righ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16</w:t>
            </w:r>
            <w:r>
              <w:rPr>
                <w:rFonts w:hint="eastAsia" w:ascii="宋体" w:hAnsi="宋体" w:eastAsia="宋体" w:cs="宋体"/>
                <w:sz w:val="24"/>
                <w:szCs w:val="24"/>
                <w:highlight w:val="none"/>
              </w:rPr>
              <w:t>分）</w:t>
            </w:r>
          </w:p>
        </w:tc>
        <w:tc>
          <w:tcPr>
            <w:tcW w:w="6438" w:type="dxa"/>
            <w:shd w:val="clear" w:color="auto" w:fill="auto"/>
            <w:vAlign w:val="center"/>
          </w:tcPr>
          <w:p w14:paraId="19264666">
            <w:pPr>
              <w:pStyle w:val="13"/>
              <w:keepNext w:val="0"/>
              <w:keepLines w:val="0"/>
              <w:pageBreakBefore w:val="0"/>
              <w:numPr>
                <w:ilvl w:val="0"/>
                <w:numId w:val="0"/>
              </w:numPr>
              <w:kinsoku/>
              <w:wordWrap/>
              <w:overflowPunct/>
              <w:topLinePunct w:val="0"/>
              <w:autoSpaceDE/>
              <w:autoSpaceDN/>
              <w:bidi w:val="0"/>
              <w:snapToGrid w:val="0"/>
              <w:spacing w:line="312" w:lineRule="auto"/>
              <w:ind w:left="0" w:leftChars="0" w:right="-10" w:rightChars="0" w:firstLine="280" w:firstLineChars="0"/>
              <w:textAlignment w:val="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具有有效的质量管理体系认证、环境管理体系认证、职业健康管理认证</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分。注：</w:t>
            </w:r>
            <w:r>
              <w:rPr>
                <w:rFonts w:hint="eastAsia" w:ascii="宋体" w:hAnsi="宋体" w:eastAsia="宋体" w:cs="宋体"/>
                <w:sz w:val="24"/>
                <w:szCs w:val="24"/>
                <w:highlight w:val="none"/>
                <w:lang w:val="en-US" w:eastAsia="zh-CN"/>
              </w:rPr>
              <w:t>需</w:t>
            </w:r>
            <w:r>
              <w:rPr>
                <w:rFonts w:hint="eastAsia" w:ascii="宋体" w:hAnsi="宋体" w:eastAsia="宋体" w:cs="宋体"/>
                <w:bCs/>
                <w:sz w:val="24"/>
                <w:szCs w:val="20"/>
                <w:highlight w:val="none"/>
                <w:lang w:val="en-US" w:eastAsia="zh-CN"/>
              </w:rPr>
              <w:t>提供证书及国家认证认可查询平台网上查询截图</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rPr>
              <w:t>。</w:t>
            </w:r>
          </w:p>
          <w:p w14:paraId="6AB4B937">
            <w:pPr>
              <w:pStyle w:val="13"/>
              <w:keepNext w:val="0"/>
              <w:keepLines w:val="0"/>
              <w:pageBreakBefore w:val="0"/>
              <w:numPr>
                <w:ilvl w:val="0"/>
                <w:numId w:val="0"/>
              </w:numPr>
              <w:kinsoku/>
              <w:wordWrap/>
              <w:overflowPunct/>
              <w:topLinePunct w:val="0"/>
              <w:autoSpaceDE/>
              <w:autoSpaceDN/>
              <w:bidi w:val="0"/>
              <w:snapToGrid w:val="0"/>
              <w:spacing w:line="312" w:lineRule="auto"/>
              <w:ind w:left="0" w:leftChars="0" w:right="-10" w:rightChars="0" w:firstLine="28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2.供应商</w:t>
            </w:r>
            <w:r>
              <w:rPr>
                <w:rFonts w:hint="eastAsia" w:ascii="宋体" w:hAnsi="宋体" w:eastAsia="宋体" w:cs="宋体"/>
                <w:sz w:val="24"/>
                <w:szCs w:val="24"/>
                <w:highlight w:val="none"/>
              </w:rPr>
              <w:t>通过ISO15189实验室认可</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检验能力范围涵盖A检验医学、C病理学</w:t>
            </w:r>
            <w:r>
              <w:rPr>
                <w:rFonts w:hint="eastAsia" w:ascii="宋体" w:hAnsi="宋体" w:eastAsia="宋体" w:cs="宋体"/>
                <w:sz w:val="24"/>
                <w:szCs w:val="24"/>
                <w:highlight w:val="none"/>
                <w:lang w:val="en-US" w:eastAsia="zh-CN"/>
              </w:rPr>
              <w:t>的加3</w:t>
            </w:r>
            <w:r>
              <w:rPr>
                <w:rFonts w:hint="eastAsia" w:ascii="宋体" w:hAnsi="宋体" w:eastAsia="宋体" w:cs="宋体"/>
                <w:sz w:val="24"/>
                <w:szCs w:val="24"/>
                <w:highlight w:val="none"/>
              </w:rPr>
              <w:t>分，本项最高得</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分。注：</w:t>
            </w:r>
            <w:r>
              <w:rPr>
                <w:rFonts w:hint="eastAsia" w:ascii="宋体" w:hAnsi="宋体" w:eastAsia="宋体" w:cs="宋体"/>
                <w:sz w:val="24"/>
                <w:szCs w:val="24"/>
                <w:highlight w:val="none"/>
                <w:lang w:val="en-US" w:eastAsia="zh-CN"/>
              </w:rPr>
              <w:t>需</w:t>
            </w:r>
            <w:r>
              <w:rPr>
                <w:rFonts w:hint="eastAsia" w:ascii="宋体" w:hAnsi="宋体" w:eastAsia="宋体" w:cs="宋体"/>
                <w:sz w:val="24"/>
                <w:szCs w:val="24"/>
                <w:highlight w:val="none"/>
              </w:rPr>
              <w:t>提供认可证书、认可项目明细清单、检验能力范围官网截图等证明材料</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rPr>
              <w:t>。</w:t>
            </w:r>
          </w:p>
          <w:p w14:paraId="73231615">
            <w:pPr>
              <w:pStyle w:val="13"/>
              <w:keepNext w:val="0"/>
              <w:keepLines w:val="0"/>
              <w:pageBreakBefore w:val="0"/>
              <w:kinsoku/>
              <w:wordWrap/>
              <w:overflowPunct/>
              <w:topLinePunct w:val="0"/>
              <w:autoSpaceDE/>
              <w:autoSpaceDN/>
              <w:bidi w:val="0"/>
              <w:snapToGrid w:val="0"/>
              <w:spacing w:line="312" w:lineRule="auto"/>
              <w:ind w:left="0" w:leftChars="0" w:right="-10" w:rightChars="0" w:firstLine="28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3.供应商具有2023年1月1日以来省级临床检验中心或卫生部临床检验中心的质评合格证书的，每提供1年得2分；具有2023年1月1日以来市级临床检验中心的质评合格证书的，每提供1年得1分；本项最高得6分。注：需提供相关证明材料，不提供不得分。</w:t>
            </w:r>
          </w:p>
        </w:tc>
      </w:tr>
      <w:tr w14:paraId="16212507">
        <w:trPr>
          <w:trHeight w:val="175" w:hRule="atLeast"/>
        </w:trPr>
        <w:tc>
          <w:tcPr>
            <w:tcW w:w="1097" w:type="dxa"/>
            <w:vMerge w:val="continue"/>
            <w:tcBorders>
              <w:left w:val="single" w:color="auto" w:sz="4" w:space="0"/>
            </w:tcBorders>
          </w:tcPr>
          <w:p w14:paraId="4FCAEA5B">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64B29CEF">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业绩</w:t>
            </w:r>
          </w:p>
          <w:p w14:paraId="6405BA02">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tc>
        <w:tc>
          <w:tcPr>
            <w:tcW w:w="0" w:type="auto"/>
            <w:shd w:val="clear" w:color="auto" w:fill="auto"/>
            <w:vAlign w:val="center"/>
          </w:tcPr>
          <w:p w14:paraId="49B2F269">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供应商提供自2023年1月1日至今的类似项目的业绩，每提供一份得1分，最多得4分。</w:t>
            </w:r>
          </w:p>
          <w:p w14:paraId="0B6734AE">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注：需提供合同扫描件、中标通知书及网上中标公示截图，缺项或不提供不得分</w:t>
            </w:r>
            <w:r>
              <w:rPr>
                <w:rFonts w:hint="eastAsia" w:ascii="宋体" w:hAnsi="宋体" w:eastAsia="宋体" w:cs="宋体"/>
                <w:sz w:val="24"/>
                <w:szCs w:val="24"/>
                <w:highlight w:val="none"/>
              </w:rPr>
              <w:t>。</w:t>
            </w:r>
          </w:p>
        </w:tc>
      </w:tr>
      <w:tr w14:paraId="04AD255B">
        <w:trPr>
          <w:trHeight w:val="0" w:hRule="atLeast"/>
        </w:trPr>
        <w:tc>
          <w:tcPr>
            <w:tcW w:w="1097" w:type="dxa"/>
            <w:vMerge w:val="continue"/>
            <w:tcBorders>
              <w:left w:val="single" w:color="auto" w:sz="4" w:space="0"/>
            </w:tcBorders>
          </w:tcPr>
          <w:p w14:paraId="3A0571E8">
            <w:pPr>
              <w:keepNext w:val="0"/>
              <w:keepLines w:val="0"/>
              <w:pageBreakBefore w:val="0"/>
              <w:tabs>
                <w:tab w:val="left" w:pos="5130"/>
              </w:tabs>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highlight w:val="none"/>
              </w:rPr>
            </w:pPr>
          </w:p>
        </w:tc>
        <w:tc>
          <w:tcPr>
            <w:tcW w:w="1255" w:type="dxa"/>
            <w:shd w:val="clear" w:color="auto" w:fill="auto"/>
            <w:vAlign w:val="center"/>
          </w:tcPr>
          <w:p w14:paraId="07F24F01">
            <w:pPr>
              <w:pStyle w:val="13"/>
              <w:keepNext w:val="0"/>
              <w:keepLines w:val="0"/>
              <w:pageBreakBefore w:val="0"/>
              <w:kinsoku/>
              <w:wordWrap/>
              <w:overflowPunct/>
              <w:topLinePunct w:val="0"/>
              <w:autoSpaceDE/>
              <w:autoSpaceDN/>
              <w:bidi w:val="0"/>
              <w:snapToGrid w:val="0"/>
              <w:spacing w:line="312" w:lineRule="auto"/>
              <w:ind w:left="0" w:leftChars="0" w:right="-1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人员配备</w:t>
            </w:r>
          </w:p>
          <w:p w14:paraId="4EB059A7">
            <w:pPr>
              <w:pStyle w:val="13"/>
              <w:keepNext w:val="0"/>
              <w:keepLines w:val="0"/>
              <w:pageBreakBefore w:val="0"/>
              <w:kinsoku/>
              <w:wordWrap/>
              <w:overflowPunct/>
              <w:topLinePunct w:val="0"/>
              <w:autoSpaceDE/>
              <w:autoSpaceDN/>
              <w:bidi w:val="0"/>
              <w:snapToGrid w:val="0"/>
              <w:spacing w:line="312" w:lineRule="auto"/>
              <w:ind w:left="0" w:leftChars="0" w:right="-10" w:righ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0" w:type="auto"/>
            <w:shd w:val="clear" w:color="auto" w:fill="auto"/>
            <w:vAlign w:val="center"/>
          </w:tcPr>
          <w:p w14:paraId="0269135A">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en-US" w:eastAsia="en-US"/>
              </w:rPr>
              <w:t>拟投入具有</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en-US"/>
              </w:rPr>
              <w:t>名高级医学检验技术职称</w:t>
            </w:r>
            <w:r>
              <w:rPr>
                <w:rFonts w:hint="eastAsia" w:ascii="宋体" w:hAnsi="宋体" w:eastAsia="宋体" w:cs="宋体"/>
                <w:sz w:val="24"/>
                <w:szCs w:val="24"/>
                <w:highlight w:val="none"/>
                <w:lang w:val="en-US" w:eastAsia="zh-CN"/>
              </w:rPr>
              <w:t>和2</w:t>
            </w:r>
            <w:r>
              <w:rPr>
                <w:rFonts w:hint="eastAsia" w:ascii="宋体" w:hAnsi="宋体" w:eastAsia="宋体" w:cs="宋体"/>
                <w:sz w:val="24"/>
                <w:szCs w:val="24"/>
                <w:highlight w:val="none"/>
                <w:lang w:val="en-US" w:eastAsia="en-US"/>
              </w:rPr>
              <w:t>名中级及以上医学检验技术职称的人员的得5分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en-US"/>
              </w:rPr>
              <w:t>每增加</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en-US"/>
              </w:rPr>
              <w:t>名中级医学检验技术职称的得0.5分，每增加</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en-US"/>
              </w:rPr>
              <w:t>名高级医学检验技术职称的得1分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en-US"/>
              </w:rPr>
              <w:t>此项最多得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en-US" w:eastAsia="en-US"/>
              </w:rPr>
              <w:t>分。</w:t>
            </w:r>
          </w:p>
          <w:p w14:paraId="6C930F7D">
            <w:pPr>
              <w:pStyle w:val="13"/>
              <w:keepNext w:val="0"/>
              <w:keepLines w:val="0"/>
              <w:pageBreakBefore w:val="0"/>
              <w:kinsoku/>
              <w:wordWrap/>
              <w:overflowPunct/>
              <w:topLinePunct w:val="0"/>
              <w:autoSpaceDE/>
              <w:autoSpaceDN/>
              <w:bidi w:val="0"/>
              <w:snapToGrid w:val="0"/>
              <w:spacing w:line="312" w:lineRule="auto"/>
              <w:ind w:left="0" w:leftChars="0" w:right="-10" w:rightChars="0" w:firstLine="42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en-US"/>
              </w:rPr>
              <w:t>注：以上人员不重复计分；须提供职称证书</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en-US"/>
              </w:rPr>
              <w:t>证书地点须同</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en-US" w:eastAsia="en-US"/>
              </w:rPr>
              <w:t>地点一致</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en-US"/>
              </w:rPr>
              <w:t>、劳务合同（返聘人员提供返聘协议）</w:t>
            </w:r>
            <w:r>
              <w:rPr>
                <w:rFonts w:hint="eastAsia" w:ascii="宋体" w:hAnsi="宋体" w:eastAsia="宋体" w:cs="宋体"/>
                <w:sz w:val="24"/>
                <w:szCs w:val="24"/>
                <w:highlight w:val="none"/>
                <w:lang w:val="en-US" w:eastAsia="zh-CN"/>
              </w:rPr>
              <w:t>、以及公司2026</w:t>
            </w:r>
            <w:r>
              <w:rPr>
                <w:rFonts w:hint="eastAsia" w:ascii="宋体" w:hAnsi="宋体" w:eastAsia="宋体" w:cs="宋体"/>
                <w:sz w:val="24"/>
                <w:szCs w:val="24"/>
                <w:highlight w:val="none"/>
                <w:lang w:val="en-US" w:eastAsia="en-US"/>
              </w:rPr>
              <w:t>年</w:t>
            </w:r>
            <w:r>
              <w:rPr>
                <w:rFonts w:hint="eastAsia" w:ascii="宋体" w:hAnsi="宋体" w:eastAsia="宋体" w:cs="宋体"/>
                <w:sz w:val="24"/>
                <w:szCs w:val="24"/>
                <w:highlight w:val="none"/>
                <w:lang w:val="en-US" w:eastAsia="zh-CN"/>
              </w:rPr>
              <w:t>以来</w:t>
            </w:r>
            <w:r>
              <w:rPr>
                <w:rFonts w:hint="eastAsia" w:ascii="宋体" w:hAnsi="宋体" w:eastAsia="宋体" w:cs="宋体"/>
                <w:sz w:val="24"/>
                <w:szCs w:val="24"/>
                <w:highlight w:val="none"/>
                <w:lang w:val="en-US" w:eastAsia="en-US"/>
              </w:rPr>
              <w:t>任意一个月为其缴纳的社保证明材料（返聘人员可以提供返聘合同）</w:t>
            </w:r>
            <w:r>
              <w:rPr>
                <w:rFonts w:hint="eastAsia" w:ascii="宋体" w:hAnsi="宋体" w:eastAsia="宋体" w:cs="宋体"/>
                <w:sz w:val="24"/>
                <w:szCs w:val="24"/>
                <w:highlight w:val="none"/>
                <w:lang w:val="en-US" w:eastAsia="zh-CN"/>
              </w:rPr>
              <w:t>，缺项或不提供不得分</w:t>
            </w:r>
            <w:r>
              <w:rPr>
                <w:rFonts w:hint="eastAsia" w:ascii="宋体" w:hAnsi="宋体" w:eastAsia="宋体" w:cs="宋体"/>
                <w:sz w:val="24"/>
                <w:szCs w:val="24"/>
                <w:highlight w:val="none"/>
              </w:rPr>
              <w:t>。</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0"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0"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37"/>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0"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0"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eastAsia="zh-CN"/>
        </w:rPr>
        <w:t>供应商</w:t>
      </w:r>
      <w:r>
        <w:rPr>
          <w:rFonts w:hint="eastAsia" w:ascii="宋体" w:hAnsi="宋体" w:cs="宋体"/>
          <w:bCs/>
          <w:sz w:val="24"/>
          <w:highlight w:val="none"/>
        </w:rPr>
        <w:t>认为采购过程、成交结果使自己的合法权益受到损害的，可以在知道或应当知道自己的权益受到损害之日起7个工作日内，由</w:t>
      </w:r>
      <w:r>
        <w:rPr>
          <w:rFonts w:hint="eastAsia" w:ascii="宋体" w:hAnsi="宋体" w:cs="宋体"/>
          <w:bCs/>
          <w:sz w:val="24"/>
          <w:highlight w:val="none"/>
          <w:lang w:eastAsia="zh-CN"/>
        </w:rPr>
        <w:t>供应商</w:t>
      </w:r>
      <w:r>
        <w:rPr>
          <w:rFonts w:hint="eastAsia" w:ascii="宋体" w:hAnsi="宋体" w:cs="宋体"/>
          <w:bCs/>
          <w:sz w:val="24"/>
          <w:highlight w:val="none"/>
        </w:rPr>
        <w:t>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08A9F2">
      <w:pPr>
        <w:spacing w:line="560" w:lineRule="exact"/>
        <w:rPr>
          <w:rFonts w:ascii="宋体" w:hAnsi="宋体" w:cs="宋体"/>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采购内容及要求</w:t>
      </w:r>
    </w:p>
    <w:p w14:paraId="054DC39C">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1</w:t>
      </w:r>
      <w:r>
        <w:rPr>
          <w:rFonts w:hint="eastAsia" w:ascii="宋体" w:hAnsi="宋体" w:eastAsia="宋体" w:cs="宋体"/>
          <w:b w:val="0"/>
          <w:bCs w:val="0"/>
          <w:kern w:val="2"/>
          <w:sz w:val="24"/>
          <w:szCs w:val="28"/>
          <w:highlight w:val="none"/>
          <w:lang w:val="en-US" w:eastAsia="zh-CN" w:bidi="ar-SA"/>
        </w:rPr>
        <w:t>、</w:t>
      </w:r>
      <w:r>
        <w:rPr>
          <w:rFonts w:hint="eastAsia" w:ascii="宋体" w:hAnsi="宋体" w:eastAsia="宋体" w:cs="宋体"/>
          <w:b w:val="0"/>
          <w:bCs w:val="0"/>
          <w:color w:val="auto"/>
          <w:kern w:val="2"/>
          <w:sz w:val="24"/>
          <w:szCs w:val="28"/>
          <w:highlight w:val="none"/>
          <w:lang w:val="en-US" w:eastAsia="zh-CN" w:bidi="ar-SA"/>
        </w:rPr>
        <w:t xml:space="preserve">标本采集要求 </w:t>
      </w:r>
    </w:p>
    <w:p w14:paraId="590D7394">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采集物资：合作方需免费提供符合国家标准的真空采血管（血常规管、生化管、免疫管、凝血管等）、标本杯、病理标本固定液，物资需具备合格检验报告，无质量缺陷，满足日常采集需求。</w:t>
      </w:r>
    </w:p>
    <w:p w14:paraId="62068E84">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2、合作机构资质要求</w:t>
      </w:r>
    </w:p>
    <w:p w14:paraId="7909535C">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2.1具备独立的实验室场地、专业检测设备、持证检验技术人员，无重大医疗质量事故及违法违规记录。</w:t>
      </w:r>
    </w:p>
    <w:p w14:paraId="226E6D06">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2.2 具备完善的信息系统，可实现检验结果线上查询、数据对接、信息加密存储。</w:t>
      </w:r>
    </w:p>
    <w:p w14:paraId="65A2EE50">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3、检验质量控制要求</w:t>
      </w:r>
    </w:p>
    <w:p w14:paraId="16C1A01D">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3.1 严格执行国家临床检验操作规程，室内质控每日开展，室间质评参与率、合格率95%以上，定期向医院提供质控报告。</w:t>
      </w:r>
    </w:p>
    <w:p w14:paraId="25643C05">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3.2 检验设备定期校准、维护，试剂符合国家标准，在有效期内使用，杜绝劣质试剂。</w:t>
      </w:r>
    </w:p>
    <w:p w14:paraId="7A26F9D2">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3.3 标本检测全程可追溯，标本留存时间符合医疗规范，便于后续复核、溯源。</w:t>
      </w:r>
    </w:p>
    <w:p w14:paraId="2433024A">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3.4 检验结果误差率控制在行业标准范围内，疑难结果及时组织专家复核，出具精准诊断报告。</w:t>
      </w:r>
    </w:p>
    <w:p w14:paraId="4A036927">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4</w:t>
      </w:r>
      <w:r>
        <w:rPr>
          <w:rFonts w:hint="eastAsia" w:ascii="宋体" w:hAnsi="宋体" w:eastAsia="宋体" w:cs="宋体"/>
          <w:b w:val="0"/>
          <w:bCs w:val="0"/>
          <w:kern w:val="2"/>
          <w:sz w:val="24"/>
          <w:szCs w:val="28"/>
          <w:highlight w:val="none"/>
          <w:lang w:val="en-US" w:eastAsia="zh-CN" w:bidi="ar-SA"/>
        </w:rPr>
        <w:t>、</w:t>
      </w:r>
      <w:r>
        <w:rPr>
          <w:rFonts w:hint="eastAsia" w:ascii="宋体" w:hAnsi="宋体" w:eastAsia="宋体" w:cs="宋体"/>
          <w:b w:val="0"/>
          <w:bCs w:val="0"/>
          <w:color w:val="auto"/>
          <w:kern w:val="2"/>
          <w:sz w:val="24"/>
          <w:szCs w:val="28"/>
          <w:highlight w:val="none"/>
          <w:lang w:val="en-US" w:eastAsia="zh-CN" w:bidi="ar-SA"/>
        </w:rPr>
        <w:t>标本运输与时效要求</w:t>
      </w:r>
    </w:p>
    <w:p w14:paraId="51A80A57">
      <w:pPr>
        <w:numPr>
          <w:ilvl w:val="0"/>
          <w:numId w:val="0"/>
        </w:num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4.1 上门收样：合作方需提供每日固定频次上门取件服务，周一至周六，特殊情况的周日上门服务。</w:t>
      </w:r>
    </w:p>
    <w:p w14:paraId="0678C39A">
      <w:pPr>
        <w:numPr>
          <w:ilvl w:val="0"/>
          <w:numId w:val="0"/>
        </w:num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4.2 运输过程：合作方需配备专业医用标本运输箱（具备恒温、冷藏、防震功能，温度可控范围2-8℃、-20℃）、标本密封袋、生物安全运输罐、温度实时监测设备、运输冰袋/干冰，确保标本运输过程中环境达标，避免标本损坏、变质、污染。合作方需具备冷链运输能力、生物安全运输能力，运输人员持证上岗。</w:t>
      </w:r>
    </w:p>
    <w:p w14:paraId="7B193B7B">
      <w:pPr>
        <w:numPr>
          <w:ilvl w:val="0"/>
          <w:numId w:val="0"/>
        </w:num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4.3运输要求：按照各个项目的标本类型保存运输条件要求，进行全程冷链物流运输，明确各项目检测时效并严格履约。</w:t>
      </w:r>
    </w:p>
    <w:p w14:paraId="5455F800">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4.4 运输安全：全程冷链、生物安全运输，避免标本丢失、破损、混淆，若因运输导致标本失效，合作方需免费协助重新采集检测，承担相应责任。</w:t>
      </w:r>
    </w:p>
    <w:p w14:paraId="67D3AE07">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5</w:t>
      </w:r>
      <w:r>
        <w:rPr>
          <w:rFonts w:hint="eastAsia" w:ascii="宋体" w:hAnsi="宋体" w:eastAsia="宋体" w:cs="宋体"/>
          <w:b w:val="0"/>
          <w:bCs w:val="0"/>
          <w:kern w:val="2"/>
          <w:sz w:val="24"/>
          <w:szCs w:val="28"/>
          <w:highlight w:val="none"/>
          <w:lang w:val="en-US" w:eastAsia="zh-CN" w:bidi="ar-SA"/>
        </w:rPr>
        <w:t>、</w:t>
      </w:r>
      <w:r>
        <w:rPr>
          <w:rFonts w:hint="eastAsia" w:ascii="宋体" w:hAnsi="宋体" w:eastAsia="宋体" w:cs="宋体"/>
          <w:b w:val="0"/>
          <w:bCs w:val="0"/>
          <w:color w:val="auto"/>
          <w:kern w:val="2"/>
          <w:sz w:val="24"/>
          <w:szCs w:val="28"/>
          <w:highlight w:val="none"/>
          <w:lang w:val="en-US" w:eastAsia="zh-CN" w:bidi="ar-SA"/>
        </w:rPr>
        <w:t xml:space="preserve">报告出具与服务要求 </w:t>
      </w:r>
    </w:p>
    <w:p w14:paraId="4E2F07C1">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5.1 报告形式：同时提供纸质版、电子版检验报告，支持医院信息系统（HIS/LIS）对接，实现报告院内直接查询、打印。</w:t>
      </w:r>
    </w:p>
    <w:p w14:paraId="0550D84F">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5.2 报告解读：配备专业临床咨询团队，免费为临床医生、患者提供检验报告解读、疑难项目咨询服务。</w:t>
      </w:r>
    </w:p>
    <w:p w14:paraId="35B0A45F">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5.3 售后处理：建立快速售后响应机制，针对结果异议、标本问题、服务投诉，2小时内响应，24小时内给出解决方案。</w:t>
      </w:r>
    </w:p>
    <w:p w14:paraId="7244D7FB">
      <w:pPr>
        <w:spacing w:line="360" w:lineRule="auto"/>
        <w:ind w:left="0" w:leftChars="0" w:firstLine="560" w:firstLineChars="0"/>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5.4 信息安全：严格保护患者隐私、医院医疗数据，签订数据保密协议，严禁泄露、滥用患者检验信息，符合《个人信息保护法》《医疗数据安全管理规范》。</w:t>
      </w:r>
    </w:p>
    <w:p w14:paraId="12F844AD">
      <w:pPr>
        <w:pStyle w:val="37"/>
        <w:rPr>
          <w:rFonts w:hint="eastAsia"/>
          <w:highlight w:val="none"/>
          <w:lang w:eastAsia="zh-CN"/>
        </w:rPr>
      </w:pPr>
    </w:p>
    <w:p w14:paraId="1B4C872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（2）商务要求</w:t>
      </w:r>
    </w:p>
    <w:p w14:paraId="41E39D37">
      <w:pPr>
        <w:spacing w:line="360" w:lineRule="auto"/>
        <w:ind w:firstLine="480" w:firstLineChars="200"/>
        <w:rPr>
          <w:rFonts w:hint="default"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w:t>
      </w:r>
      <w:r>
        <w:rPr>
          <w:rFonts w:hint="eastAsia" w:ascii="宋体" w:hAnsi="宋体" w:eastAsia="宋体" w:cs="宋体"/>
          <w:b w:val="0"/>
          <w:bCs w:val="0"/>
          <w:color w:val="auto"/>
          <w:kern w:val="2"/>
          <w:sz w:val="24"/>
          <w:szCs w:val="28"/>
          <w:highlight w:val="none"/>
          <w:lang w:val="en-US" w:eastAsia="zh-CN" w:bidi="ar-SA"/>
        </w:rPr>
        <w:t>根据每月送检清单，按照协议约定按月据实结算。</w:t>
      </w:r>
    </w:p>
    <w:p w14:paraId="137C515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cstheme="minorEastAsia"/>
          <w:sz w:val="24"/>
          <w:szCs w:val="24"/>
          <w:highlight w:val="none"/>
          <w:lang w:val="en-US" w:eastAsia="zh-CN"/>
        </w:rPr>
        <w:t>甲方指定地点</w:t>
      </w:r>
      <w:r>
        <w:rPr>
          <w:rFonts w:hint="eastAsia" w:asciiTheme="minorEastAsia" w:hAnsiTheme="minorEastAsia" w:eastAsiaTheme="minorEastAsia" w:cstheme="minorEastAsia"/>
          <w:sz w:val="24"/>
          <w:szCs w:val="24"/>
          <w:highlight w:val="none"/>
        </w:rPr>
        <w:t>。</w:t>
      </w:r>
    </w:p>
    <w:p w14:paraId="2E682BDF">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w:t>
      </w:r>
      <w:r>
        <w:rPr>
          <w:rFonts w:hint="eastAsia" w:asciiTheme="minorEastAsia" w:hAnsiTheme="minorEastAsia" w:cstheme="minorEastAsia"/>
          <w:sz w:val="24"/>
          <w:szCs w:val="24"/>
          <w:highlight w:val="none"/>
          <w:lang w:val="en-US" w:eastAsia="zh-CN"/>
        </w:rPr>
        <w:t>服务期限：3年。</w:t>
      </w:r>
    </w:p>
    <w:p w14:paraId="00A19F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bCs/>
          <w:sz w:val="24"/>
          <w:szCs w:val="24"/>
          <w:highlight w:val="none"/>
          <w:lang w:val="en-US" w:eastAsia="zh-CN"/>
        </w:rPr>
      </w:pPr>
      <w:r>
        <w:rPr>
          <w:rFonts w:hint="eastAsia" w:asciiTheme="minorEastAsia" w:hAnsiTheme="minorEastAsia" w:cstheme="minorEastAsia"/>
          <w:sz w:val="24"/>
          <w:szCs w:val="24"/>
          <w:highlight w:val="none"/>
          <w:lang w:val="en-US" w:eastAsia="zh-CN"/>
        </w:rPr>
        <w:t>4、服务要求：合格（即符合国家、地方及行业相关技术标准要求，并满足采购人需求）。</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highlight w:val="none"/>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p>
    <w:p w14:paraId="5B44228B">
      <w:pPr>
        <w:bidi w:val="0"/>
        <w:ind w:firstLine="560" w:firstLineChars="200"/>
        <w:rPr>
          <w:rFonts w:hint="eastAsia" w:ascii="仿宋" w:hAnsi="仿宋" w:eastAsia="仿宋" w:cs="仿宋"/>
          <w:sz w:val="28"/>
          <w:szCs w:val="28"/>
          <w:highlight w:val="none"/>
        </w:rPr>
      </w:pPr>
    </w:p>
    <w:p w14:paraId="09A44255">
      <w:pPr>
        <w:bidi w:val="0"/>
        <w:ind w:firstLine="560" w:firstLineChars="200"/>
        <w:rPr>
          <w:rFonts w:hint="eastAsia" w:ascii="仿宋" w:hAnsi="仿宋" w:eastAsia="仿宋" w:cs="仿宋"/>
          <w:sz w:val="28"/>
          <w:szCs w:val="28"/>
          <w:highlight w:val="none"/>
        </w:rPr>
      </w:pPr>
    </w:p>
    <w:p w14:paraId="5CB7EE59">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注：请供应商按照以下文件的要求格式、内容，顺序制作响应性文件，并编制目录及页码</w:t>
      </w:r>
      <w:r>
        <w:rPr>
          <w:rFonts w:hint="eastAsia" w:ascii="宋体" w:hAnsi="宋体" w:cs="宋体"/>
          <w:sz w:val="24"/>
          <w:highlight w:val="none"/>
          <w:lang w:val="en-US" w:eastAsia="zh-CN"/>
        </w:rPr>
        <w:t>及总页码</w:t>
      </w:r>
      <w:r>
        <w:rPr>
          <w:rFonts w:hint="eastAsia" w:ascii="宋体" w:hAnsi="宋体" w:cs="宋体"/>
          <w:sz w:val="24"/>
          <w:highlight w:val="none"/>
        </w:rPr>
        <w:t xml:space="preserve">，否则可能将影响对响应性文件的评价。 </w:t>
      </w:r>
    </w:p>
    <w:p w14:paraId="54F8F1CE">
      <w:pPr>
        <w:spacing w:line="560" w:lineRule="exact"/>
        <w:ind w:firstLine="480"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37"/>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37"/>
        <w:ind w:firstLine="240"/>
        <w:rPr>
          <w:rFonts w:ascii="宋体" w:hAnsi="宋体" w:cs="宋体"/>
          <w:sz w:val="24"/>
          <w:highlight w:val="none"/>
        </w:rPr>
      </w:pPr>
    </w:p>
    <w:p w14:paraId="2742E2F9">
      <w:pPr>
        <w:pStyle w:val="37"/>
        <w:ind w:firstLine="240"/>
        <w:rPr>
          <w:rFonts w:ascii="宋体" w:hAnsi="宋体" w:cs="宋体"/>
          <w:sz w:val="24"/>
          <w:highlight w:val="none"/>
        </w:rPr>
      </w:pPr>
    </w:p>
    <w:p w14:paraId="399B1873">
      <w:pPr>
        <w:pStyle w:val="37"/>
        <w:ind w:firstLine="240"/>
        <w:rPr>
          <w:rFonts w:ascii="宋体" w:hAnsi="宋体" w:cs="宋体"/>
          <w:sz w:val="24"/>
          <w:highlight w:val="none"/>
        </w:rPr>
      </w:pPr>
    </w:p>
    <w:p w14:paraId="4A5C0908">
      <w:pPr>
        <w:pStyle w:val="37"/>
        <w:ind w:firstLine="240"/>
        <w:rPr>
          <w:rFonts w:ascii="宋体" w:hAnsi="宋体" w:cs="宋体"/>
          <w:sz w:val="24"/>
          <w:highlight w:val="none"/>
        </w:rPr>
      </w:pPr>
    </w:p>
    <w:p w14:paraId="72335D9F">
      <w:pPr>
        <w:pStyle w:val="37"/>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37"/>
        <w:ind w:firstLine="210"/>
        <w:rPr>
          <w:highlight w:val="none"/>
        </w:rPr>
      </w:pPr>
    </w:p>
    <w:p w14:paraId="7CDDF6E2">
      <w:pPr>
        <w:pStyle w:val="37"/>
        <w:ind w:firstLine="210"/>
        <w:rPr>
          <w:highlight w:val="none"/>
        </w:rPr>
      </w:pPr>
    </w:p>
    <w:p w14:paraId="014F088B">
      <w:pPr>
        <w:pStyle w:val="37"/>
        <w:ind w:firstLine="210"/>
        <w:rPr>
          <w:highlight w:val="none"/>
        </w:rPr>
      </w:pPr>
    </w:p>
    <w:p w14:paraId="11C3C249">
      <w:pPr>
        <w:pStyle w:val="37"/>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12CCF23B">
      <w:pPr>
        <w:spacing w:line="360" w:lineRule="auto"/>
        <w:jc w:val="left"/>
        <w:rPr>
          <w:rFonts w:cs="宋体"/>
          <w:highlight w:val="none"/>
        </w:rPr>
      </w:pPr>
      <w:r>
        <w:rPr>
          <w:rFonts w:hint="eastAsia" w:cs="宋体"/>
          <w:szCs w:val="24"/>
          <w:highlight w:val="none"/>
        </w:rPr>
        <w:t>致：</w:t>
      </w:r>
      <w:r>
        <w:rPr>
          <w:rFonts w:ascii="宋体" w:hAnsi="宋体" w:eastAsia="宋体" w:cs="宋体"/>
          <w:color w:val="auto"/>
          <w:sz w:val="24"/>
          <w:highlight w:val="none"/>
          <w:shd w:val="clear" w:color="auto" w:fill="FFFFFF"/>
        </w:rPr>
        <w:t>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lang w:val="en-US" w:eastAsia="zh-CN"/>
        </w:rPr>
        <w:t xml:space="preserve">       </w:t>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non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val="en-US" w:eastAsia="zh-CN"/>
        </w:rPr>
        <w:t xml:space="preserve">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en-US" w:eastAsia="zh-CN"/>
        </w:rPr>
        <w:t>%</w:t>
      </w:r>
      <w:r>
        <w:rPr>
          <w:rFonts w:hint="eastAsia" w:ascii="宋体" w:hAnsi="宋体"/>
          <w:sz w:val="24"/>
          <w:szCs w:val="24"/>
          <w:highlight w:val="none"/>
          <w:u w:val="none"/>
        </w:rPr>
        <w:t>，</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 xml:space="preserve">电 话：               </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本投标函有效期为开标之日起</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4EB5D1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lang w:eastAsia="zh-CN"/>
              </w:rPr>
              <w:t>供应商</w:t>
            </w:r>
            <w:r>
              <w:rPr>
                <w:rFonts w:hint="eastAsia" w:ascii="宋体" w:hAnsi="宋体" w:cs="宋体"/>
                <w:sz w:val="24"/>
                <w:highlight w:val="none"/>
              </w:rPr>
              <w:t>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rPr>
          <w:cantSplit/>
          <w:trHeight w:val="1483" w:hRule="atLeast"/>
          <w:jc w:val="center"/>
        </w:trPr>
        <w:tc>
          <w:tcPr>
            <w:tcW w:w="2471" w:type="dxa"/>
            <w:tcBorders>
              <w:top w:val="nil"/>
            </w:tcBorders>
            <w:vAlign w:val="center"/>
          </w:tcPr>
          <w:p w14:paraId="3F0F497E">
            <w:pPr>
              <w:spacing w:line="360" w:lineRule="exact"/>
              <w:jc w:val="center"/>
              <w:rPr>
                <w:rFonts w:hint="eastAsia" w:ascii="宋体" w:hAnsi="宋体" w:eastAsia="宋体" w:cs="宋体"/>
                <w:b w:val="0"/>
                <w:bCs/>
                <w:sz w:val="24"/>
                <w:highlight w:val="none"/>
              </w:rPr>
            </w:pPr>
            <w:r>
              <w:rPr>
                <w:rFonts w:hint="eastAsia" w:ascii="宋体" w:hAnsi="宋体" w:eastAsia="宋体" w:cs="宋体"/>
                <w:b w:val="0"/>
                <w:bCs/>
                <w:sz w:val="24"/>
                <w:highlight w:val="none"/>
              </w:rPr>
              <w:t>最终投标报价</w:t>
            </w:r>
          </w:p>
          <w:p w14:paraId="5A93F388">
            <w:pPr>
              <w:spacing w:line="360" w:lineRule="exact"/>
              <w:jc w:val="center"/>
              <w:rPr>
                <w:rFonts w:ascii="宋体" w:hAnsi="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val="en-US" w:eastAsia="zh-CN"/>
              </w:rPr>
              <w:t>费率</w:t>
            </w:r>
            <w:r>
              <w:rPr>
                <w:rFonts w:hint="eastAsia" w:ascii="宋体" w:hAnsi="宋体" w:eastAsia="宋体" w:cs="宋体"/>
                <w:b w:val="0"/>
                <w:bCs/>
                <w:sz w:val="24"/>
                <w:highlight w:val="none"/>
              </w:rPr>
              <w:t>）</w:t>
            </w:r>
          </w:p>
        </w:tc>
        <w:tc>
          <w:tcPr>
            <w:tcW w:w="6667" w:type="dxa"/>
            <w:tcBorders>
              <w:top w:val="nil"/>
            </w:tcBorders>
            <w:vAlign w:val="center"/>
          </w:tcPr>
          <w:p w14:paraId="02B81CDD">
            <w:pPr>
              <w:spacing w:line="360" w:lineRule="auto"/>
              <w:ind w:right="-670"/>
              <w:rPr>
                <w:rFonts w:hint="default" w:ascii="宋体" w:hAnsi="宋体" w:eastAsia="宋体" w:cs="宋体"/>
                <w:b w:val="0"/>
                <w:bCs/>
                <w:sz w:val="24"/>
                <w:highlight w:val="none"/>
                <w:lang w:val="en-US" w:eastAsia="zh-CN"/>
              </w:rPr>
            </w:pPr>
            <w:r>
              <w:rPr>
                <w:rFonts w:hint="eastAsia" w:ascii="宋体" w:hAnsi="宋体" w:eastAsia="宋体" w:cs="宋体"/>
                <w:b w:val="0"/>
                <w:bCs/>
                <w:sz w:val="24"/>
                <w:highlight w:val="none"/>
              </w:rPr>
              <w:t>1、投标报价：</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lang w:val="en-US" w:eastAsia="zh-CN"/>
              </w:rPr>
              <w:t>%</w:t>
            </w:r>
            <w:r>
              <w:rPr>
                <w:rFonts w:hint="eastAsia" w:ascii="宋体" w:hAnsi="宋体" w:eastAsia="宋体" w:cs="宋体"/>
                <w:b w:val="0"/>
                <w:bCs/>
                <w:sz w:val="24"/>
                <w:highlight w:val="none"/>
              </w:rPr>
              <w:t>、大写：</w:t>
            </w:r>
            <w:r>
              <w:rPr>
                <w:rFonts w:hint="eastAsia" w:ascii="宋体" w:hAnsi="宋体" w:eastAsia="宋体" w:cs="宋体"/>
                <w:b w:val="0"/>
                <w:bCs/>
                <w:sz w:val="24"/>
                <w:highlight w:val="none"/>
                <w:u w:val="single"/>
                <w:lang w:val="en-US" w:eastAsia="zh-CN"/>
              </w:rPr>
              <w:t xml:space="preserve">           </w:t>
            </w:r>
          </w:p>
        </w:tc>
      </w:tr>
      <w:tr w14:paraId="05133AF6">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最终报价以报价一览表</w:t>
            </w:r>
            <w:r>
              <w:rPr>
                <w:rFonts w:hint="eastAsia" w:ascii="宋体" w:hAnsi="宋体" w:eastAsia="宋体" w:cs="宋体"/>
                <w:color w:val="auto"/>
                <w:sz w:val="24"/>
                <w:szCs w:val="24"/>
                <w:highlight w:val="none"/>
                <w:lang w:val="en-US" w:eastAsia="zh-CN"/>
              </w:rPr>
              <w:t>所报费率</w:t>
            </w:r>
            <w:r>
              <w:rPr>
                <w:rFonts w:hint="eastAsia" w:ascii="宋体" w:hAnsi="宋体" w:eastAsia="宋体" w:cs="宋体"/>
                <w:color w:val="auto"/>
                <w:sz w:val="24"/>
                <w:szCs w:val="24"/>
                <w:highlight w:val="none"/>
              </w:rPr>
              <w:t>为准</w:t>
            </w:r>
            <w:r>
              <w:rPr>
                <w:rFonts w:hint="eastAsia" w:ascii="宋体" w:hAnsi="宋体" w:cs="宋体"/>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根据每月送检清单，按照</w:t>
            </w:r>
            <w:r>
              <w:rPr>
                <w:rFonts w:hint="eastAsia" w:asciiTheme="minorEastAsia" w:hAnsiTheme="minorEastAsia" w:eastAsiaTheme="minorEastAsia" w:cstheme="minorEastAsia"/>
                <w:color w:val="auto"/>
                <w:sz w:val="24"/>
                <w:szCs w:val="24"/>
                <w:highlight w:val="none"/>
                <w:lang w:val="en-US" w:eastAsia="zh-CN"/>
              </w:rPr>
              <w:t>所报费率</w:t>
            </w:r>
            <w:r>
              <w:rPr>
                <w:rFonts w:hint="eastAsia" w:asciiTheme="minorEastAsia" w:hAnsiTheme="minorEastAsia" w:eastAsiaTheme="minorEastAsia" w:cstheme="minorEastAsia"/>
                <w:color w:val="auto"/>
                <w:sz w:val="24"/>
                <w:szCs w:val="24"/>
                <w:highlight w:val="none"/>
              </w:rPr>
              <w:t>按月据实结算</w:t>
            </w:r>
            <w:r>
              <w:rPr>
                <w:rFonts w:hint="eastAsia" w:ascii="宋体" w:hAnsi="宋体" w:eastAsia="宋体" w:cs="宋体"/>
                <w:color w:val="auto"/>
                <w:sz w:val="24"/>
                <w:szCs w:val="24"/>
                <w:highlight w:val="none"/>
              </w:rPr>
              <w:t>。</w:t>
            </w:r>
          </w:p>
          <w:p w14:paraId="46AB8888">
            <w:pPr>
              <w:spacing w:line="360" w:lineRule="auto"/>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Theme="minorEastAsia" w:hAnsiTheme="minorEastAsia" w:eastAsiaTheme="minorEastAsia" w:cstheme="minorEastAsia"/>
                <w:sz w:val="24"/>
                <w:highlight w:val="none"/>
                <w:lang w:val="en-US" w:eastAsia="zh-CN"/>
              </w:rPr>
              <w:t>本院外送样本收费标准按照周口市医疗服务价格项目规范县级标准执行收费，如遇收费价格动态调整，按调整后最新医疗服务价格执行，其中本院收入合作方所得比例</w:t>
            </w:r>
            <w:r>
              <w:rPr>
                <w:rFonts w:hint="eastAsia" w:asciiTheme="minorEastAsia" w:hAnsiTheme="minorEastAsia" w:eastAsiaTheme="minorEastAsia" w:cstheme="minorEastAsia"/>
                <w:sz w:val="24"/>
                <w:highlight w:val="none"/>
                <w:u w:val="single"/>
                <w:lang w:val="en-US" w:eastAsia="zh-CN"/>
              </w:rPr>
              <w:t xml:space="preserve">       </w:t>
            </w:r>
            <w:r>
              <w:rPr>
                <w:rFonts w:hint="eastAsia" w:asciiTheme="minorEastAsia" w:hAnsiTheme="minorEastAsia" w:eastAsiaTheme="minorEastAsia" w:cstheme="minorEastAsia"/>
                <w:sz w:val="24"/>
                <w:highlight w:val="none"/>
                <w:lang w:val="en-US" w:eastAsia="zh-CN"/>
              </w:rPr>
              <w:t>%</w:t>
            </w:r>
            <w:r>
              <w:rPr>
                <w:rFonts w:hint="eastAsia" w:ascii="宋体" w:hAnsi="宋体" w:eastAsia="宋体" w:cs="宋体"/>
                <w:color w:val="auto"/>
                <w:sz w:val="24"/>
                <w:szCs w:val="24"/>
                <w:highlight w:val="none"/>
                <w:lang w:val="en-US" w:eastAsia="zh-CN"/>
              </w:rPr>
              <w:t>。</w:t>
            </w: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37"/>
        <w:ind w:firstLine="240"/>
        <w:rPr>
          <w:rFonts w:ascii="宋体" w:hAnsi="宋体" w:cs="宋体"/>
          <w:sz w:val="24"/>
          <w:highlight w:val="none"/>
        </w:rPr>
      </w:pPr>
    </w:p>
    <w:p w14:paraId="0AF5410C">
      <w:pPr>
        <w:pStyle w:val="37"/>
        <w:ind w:firstLine="240"/>
        <w:rPr>
          <w:rFonts w:ascii="宋体" w:hAnsi="宋体" w:cs="宋体"/>
          <w:sz w:val="24"/>
          <w:highlight w:val="none"/>
        </w:rPr>
      </w:pPr>
    </w:p>
    <w:p w14:paraId="36C60824">
      <w:pPr>
        <w:pStyle w:val="37"/>
        <w:ind w:firstLine="240"/>
        <w:rPr>
          <w:rFonts w:ascii="宋体" w:hAnsi="宋体" w:cs="宋体"/>
          <w:sz w:val="24"/>
          <w:highlight w:val="none"/>
        </w:rPr>
      </w:pPr>
    </w:p>
    <w:p w14:paraId="35A34597">
      <w:pPr>
        <w:pStyle w:val="37"/>
        <w:ind w:firstLine="240"/>
        <w:rPr>
          <w:rFonts w:ascii="宋体" w:hAnsi="宋体" w:cs="宋体"/>
          <w:sz w:val="24"/>
          <w:highlight w:val="none"/>
        </w:rPr>
      </w:pPr>
    </w:p>
    <w:p w14:paraId="5A8EFA76">
      <w:pPr>
        <w:pStyle w:val="37"/>
        <w:ind w:firstLine="240"/>
        <w:rPr>
          <w:rFonts w:ascii="宋体" w:hAnsi="宋体" w:cs="宋体"/>
          <w:sz w:val="24"/>
          <w:highlight w:val="none"/>
        </w:rPr>
      </w:pPr>
    </w:p>
    <w:p w14:paraId="48BEE3DB">
      <w:pPr>
        <w:rPr>
          <w:rFonts w:hint="eastAsia" w:ascii="宋体" w:hAnsi="宋体" w:cs="宋体"/>
          <w:sz w:val="24"/>
          <w:highlight w:val="none"/>
        </w:rPr>
      </w:pP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p w14:paraId="53DF29AD">
      <w:pPr>
        <w:spacing w:line="360" w:lineRule="auto"/>
        <w:ind w:firstLine="3840" w:firstLineChars="1600"/>
        <w:rPr>
          <w:rFonts w:hint="eastAsia" w:ascii="宋体" w:hAnsi="宋体" w:eastAsia="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格式自拟</w:t>
      </w:r>
      <w:r>
        <w:rPr>
          <w:rFonts w:hint="eastAsia" w:ascii="宋体" w:hAnsi="宋体" w:cs="宋体"/>
          <w:sz w:val="24"/>
          <w:highlight w:val="none"/>
          <w:lang w:eastAsia="zh-CN"/>
        </w:rPr>
        <w:t>）</w:t>
      </w:r>
    </w:p>
    <w:p w14:paraId="6D6D68EA">
      <w:pPr>
        <w:spacing w:line="360" w:lineRule="auto"/>
        <w:ind w:firstLine="3840" w:firstLineChars="1600"/>
        <w:rPr>
          <w:rFonts w:hint="eastAsia" w:ascii="宋体" w:hAnsi="宋体" w:cs="宋体"/>
          <w:sz w:val="24"/>
          <w:highlight w:val="none"/>
        </w:rPr>
      </w:pPr>
    </w:p>
    <w:p w14:paraId="44CCAD42">
      <w:pPr>
        <w:spacing w:line="360" w:lineRule="auto"/>
        <w:ind w:firstLine="3840" w:firstLineChars="1600"/>
        <w:rPr>
          <w:rFonts w:hint="eastAsia" w:ascii="宋体" w:hAnsi="宋体" w:cs="宋体"/>
          <w:sz w:val="24"/>
          <w:highlight w:val="none"/>
        </w:rPr>
      </w:pPr>
    </w:p>
    <w:p w14:paraId="6B49FBC3">
      <w:pPr>
        <w:spacing w:line="360" w:lineRule="auto"/>
        <w:ind w:firstLine="3840" w:firstLineChars="1600"/>
        <w:rPr>
          <w:rFonts w:hint="eastAsia" w:ascii="宋体" w:hAnsi="宋体" w:cs="宋体"/>
          <w:sz w:val="24"/>
          <w:highlight w:val="none"/>
        </w:rPr>
      </w:pPr>
    </w:p>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w:t>
      </w:r>
      <w:r>
        <w:rPr>
          <w:rFonts w:hint="eastAsia" w:ascii="宋体" w:hAnsi="宋体" w:cs="宋体"/>
          <w:sz w:val="24"/>
          <w:highlight w:val="none"/>
          <w:lang w:eastAsia="zh-CN"/>
        </w:rPr>
        <w:t>供应商</w:t>
      </w:r>
      <w:r>
        <w:rPr>
          <w:rFonts w:hint="eastAsia" w:ascii="宋体" w:hAnsi="宋体" w:cs="宋体"/>
          <w:sz w:val="24"/>
          <w:highlight w:val="none"/>
        </w:rPr>
        <w:t>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37"/>
        <w:ind w:firstLine="241"/>
        <w:rPr>
          <w:rFonts w:ascii="宋体" w:hAnsi="宋体" w:cs="宋体"/>
          <w:b/>
          <w:sz w:val="24"/>
          <w:highlight w:val="none"/>
        </w:rPr>
      </w:pPr>
    </w:p>
    <w:p w14:paraId="7912DE7A">
      <w:pPr>
        <w:pStyle w:val="37"/>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2"/>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2"/>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2"/>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2"/>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2"/>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2"/>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2"/>
              <w:jc w:val="center"/>
              <w:rPr>
                <w:rFonts w:hAnsi="宋体" w:cs="宋体"/>
                <w:bCs/>
                <w:sz w:val="24"/>
                <w:szCs w:val="24"/>
                <w:highlight w:val="none"/>
              </w:rPr>
            </w:pPr>
            <w:r>
              <w:rPr>
                <w:rFonts w:hint="eastAsia" w:hAnsi="宋体" w:cs="宋体"/>
                <w:bCs/>
                <w:sz w:val="24"/>
                <w:szCs w:val="24"/>
                <w:highlight w:val="none"/>
              </w:rPr>
              <w:t>偏离说明</w:t>
            </w:r>
          </w:p>
        </w:tc>
      </w:tr>
      <w:tr w14:paraId="4AA9A1ED">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1"/>
        <w:rPr>
          <w:rFonts w:ascii="宋体" w:hAnsi="宋体" w:cs="宋体"/>
          <w:sz w:val="24"/>
          <w:szCs w:val="24"/>
          <w:highlight w:val="none"/>
        </w:rPr>
      </w:pPr>
    </w:p>
    <w:p w14:paraId="51726D06">
      <w:pPr>
        <w:pStyle w:val="41"/>
        <w:rPr>
          <w:rFonts w:ascii="宋体" w:hAnsi="宋体" w:cs="宋体"/>
          <w:sz w:val="24"/>
          <w:szCs w:val="24"/>
          <w:highlight w:val="none"/>
        </w:rPr>
      </w:pPr>
    </w:p>
    <w:p w14:paraId="5CF83A87">
      <w:pPr>
        <w:pStyle w:val="41"/>
        <w:rPr>
          <w:rFonts w:ascii="宋体" w:hAnsi="宋体" w:cs="宋体"/>
          <w:sz w:val="24"/>
          <w:szCs w:val="24"/>
          <w:highlight w:val="none"/>
        </w:rPr>
      </w:pPr>
    </w:p>
    <w:p w14:paraId="6949FCEF">
      <w:pPr>
        <w:pStyle w:val="41"/>
        <w:rPr>
          <w:rFonts w:ascii="宋体" w:hAnsi="宋体" w:cs="宋体"/>
          <w:sz w:val="24"/>
          <w:szCs w:val="24"/>
          <w:highlight w:val="none"/>
        </w:rPr>
      </w:pPr>
    </w:p>
    <w:p w14:paraId="66079CD5">
      <w:pPr>
        <w:pStyle w:val="41"/>
        <w:rPr>
          <w:rFonts w:ascii="宋体" w:hAnsi="宋体" w:cs="宋体"/>
          <w:sz w:val="24"/>
          <w:szCs w:val="24"/>
          <w:highlight w:val="none"/>
        </w:rPr>
      </w:pPr>
    </w:p>
    <w:p w14:paraId="2955110F">
      <w:pPr>
        <w:pStyle w:val="41"/>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1"/>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w:t>
      </w:r>
      <w:r>
        <w:rPr>
          <w:rFonts w:hint="eastAsia" w:ascii="宋体" w:hAnsi="宋体" w:cs="宋体"/>
          <w:sz w:val="24"/>
          <w:highlight w:val="none"/>
          <w:lang w:val="en-US" w:eastAsia="zh-CN"/>
        </w:rPr>
        <w:t>22</w:t>
      </w:r>
      <w:r>
        <w:rPr>
          <w:rFonts w:hint="eastAsia" w:ascii="宋体" w:hAnsi="宋体" w:cs="宋体"/>
          <w:sz w:val="24"/>
          <w:highlight w:val="none"/>
        </w:rPr>
        <w:t>﹞</w:t>
      </w:r>
      <w:r>
        <w:rPr>
          <w:rFonts w:hint="eastAsia" w:ascii="宋体" w:hAnsi="宋体" w:cs="宋体"/>
          <w:sz w:val="24"/>
          <w:highlight w:val="none"/>
          <w:lang w:val="en-US" w:eastAsia="zh-CN"/>
        </w:rPr>
        <w:t>19</w:t>
      </w:r>
      <w:r>
        <w:rPr>
          <w:rFonts w:hint="eastAsia" w:ascii="宋体" w:hAnsi="宋体" w:cs="宋体"/>
          <w:sz w:val="24"/>
          <w:highlight w:val="none"/>
        </w:rPr>
        <w:t>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1"/>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41"/>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Pr>
        <w:rPr>
          <w:highlight w:val="none"/>
        </w:rPr>
      </w:pPr>
    </w:p>
    <w:p w14:paraId="04AD51EB">
      <w:pPr>
        <w:spacing w:line="360" w:lineRule="auto"/>
        <w:rPr>
          <w:rFonts w:ascii="宋体" w:hAnsi="宋体" w:cs="宋体"/>
          <w:sz w:val="24"/>
          <w:highlight w:val="none"/>
        </w:rPr>
      </w:pPr>
    </w:p>
    <w:p w14:paraId="7D9AB5FD">
      <w:pPr>
        <w:rPr>
          <w:rFonts w:hint="eastAsia" w:ascii="宋体" w:hAnsi="宋体" w:cs="宋体"/>
          <w:b/>
          <w:bCs/>
          <w:sz w:val="24"/>
          <w:highlight w:val="none"/>
        </w:rPr>
      </w:pPr>
      <w:r>
        <w:rPr>
          <w:rFonts w:hint="eastAsia" w:ascii="宋体" w:hAnsi="宋体" w:cs="宋体"/>
          <w:b/>
          <w:bCs/>
          <w:sz w:val="24"/>
          <w:highlight w:val="none"/>
        </w:rPr>
        <w:br w:type="page"/>
      </w: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37"/>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0"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0"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0"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0"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0"/>
        <w:kinsoku w:val="0"/>
        <w:overflowPunct w:val="0"/>
        <w:ind w:firstLine="420" w:firstLineChars="200"/>
        <w:rPr>
          <w:rFonts w:ascii="宋体" w:hAnsi="宋体" w:cs="宋体"/>
          <w:b/>
          <w:highlight w:val="none"/>
        </w:rPr>
      </w:pPr>
      <w:r>
        <w:rPr>
          <w:rFonts w:hint="eastAsia" w:ascii="宋体" w:hAnsi="宋体" w:cs="宋体"/>
          <w:b/>
          <w:highlight w:val="none"/>
        </w:rPr>
        <w:t>(二)费用支付方式：</w:t>
      </w:r>
    </w:p>
    <w:p w14:paraId="3F1CB9BD">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0"/>
        <w:kinsoku w:val="0"/>
        <w:overflowPunct w:val="0"/>
        <w:ind w:firstLine="420"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0"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0"/>
        <w:kinsoku w:val="0"/>
        <w:overflowPunct w:val="0"/>
        <w:spacing w:line="364" w:lineRule="auto"/>
        <w:ind w:firstLine="420" w:firstLineChars="200"/>
        <w:rPr>
          <w:rFonts w:ascii="宋体" w:hAnsi="宋体" w:cs="宋体"/>
          <w:b/>
          <w:highlight w:val="none"/>
        </w:rPr>
      </w:pPr>
      <w:r>
        <w:rPr>
          <w:rFonts w:hint="eastAsia" w:ascii="宋体" w:hAnsi="宋体" w:cs="宋体"/>
          <w:b/>
          <w:highlight w:val="none"/>
        </w:rPr>
        <w:t>第七条 知识产权</w:t>
      </w:r>
    </w:p>
    <w:p w14:paraId="786E4EED">
      <w:pPr>
        <w:pStyle w:val="10"/>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2"/>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0"/>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2"/>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0"/>
        <w:kinsoku w:val="0"/>
        <w:overflowPunct w:val="0"/>
        <w:spacing w:line="364" w:lineRule="auto"/>
        <w:ind w:firstLine="420"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0"/>
        <w:kinsoku w:val="0"/>
        <w:overflowPunct w:val="0"/>
        <w:spacing w:line="364" w:lineRule="auto"/>
        <w:ind w:firstLine="420" w:firstLineChars="200"/>
        <w:rPr>
          <w:rFonts w:ascii="宋体" w:hAnsi="宋体" w:cs="宋体"/>
          <w:b/>
          <w:highlight w:val="none"/>
        </w:rPr>
      </w:pPr>
      <w:r>
        <w:rPr>
          <w:rFonts w:hint="eastAsia" w:ascii="宋体" w:hAnsi="宋体" w:cs="宋体"/>
          <w:b/>
          <w:highlight w:val="none"/>
        </w:rPr>
        <w:t>第十二条 违约责任</w:t>
      </w:r>
    </w:p>
    <w:p w14:paraId="6C2F38F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0"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0"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2"/>
        <w:pageBreakBefore w:val="0"/>
        <w:widowControl w:val="0"/>
        <w:kinsoku w:val="0"/>
        <w:wordWrap/>
        <w:overflowPunct w:val="0"/>
        <w:topLinePunct w:val="0"/>
        <w:autoSpaceDE/>
        <w:autoSpaceDN/>
        <w:bidi w:val="0"/>
        <w:adjustRightInd/>
        <w:snapToGrid/>
        <w:spacing w:before="240" w:after="0" w:line="360" w:lineRule="auto"/>
        <w:ind w:firstLine="420"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2"/>
        <w:pageBreakBefore w:val="0"/>
        <w:widowControl w:val="0"/>
        <w:kinsoku w:val="0"/>
        <w:wordWrap/>
        <w:overflowPunct w:val="0"/>
        <w:topLinePunct w:val="0"/>
        <w:autoSpaceDE/>
        <w:autoSpaceDN/>
        <w:bidi w:val="0"/>
        <w:adjustRightInd/>
        <w:snapToGrid/>
        <w:spacing w:before="240" w:after="0" w:line="360" w:lineRule="auto"/>
        <w:ind w:firstLine="420"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0"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0"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37"/>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37"/>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37"/>
        <w:ind w:firstLine="321"/>
        <w:jc w:val="center"/>
        <w:rPr>
          <w:b/>
          <w:sz w:val="32"/>
          <w:szCs w:val="32"/>
          <w:highlight w:val="none"/>
        </w:rPr>
      </w:pPr>
      <w:r>
        <w:rPr>
          <w:rFonts w:hint="eastAsia"/>
          <w:b/>
          <w:sz w:val="32"/>
          <w:szCs w:val="32"/>
          <w:highlight w:val="none"/>
        </w:rPr>
        <w:t>周口市政府采购合同融资政策告知函</w:t>
      </w:r>
    </w:p>
    <w:p w14:paraId="1FD406FB">
      <w:pPr>
        <w:pStyle w:val="37"/>
        <w:ind w:firstLine="240"/>
        <w:rPr>
          <w:rFonts w:asciiTheme="minorEastAsia" w:hAnsiTheme="minorEastAsia" w:eastAsiaTheme="minorEastAsia"/>
          <w:sz w:val="24"/>
          <w:highlight w:val="none"/>
        </w:rPr>
      </w:pPr>
    </w:p>
    <w:p w14:paraId="0E082FA9">
      <w:pPr>
        <w:pStyle w:val="37"/>
        <w:ind w:firstLine="240"/>
        <w:rPr>
          <w:rFonts w:asciiTheme="minorEastAsia" w:hAnsiTheme="minorEastAsia" w:eastAsiaTheme="minorEastAsia"/>
          <w:sz w:val="24"/>
          <w:highlight w:val="none"/>
        </w:rPr>
      </w:pPr>
    </w:p>
    <w:p w14:paraId="620107BF">
      <w:pPr>
        <w:pStyle w:val="37"/>
        <w:ind w:firstLine="240"/>
        <w:rPr>
          <w:rFonts w:asciiTheme="minorEastAsia" w:hAnsiTheme="minorEastAsia" w:eastAsiaTheme="minorEastAsia"/>
          <w:sz w:val="24"/>
          <w:highlight w:val="none"/>
        </w:rPr>
      </w:pPr>
    </w:p>
    <w:p w14:paraId="01674F72">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Theme="minorEastAsia" w:hAnsiTheme="minorEastAsia" w:eastAsiaTheme="minorEastAsia"/>
          <w:sz w:val="24"/>
          <w:highlight w:val="none"/>
          <w:lang w:eastAsia="zh-CN"/>
        </w:rPr>
        <w:t>。</w:t>
      </w:r>
    </w:p>
    <w:p w14:paraId="2934336D">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37"/>
        <w:ind w:firstLine="210"/>
        <w:rPr>
          <w:highlight w:val="none"/>
        </w:rPr>
      </w:pPr>
    </w:p>
    <w:sectPr>
      <w:headerReference r:id="rId6" w:type="default"/>
      <w:footerReference r:id="rId7"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80000287" w:usb1="280F3C52" w:usb2="00000016" w:usb3="00000000" w:csb0="0004001F" w:csb1="00000000"/>
  </w:font>
  <w:font w:name="Helvetica Neue">
    <w:panose1 w:val="02000503000000020004"/>
    <w:charset w:val="00"/>
    <w:family w:val="auto"/>
    <w:pitch w:val="default"/>
    <w:sig w:usb0="E50002FF" w:usb1="500079DB" w:usb2="00000010" w:usb3="00000000" w:csb0="00000000" w:csb1="00000000"/>
  </w:font>
  <w:font w:name="ˎ̥">
    <w:altName w:val="苹方-简"/>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Black">
    <w:panose1 w:val="020B0A04020102020204"/>
    <w:charset w:val="00"/>
    <w:family w:val="swiss"/>
    <w:pitch w:val="default"/>
    <w:sig w:usb0="00000287" w:usb1="00000000" w:usb2="00000000" w:usb3="00000000" w:csb0="2000009F" w:csb1="DFD70000"/>
  </w:font>
  <w:font w:name="微软简标宋">
    <w:altName w:val="汉仪书宋二KW"/>
    <w:panose1 w:val="00000000000000000000"/>
    <w:charset w:val="86"/>
    <w:family w:val="auto"/>
    <w:pitch w:val="default"/>
    <w:sig w:usb0="00000000" w:usb1="00000000" w:usb2="0000001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63F00">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D5E82E">
                          <w:pPr>
                            <w:pStyle w:val="1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Ftn8sBAACcAwAADgAAAGRycy9lMm9Eb2MueG1srVPNjtMwEL4j8Q6W&#10;79RpQ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lvcBEoctzjwy/dvlx+/Lj+/kmX1&#10;8lVWqA9QY+JdwNQ0vPVDzp78gM5MfFDR5i9SIhhHfc9XfeWQiMiP1qv1usKQwNh8QRz28DxESO+k&#10;tyQbDY04wKIrP32ANKbOKbma87faGPTz2ri/HIiZPSz3PvaYrTTsh6nxvW/PyKfH2TfU4apTYt47&#10;lDavyWzE2djPxjFEfejKHuV6EN4cEzZRessVRtipMA6tsJsWLG/Fn/eS9fB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ixbZ/LAQAAnAMAAA4AAAAAAAAAAQAgAAAAHgEAAGRycy9lMm9E&#10;b2MueG1sUEsFBgAAAAAGAAYAWQEAAFsFAAAAAA==&#10;">
              <v:fill on="f" focussize="0,0"/>
              <v:stroke on="f"/>
              <v:imagedata o:title=""/>
              <o:lock v:ext="edit" aspectratio="f"/>
              <v:textbox inset="0mm,0mm,0mm,0mm" style="mso-fit-shape-to-text:t;">
                <w:txbxContent>
                  <w:p w14:paraId="38D5E82E">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C601EC">
                          <w:pPr>
                            <w:pStyle w:val="18"/>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SsXqc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rihx3OLAL9+/XX78uvz8SpbV&#10;y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SsXqcoBAACcAwAADgAAAAAAAAABACAAAAAeAQAAZHJzL2Uyb0Rv&#10;Yy54bWxQSwUGAAAAAAYABgBZAQAAWgUAAAAA&#10;">
              <v:fill on="f" focussize="0,0"/>
              <v:stroke on="f"/>
              <v:imagedata o:title=""/>
              <o:lock v:ext="edit" aspectratio="f"/>
              <v:textbox inset="0mm,0mm,0mm,0mm" style="mso-fit-shape-to-text:t;">
                <w:txbxContent>
                  <w:p w14:paraId="69C601EC">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B105">
    <w:pPr>
      <w:pStyle w:val="10"/>
      <w:spacing w:line="278" w:lineRule="auto"/>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3CD47">
                          <w:pPr>
                            <w:pStyle w:val="18"/>
                          </w:pPr>
                          <w:r>
                            <w:fldChar w:fldCharType="begin"/>
                          </w:r>
                          <w:r>
                            <w:instrText xml:space="preserve"> PAGE  \* MERGEFORMAT </w:instrText>
                          </w:r>
                          <w:r>
                            <w:fldChar w:fldCharType="separate"/>
                          </w:r>
                          <w:r>
                            <w:t>29</w:t>
                          </w:r>
                          <w:r>
                            <w:fldChar w:fldCharType="end"/>
                          </w:r>
                        </w:p>
                      </w:txbxContent>
                    </wps:txbx>
                    <wps:bodyPr wrap="none" lIns="0" tIns="0" rIns="0" bIns="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JfCLPLAQAAnAMAAA4AAAAAAAAAAQAgAAAAHgEAAGRycy9lMm9E&#10;b2MueG1sUEsFBgAAAAAGAAYAWQEAAFsFAAAAAA==&#10;">
              <v:fill on="f" focussize="0,0"/>
              <v:stroke on="f"/>
              <v:imagedata o:title=""/>
              <o:lock v:ext="edit" aspectratio="f"/>
              <v:textbox inset="0mm,0mm,0mm,0mm" style="mso-fit-shape-to-text:t;">
                <w:txbxContent>
                  <w:p w14:paraId="2C03CD47">
                    <w:pPr>
                      <w:pStyle w:val="18"/>
                    </w:pPr>
                    <w:r>
                      <w:fldChar w:fldCharType="begin"/>
                    </w:r>
                    <w:r>
                      <w:instrText xml:space="preserve"> PAGE  \* MERGEFORMAT </w:instrText>
                    </w:r>
                    <w:r>
                      <w:fldChar w:fldCharType="separate"/>
                    </w:r>
                    <w:r>
                      <w:t>29</w:t>
                    </w:r>
                    <w:r>
                      <w:fldChar w:fldCharType="end"/>
                    </w:r>
                  </w:p>
                </w:txbxContent>
              </v:textbox>
            </v:shape>
          </w:pict>
        </mc:Fallback>
      </mc:AlternateContent>
    </w:r>
  </w:p>
  <w:p w14:paraId="3734B4E9">
    <w:pPr>
      <w:pStyle w:val="10"/>
      <w:spacing w:line="277" w:lineRule="auto"/>
    </w:pPr>
  </w:p>
  <w:p w14:paraId="639BCDFD">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0"/>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6D9AF">
    <w:pPr>
      <w:pStyle w:val="10"/>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2950"/>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F3BA1"/>
    <w:rsid w:val="01227D26"/>
    <w:rsid w:val="01311D17"/>
    <w:rsid w:val="01626374"/>
    <w:rsid w:val="017C3055"/>
    <w:rsid w:val="018B5C56"/>
    <w:rsid w:val="01934780"/>
    <w:rsid w:val="019C1C8D"/>
    <w:rsid w:val="01C86C1D"/>
    <w:rsid w:val="01DF5C17"/>
    <w:rsid w:val="01EC42D0"/>
    <w:rsid w:val="02104022"/>
    <w:rsid w:val="021533E7"/>
    <w:rsid w:val="02186A33"/>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842EB7"/>
    <w:rsid w:val="039F6B6F"/>
    <w:rsid w:val="03A308DC"/>
    <w:rsid w:val="03D5618C"/>
    <w:rsid w:val="03D60954"/>
    <w:rsid w:val="03DC636C"/>
    <w:rsid w:val="03EF6322"/>
    <w:rsid w:val="040532BA"/>
    <w:rsid w:val="04073203"/>
    <w:rsid w:val="040B08CC"/>
    <w:rsid w:val="04176582"/>
    <w:rsid w:val="04717837"/>
    <w:rsid w:val="04721B8D"/>
    <w:rsid w:val="04A9243E"/>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2D572C"/>
    <w:rsid w:val="06473D8B"/>
    <w:rsid w:val="064B1AAF"/>
    <w:rsid w:val="064E336B"/>
    <w:rsid w:val="065D2B7B"/>
    <w:rsid w:val="06A51054"/>
    <w:rsid w:val="06C13B3D"/>
    <w:rsid w:val="07041580"/>
    <w:rsid w:val="072010BD"/>
    <w:rsid w:val="07230354"/>
    <w:rsid w:val="07726BE5"/>
    <w:rsid w:val="07932A4C"/>
    <w:rsid w:val="07D93108"/>
    <w:rsid w:val="07F876A6"/>
    <w:rsid w:val="081E6D6D"/>
    <w:rsid w:val="08306015"/>
    <w:rsid w:val="083E11BD"/>
    <w:rsid w:val="08660CC0"/>
    <w:rsid w:val="08703D30"/>
    <w:rsid w:val="088E7A4F"/>
    <w:rsid w:val="08AA23AF"/>
    <w:rsid w:val="08B33959"/>
    <w:rsid w:val="08BA4CE8"/>
    <w:rsid w:val="08BB45BC"/>
    <w:rsid w:val="08CC4A1B"/>
    <w:rsid w:val="08DB1CFF"/>
    <w:rsid w:val="08E458C1"/>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76ADC"/>
    <w:rsid w:val="0A2F0DBE"/>
    <w:rsid w:val="0A481E7F"/>
    <w:rsid w:val="0A9E30AD"/>
    <w:rsid w:val="0AA51080"/>
    <w:rsid w:val="0AB17A25"/>
    <w:rsid w:val="0AB4794F"/>
    <w:rsid w:val="0AC105A6"/>
    <w:rsid w:val="0AC736EC"/>
    <w:rsid w:val="0AE55920"/>
    <w:rsid w:val="0AEE2A27"/>
    <w:rsid w:val="0AFA4C08"/>
    <w:rsid w:val="0B065FC2"/>
    <w:rsid w:val="0B226B74"/>
    <w:rsid w:val="0B436095"/>
    <w:rsid w:val="0B7A6133"/>
    <w:rsid w:val="0B867103"/>
    <w:rsid w:val="0B93537C"/>
    <w:rsid w:val="0BA61553"/>
    <w:rsid w:val="0BAB0918"/>
    <w:rsid w:val="0BAE62C0"/>
    <w:rsid w:val="0BBA0B5B"/>
    <w:rsid w:val="0BBE689D"/>
    <w:rsid w:val="0BD0037E"/>
    <w:rsid w:val="0BE35ECF"/>
    <w:rsid w:val="0BEB3B44"/>
    <w:rsid w:val="0C062F6E"/>
    <w:rsid w:val="0C0644C0"/>
    <w:rsid w:val="0C4F74F5"/>
    <w:rsid w:val="0C505731"/>
    <w:rsid w:val="0C522BFB"/>
    <w:rsid w:val="0C5B0590"/>
    <w:rsid w:val="0C7B02EA"/>
    <w:rsid w:val="0CB8153E"/>
    <w:rsid w:val="0CBB4B8B"/>
    <w:rsid w:val="0CC2416B"/>
    <w:rsid w:val="0CCA3020"/>
    <w:rsid w:val="0D1150F2"/>
    <w:rsid w:val="0D3D1A44"/>
    <w:rsid w:val="0D417345"/>
    <w:rsid w:val="0D4234FE"/>
    <w:rsid w:val="0D45142A"/>
    <w:rsid w:val="0D705975"/>
    <w:rsid w:val="0D802AB6"/>
    <w:rsid w:val="0D9F44AC"/>
    <w:rsid w:val="0DC32327"/>
    <w:rsid w:val="0DC54782"/>
    <w:rsid w:val="0DD405FA"/>
    <w:rsid w:val="0DDC1DC5"/>
    <w:rsid w:val="0DFE5677"/>
    <w:rsid w:val="0DFF4F4B"/>
    <w:rsid w:val="0E0D1416"/>
    <w:rsid w:val="0E1C143C"/>
    <w:rsid w:val="0E3C1CFB"/>
    <w:rsid w:val="0E470868"/>
    <w:rsid w:val="0E4D1706"/>
    <w:rsid w:val="0E590AFF"/>
    <w:rsid w:val="0E664FCA"/>
    <w:rsid w:val="0E68490D"/>
    <w:rsid w:val="0E745939"/>
    <w:rsid w:val="0E7C659C"/>
    <w:rsid w:val="0E835B7C"/>
    <w:rsid w:val="0EA31D7A"/>
    <w:rsid w:val="0EDB4DDC"/>
    <w:rsid w:val="0EF425D6"/>
    <w:rsid w:val="0F2F513F"/>
    <w:rsid w:val="0F31382A"/>
    <w:rsid w:val="0F4A4D91"/>
    <w:rsid w:val="0F506F7B"/>
    <w:rsid w:val="0F6634D4"/>
    <w:rsid w:val="0F68037E"/>
    <w:rsid w:val="0F8C6CB2"/>
    <w:rsid w:val="0F9D4A1B"/>
    <w:rsid w:val="0F9F2542"/>
    <w:rsid w:val="0FC5229E"/>
    <w:rsid w:val="0FD90AD1"/>
    <w:rsid w:val="0FDF5034"/>
    <w:rsid w:val="100131FC"/>
    <w:rsid w:val="100E1475"/>
    <w:rsid w:val="10141182"/>
    <w:rsid w:val="1017657C"/>
    <w:rsid w:val="10234F21"/>
    <w:rsid w:val="10280789"/>
    <w:rsid w:val="103233B6"/>
    <w:rsid w:val="103435D2"/>
    <w:rsid w:val="105A290D"/>
    <w:rsid w:val="10753CA3"/>
    <w:rsid w:val="107B4D5D"/>
    <w:rsid w:val="10855BDB"/>
    <w:rsid w:val="109202F8"/>
    <w:rsid w:val="109A0F5B"/>
    <w:rsid w:val="10A67900"/>
    <w:rsid w:val="10AB7932"/>
    <w:rsid w:val="10B63FE7"/>
    <w:rsid w:val="10D51ACD"/>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369FF"/>
    <w:rsid w:val="126A32DB"/>
    <w:rsid w:val="12902616"/>
    <w:rsid w:val="12AD766B"/>
    <w:rsid w:val="12C060EB"/>
    <w:rsid w:val="12C0739F"/>
    <w:rsid w:val="12D01F78"/>
    <w:rsid w:val="12EC0194"/>
    <w:rsid w:val="13070B2A"/>
    <w:rsid w:val="1319260B"/>
    <w:rsid w:val="1351688D"/>
    <w:rsid w:val="13517FF7"/>
    <w:rsid w:val="13533D6F"/>
    <w:rsid w:val="13552B79"/>
    <w:rsid w:val="13561AB1"/>
    <w:rsid w:val="13793DF7"/>
    <w:rsid w:val="137D5290"/>
    <w:rsid w:val="137E7A43"/>
    <w:rsid w:val="13AA3D12"/>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2B046A"/>
    <w:rsid w:val="16353AA0"/>
    <w:rsid w:val="16421E79"/>
    <w:rsid w:val="164B6F7F"/>
    <w:rsid w:val="1656732A"/>
    <w:rsid w:val="16571DC8"/>
    <w:rsid w:val="169F376F"/>
    <w:rsid w:val="16A62408"/>
    <w:rsid w:val="16AD7C3A"/>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B5E42"/>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A299A"/>
    <w:rsid w:val="1BAC6712"/>
    <w:rsid w:val="1BBE6445"/>
    <w:rsid w:val="1BE64A86"/>
    <w:rsid w:val="1BE66A99"/>
    <w:rsid w:val="1BF51B10"/>
    <w:rsid w:val="1C1A124E"/>
    <w:rsid w:val="1C2362A8"/>
    <w:rsid w:val="1C273FEB"/>
    <w:rsid w:val="1C424981"/>
    <w:rsid w:val="1C4B7712"/>
    <w:rsid w:val="1C5A7422"/>
    <w:rsid w:val="1C81105C"/>
    <w:rsid w:val="1C940F54"/>
    <w:rsid w:val="1C9A2A0F"/>
    <w:rsid w:val="1CA078F9"/>
    <w:rsid w:val="1CA473E9"/>
    <w:rsid w:val="1CA76EDA"/>
    <w:rsid w:val="1CB12360"/>
    <w:rsid w:val="1CB515F6"/>
    <w:rsid w:val="1CC82894"/>
    <w:rsid w:val="1CDC777D"/>
    <w:rsid w:val="1CE43C8A"/>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22D30"/>
    <w:rsid w:val="1F132604"/>
    <w:rsid w:val="1F1C595D"/>
    <w:rsid w:val="1F397F3B"/>
    <w:rsid w:val="1F3A0BB5"/>
    <w:rsid w:val="1F5A46D7"/>
    <w:rsid w:val="1F5F4111"/>
    <w:rsid w:val="1F78690B"/>
    <w:rsid w:val="1FA92FCB"/>
    <w:rsid w:val="1FAB4B1F"/>
    <w:rsid w:val="1FB50AD1"/>
    <w:rsid w:val="1FBC7140"/>
    <w:rsid w:val="1FC252A5"/>
    <w:rsid w:val="1FDA6160"/>
    <w:rsid w:val="20193BC8"/>
    <w:rsid w:val="202D76F6"/>
    <w:rsid w:val="204F3B10"/>
    <w:rsid w:val="20601879"/>
    <w:rsid w:val="2063580D"/>
    <w:rsid w:val="206C021E"/>
    <w:rsid w:val="2079293B"/>
    <w:rsid w:val="208F215E"/>
    <w:rsid w:val="20981EA4"/>
    <w:rsid w:val="20A51947"/>
    <w:rsid w:val="20B15F3B"/>
    <w:rsid w:val="20EC5803"/>
    <w:rsid w:val="20F36B91"/>
    <w:rsid w:val="21222FD3"/>
    <w:rsid w:val="213A031C"/>
    <w:rsid w:val="213D7E0C"/>
    <w:rsid w:val="21747CD2"/>
    <w:rsid w:val="21751354"/>
    <w:rsid w:val="2177331E"/>
    <w:rsid w:val="218617B3"/>
    <w:rsid w:val="21867A05"/>
    <w:rsid w:val="219A700D"/>
    <w:rsid w:val="21A460DD"/>
    <w:rsid w:val="21B75E11"/>
    <w:rsid w:val="21D6143A"/>
    <w:rsid w:val="21ED67BC"/>
    <w:rsid w:val="21EF55AB"/>
    <w:rsid w:val="22031056"/>
    <w:rsid w:val="220D398C"/>
    <w:rsid w:val="226677BB"/>
    <w:rsid w:val="22721109"/>
    <w:rsid w:val="22853819"/>
    <w:rsid w:val="22C12E9B"/>
    <w:rsid w:val="22CD6F6E"/>
    <w:rsid w:val="22D93819"/>
    <w:rsid w:val="22EA32EC"/>
    <w:rsid w:val="22F4099F"/>
    <w:rsid w:val="22FD3CF7"/>
    <w:rsid w:val="2301566F"/>
    <w:rsid w:val="23111551"/>
    <w:rsid w:val="231F3C6E"/>
    <w:rsid w:val="23242385"/>
    <w:rsid w:val="23282412"/>
    <w:rsid w:val="23290648"/>
    <w:rsid w:val="23384D2F"/>
    <w:rsid w:val="234731C4"/>
    <w:rsid w:val="23645B24"/>
    <w:rsid w:val="23825FAA"/>
    <w:rsid w:val="238E494F"/>
    <w:rsid w:val="23953F30"/>
    <w:rsid w:val="23B00D6A"/>
    <w:rsid w:val="23CB7951"/>
    <w:rsid w:val="23D73CBB"/>
    <w:rsid w:val="23DC74F7"/>
    <w:rsid w:val="23DF51AB"/>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BC0E63"/>
    <w:rsid w:val="26C03072"/>
    <w:rsid w:val="26E50D2A"/>
    <w:rsid w:val="26E86A6C"/>
    <w:rsid w:val="26F21A04"/>
    <w:rsid w:val="26F62F37"/>
    <w:rsid w:val="27035654"/>
    <w:rsid w:val="27397C5C"/>
    <w:rsid w:val="27435A51"/>
    <w:rsid w:val="275D2FB6"/>
    <w:rsid w:val="27610678"/>
    <w:rsid w:val="27644345"/>
    <w:rsid w:val="277D0F63"/>
    <w:rsid w:val="27873B8F"/>
    <w:rsid w:val="279C795E"/>
    <w:rsid w:val="27C74EE3"/>
    <w:rsid w:val="28017035"/>
    <w:rsid w:val="28043432"/>
    <w:rsid w:val="281F026C"/>
    <w:rsid w:val="282B6CE0"/>
    <w:rsid w:val="28480D72"/>
    <w:rsid w:val="28593D52"/>
    <w:rsid w:val="285E0D94"/>
    <w:rsid w:val="287B63A6"/>
    <w:rsid w:val="28887BBF"/>
    <w:rsid w:val="288C33EF"/>
    <w:rsid w:val="28CD5F1A"/>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9E057D9"/>
    <w:rsid w:val="29E96D83"/>
    <w:rsid w:val="2A0C2A72"/>
    <w:rsid w:val="2A111E36"/>
    <w:rsid w:val="2A125DD4"/>
    <w:rsid w:val="2A366266"/>
    <w:rsid w:val="2A383867"/>
    <w:rsid w:val="2A391AB9"/>
    <w:rsid w:val="2A397C18"/>
    <w:rsid w:val="2A5015D5"/>
    <w:rsid w:val="2AA44A58"/>
    <w:rsid w:val="2AB729DE"/>
    <w:rsid w:val="2AB949A8"/>
    <w:rsid w:val="2AD74E2E"/>
    <w:rsid w:val="2AF27EBA"/>
    <w:rsid w:val="2AF63392"/>
    <w:rsid w:val="2AFC2AE6"/>
    <w:rsid w:val="2B45448D"/>
    <w:rsid w:val="2B593A95"/>
    <w:rsid w:val="2B7E174D"/>
    <w:rsid w:val="2B856638"/>
    <w:rsid w:val="2BA2368E"/>
    <w:rsid w:val="2BA67492"/>
    <w:rsid w:val="2BC03B14"/>
    <w:rsid w:val="2BCA04EF"/>
    <w:rsid w:val="2BDA1BE3"/>
    <w:rsid w:val="2BEE4D59"/>
    <w:rsid w:val="2C0343BA"/>
    <w:rsid w:val="2C047EA4"/>
    <w:rsid w:val="2C5F332D"/>
    <w:rsid w:val="2C66791C"/>
    <w:rsid w:val="2C673F8F"/>
    <w:rsid w:val="2C6B1CD2"/>
    <w:rsid w:val="2CA50ADA"/>
    <w:rsid w:val="2CB41783"/>
    <w:rsid w:val="2CC338BC"/>
    <w:rsid w:val="2CD77367"/>
    <w:rsid w:val="2CE00E0B"/>
    <w:rsid w:val="2D221D01"/>
    <w:rsid w:val="2D2D6F87"/>
    <w:rsid w:val="2D360531"/>
    <w:rsid w:val="2D531028"/>
    <w:rsid w:val="2D676A80"/>
    <w:rsid w:val="2D7352E2"/>
    <w:rsid w:val="2D78094D"/>
    <w:rsid w:val="2D7A3266"/>
    <w:rsid w:val="2DA134D1"/>
    <w:rsid w:val="2DC0242E"/>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1794E"/>
    <w:rsid w:val="2F465CA7"/>
    <w:rsid w:val="2F590507"/>
    <w:rsid w:val="2F5F2B72"/>
    <w:rsid w:val="2F7E1D1C"/>
    <w:rsid w:val="2F8E11EA"/>
    <w:rsid w:val="2F932167"/>
    <w:rsid w:val="2F9B467C"/>
    <w:rsid w:val="2FAA0D63"/>
    <w:rsid w:val="2FBA6381"/>
    <w:rsid w:val="2FC17E5A"/>
    <w:rsid w:val="2FCA6D0F"/>
    <w:rsid w:val="2FD01CE8"/>
    <w:rsid w:val="2FD42B08"/>
    <w:rsid w:val="305D5DD5"/>
    <w:rsid w:val="30A26617"/>
    <w:rsid w:val="30C212F0"/>
    <w:rsid w:val="30D512C0"/>
    <w:rsid w:val="30D77936"/>
    <w:rsid w:val="30E20088"/>
    <w:rsid w:val="30E50629"/>
    <w:rsid w:val="31060A95"/>
    <w:rsid w:val="310E70CF"/>
    <w:rsid w:val="312513B2"/>
    <w:rsid w:val="312863E3"/>
    <w:rsid w:val="31787686"/>
    <w:rsid w:val="31853836"/>
    <w:rsid w:val="31995893"/>
    <w:rsid w:val="31B042BF"/>
    <w:rsid w:val="31B61C41"/>
    <w:rsid w:val="31BB3E93"/>
    <w:rsid w:val="31DE2F46"/>
    <w:rsid w:val="31E85B72"/>
    <w:rsid w:val="31ED4F37"/>
    <w:rsid w:val="31F12401"/>
    <w:rsid w:val="31FE5396"/>
    <w:rsid w:val="31FF5F72"/>
    <w:rsid w:val="32035D60"/>
    <w:rsid w:val="32195D2C"/>
    <w:rsid w:val="321B3C68"/>
    <w:rsid w:val="323F1C36"/>
    <w:rsid w:val="32466BB1"/>
    <w:rsid w:val="325154C6"/>
    <w:rsid w:val="32537490"/>
    <w:rsid w:val="326E6953"/>
    <w:rsid w:val="32847649"/>
    <w:rsid w:val="32961BEB"/>
    <w:rsid w:val="32BD0DAD"/>
    <w:rsid w:val="32C71C2C"/>
    <w:rsid w:val="32E427DE"/>
    <w:rsid w:val="32EC3440"/>
    <w:rsid w:val="32FF13C6"/>
    <w:rsid w:val="33022C64"/>
    <w:rsid w:val="33055DF4"/>
    <w:rsid w:val="33226E62"/>
    <w:rsid w:val="333F5C66"/>
    <w:rsid w:val="33482D6D"/>
    <w:rsid w:val="334868C9"/>
    <w:rsid w:val="33523A32"/>
    <w:rsid w:val="33552D94"/>
    <w:rsid w:val="335D1FE1"/>
    <w:rsid w:val="335E1849"/>
    <w:rsid w:val="336851BD"/>
    <w:rsid w:val="339B7340"/>
    <w:rsid w:val="33DA636A"/>
    <w:rsid w:val="33EA25D1"/>
    <w:rsid w:val="33F848B7"/>
    <w:rsid w:val="342521E3"/>
    <w:rsid w:val="34366616"/>
    <w:rsid w:val="344F1ED9"/>
    <w:rsid w:val="345319C9"/>
    <w:rsid w:val="345D2848"/>
    <w:rsid w:val="34637732"/>
    <w:rsid w:val="34655258"/>
    <w:rsid w:val="346C2A8B"/>
    <w:rsid w:val="34863867"/>
    <w:rsid w:val="34943D90"/>
    <w:rsid w:val="349A13A6"/>
    <w:rsid w:val="34B524C1"/>
    <w:rsid w:val="34D60CBB"/>
    <w:rsid w:val="34E341D7"/>
    <w:rsid w:val="34FC75A6"/>
    <w:rsid w:val="35030C9C"/>
    <w:rsid w:val="353C4230"/>
    <w:rsid w:val="35431A3E"/>
    <w:rsid w:val="35447564"/>
    <w:rsid w:val="358B7CB6"/>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8D6D35"/>
    <w:rsid w:val="38995E18"/>
    <w:rsid w:val="38AF73EA"/>
    <w:rsid w:val="38C84008"/>
    <w:rsid w:val="38D95136"/>
    <w:rsid w:val="38DC4FA1"/>
    <w:rsid w:val="38DD3F57"/>
    <w:rsid w:val="38ED03A5"/>
    <w:rsid w:val="38FB1FB4"/>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0C7D24"/>
    <w:rsid w:val="3A1C460B"/>
    <w:rsid w:val="3A1E4827"/>
    <w:rsid w:val="3A26548A"/>
    <w:rsid w:val="3A612966"/>
    <w:rsid w:val="3A777A93"/>
    <w:rsid w:val="3A944AE9"/>
    <w:rsid w:val="3AA06EC0"/>
    <w:rsid w:val="3AA50AA5"/>
    <w:rsid w:val="3ABD74C1"/>
    <w:rsid w:val="3AC16F61"/>
    <w:rsid w:val="3ACA2C02"/>
    <w:rsid w:val="3ACC1BCC"/>
    <w:rsid w:val="3ACC4283"/>
    <w:rsid w:val="3AE80991"/>
    <w:rsid w:val="3B08098E"/>
    <w:rsid w:val="3B693880"/>
    <w:rsid w:val="3B6B584A"/>
    <w:rsid w:val="3B8763FC"/>
    <w:rsid w:val="3B8C57C0"/>
    <w:rsid w:val="3B903503"/>
    <w:rsid w:val="3B920829"/>
    <w:rsid w:val="3BAE6CD9"/>
    <w:rsid w:val="3BB6283D"/>
    <w:rsid w:val="3BB84807"/>
    <w:rsid w:val="3BBA221D"/>
    <w:rsid w:val="3BC82C9D"/>
    <w:rsid w:val="3BDF3B42"/>
    <w:rsid w:val="3C221C81"/>
    <w:rsid w:val="3C270B87"/>
    <w:rsid w:val="3C3000ED"/>
    <w:rsid w:val="3C371186"/>
    <w:rsid w:val="3C3C2D43"/>
    <w:rsid w:val="3C5207B8"/>
    <w:rsid w:val="3C7921E9"/>
    <w:rsid w:val="3C885F88"/>
    <w:rsid w:val="3C954BA0"/>
    <w:rsid w:val="3CAB1C76"/>
    <w:rsid w:val="3CBE5E4E"/>
    <w:rsid w:val="3CC03974"/>
    <w:rsid w:val="3CE358B4"/>
    <w:rsid w:val="3CF25AF7"/>
    <w:rsid w:val="3D141F11"/>
    <w:rsid w:val="3D232399"/>
    <w:rsid w:val="3D2E2D19"/>
    <w:rsid w:val="3D31181A"/>
    <w:rsid w:val="3D485717"/>
    <w:rsid w:val="3D6A38DF"/>
    <w:rsid w:val="3D7911B5"/>
    <w:rsid w:val="3D7D3613"/>
    <w:rsid w:val="3DA037A5"/>
    <w:rsid w:val="3DC87CB2"/>
    <w:rsid w:val="3DDC65E6"/>
    <w:rsid w:val="3DDF7E2A"/>
    <w:rsid w:val="3E18158D"/>
    <w:rsid w:val="3E216694"/>
    <w:rsid w:val="3E285C74"/>
    <w:rsid w:val="3E3839DE"/>
    <w:rsid w:val="3E4E3201"/>
    <w:rsid w:val="3E6F38A3"/>
    <w:rsid w:val="3E7C38CA"/>
    <w:rsid w:val="3E873BCC"/>
    <w:rsid w:val="3E9055C8"/>
    <w:rsid w:val="3E946368"/>
    <w:rsid w:val="3EAA6689"/>
    <w:rsid w:val="3EAD617A"/>
    <w:rsid w:val="3EBF1A09"/>
    <w:rsid w:val="3ECF7E9E"/>
    <w:rsid w:val="3ED96F6F"/>
    <w:rsid w:val="3EE945AF"/>
    <w:rsid w:val="3EF52388"/>
    <w:rsid w:val="3EF913BF"/>
    <w:rsid w:val="3EFB5137"/>
    <w:rsid w:val="3F1749BD"/>
    <w:rsid w:val="3F1E4982"/>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C96B6F"/>
    <w:rsid w:val="40D27557"/>
    <w:rsid w:val="40D6427E"/>
    <w:rsid w:val="40EF3CF6"/>
    <w:rsid w:val="40FA31CC"/>
    <w:rsid w:val="41093759"/>
    <w:rsid w:val="41214BFD"/>
    <w:rsid w:val="41263FC1"/>
    <w:rsid w:val="412D35A2"/>
    <w:rsid w:val="412F10C8"/>
    <w:rsid w:val="41380196"/>
    <w:rsid w:val="41415EFF"/>
    <w:rsid w:val="41434B73"/>
    <w:rsid w:val="414F52C6"/>
    <w:rsid w:val="41824E23"/>
    <w:rsid w:val="418F600A"/>
    <w:rsid w:val="41A20564"/>
    <w:rsid w:val="41B16896"/>
    <w:rsid w:val="41D026B4"/>
    <w:rsid w:val="41EE4ADF"/>
    <w:rsid w:val="41F46143"/>
    <w:rsid w:val="420A5691"/>
    <w:rsid w:val="42114C71"/>
    <w:rsid w:val="42154762"/>
    <w:rsid w:val="42204EB5"/>
    <w:rsid w:val="42213106"/>
    <w:rsid w:val="422E5823"/>
    <w:rsid w:val="423A7D24"/>
    <w:rsid w:val="4241043B"/>
    <w:rsid w:val="425608D6"/>
    <w:rsid w:val="425D589D"/>
    <w:rsid w:val="425F59DD"/>
    <w:rsid w:val="425F778B"/>
    <w:rsid w:val="42770F78"/>
    <w:rsid w:val="42935686"/>
    <w:rsid w:val="42982C9D"/>
    <w:rsid w:val="42B21FB1"/>
    <w:rsid w:val="42B6777F"/>
    <w:rsid w:val="42CB6A8E"/>
    <w:rsid w:val="42E3216A"/>
    <w:rsid w:val="42E51853"/>
    <w:rsid w:val="43195B8C"/>
    <w:rsid w:val="43284021"/>
    <w:rsid w:val="43574906"/>
    <w:rsid w:val="43640466"/>
    <w:rsid w:val="4383394D"/>
    <w:rsid w:val="439D67BD"/>
    <w:rsid w:val="43A044FF"/>
    <w:rsid w:val="43D1290A"/>
    <w:rsid w:val="43D51DCA"/>
    <w:rsid w:val="43EA7528"/>
    <w:rsid w:val="4422267C"/>
    <w:rsid w:val="4439400C"/>
    <w:rsid w:val="446E1F07"/>
    <w:rsid w:val="44A57C2A"/>
    <w:rsid w:val="44AA6D2D"/>
    <w:rsid w:val="44C47D79"/>
    <w:rsid w:val="44CB55AC"/>
    <w:rsid w:val="44D0671E"/>
    <w:rsid w:val="44D81A76"/>
    <w:rsid w:val="44E95A32"/>
    <w:rsid w:val="44F22B38"/>
    <w:rsid w:val="44F45243"/>
    <w:rsid w:val="45050ABD"/>
    <w:rsid w:val="450764A6"/>
    <w:rsid w:val="45100658"/>
    <w:rsid w:val="451707F1"/>
    <w:rsid w:val="452567EA"/>
    <w:rsid w:val="454D4212"/>
    <w:rsid w:val="456B16B7"/>
    <w:rsid w:val="45921C25"/>
    <w:rsid w:val="459260C9"/>
    <w:rsid w:val="45E05087"/>
    <w:rsid w:val="45E16709"/>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AD2D46"/>
    <w:rsid w:val="47C655AE"/>
    <w:rsid w:val="47CA7D9C"/>
    <w:rsid w:val="47CB141F"/>
    <w:rsid w:val="47E55DDB"/>
    <w:rsid w:val="47F46BC7"/>
    <w:rsid w:val="481132D5"/>
    <w:rsid w:val="481553CE"/>
    <w:rsid w:val="48205C0E"/>
    <w:rsid w:val="48311BC9"/>
    <w:rsid w:val="48524AAD"/>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65421F"/>
    <w:rsid w:val="4B7A4CDC"/>
    <w:rsid w:val="4B8225F6"/>
    <w:rsid w:val="4B870ABA"/>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150FB"/>
    <w:rsid w:val="4DA90454"/>
    <w:rsid w:val="4DDD3C5A"/>
    <w:rsid w:val="4DEA4CF4"/>
    <w:rsid w:val="4DF86150"/>
    <w:rsid w:val="4E3C6BD2"/>
    <w:rsid w:val="4E476F35"/>
    <w:rsid w:val="4E516B22"/>
    <w:rsid w:val="4E79167E"/>
    <w:rsid w:val="4E913FBD"/>
    <w:rsid w:val="4E9F7959"/>
    <w:rsid w:val="4EA95DEB"/>
    <w:rsid w:val="4EAA4484"/>
    <w:rsid w:val="4ECF5C98"/>
    <w:rsid w:val="4F245FE4"/>
    <w:rsid w:val="4F2831CE"/>
    <w:rsid w:val="4F6E3703"/>
    <w:rsid w:val="4F960564"/>
    <w:rsid w:val="4F9C3DCC"/>
    <w:rsid w:val="4FAE58AE"/>
    <w:rsid w:val="4FB11A1F"/>
    <w:rsid w:val="4FDA2B47"/>
    <w:rsid w:val="4FE15C83"/>
    <w:rsid w:val="4FFA680C"/>
    <w:rsid w:val="502B33A2"/>
    <w:rsid w:val="503E1327"/>
    <w:rsid w:val="5080549C"/>
    <w:rsid w:val="50970A38"/>
    <w:rsid w:val="50981A4B"/>
    <w:rsid w:val="50BD3AD5"/>
    <w:rsid w:val="50EF43D0"/>
    <w:rsid w:val="50FF09C9"/>
    <w:rsid w:val="51024103"/>
    <w:rsid w:val="51084354"/>
    <w:rsid w:val="51143E36"/>
    <w:rsid w:val="51254295"/>
    <w:rsid w:val="51411B30"/>
    <w:rsid w:val="5177586B"/>
    <w:rsid w:val="51842D6A"/>
    <w:rsid w:val="519A2E90"/>
    <w:rsid w:val="51A90A23"/>
    <w:rsid w:val="51C23892"/>
    <w:rsid w:val="51DA5080"/>
    <w:rsid w:val="51EB2DE9"/>
    <w:rsid w:val="520420FD"/>
    <w:rsid w:val="52390069"/>
    <w:rsid w:val="523A78CD"/>
    <w:rsid w:val="5246001F"/>
    <w:rsid w:val="524F431A"/>
    <w:rsid w:val="52500E9E"/>
    <w:rsid w:val="52693160"/>
    <w:rsid w:val="528172AA"/>
    <w:rsid w:val="52861534"/>
    <w:rsid w:val="528D1696"/>
    <w:rsid w:val="52A04D83"/>
    <w:rsid w:val="52AD183E"/>
    <w:rsid w:val="52C06024"/>
    <w:rsid w:val="52CB2821"/>
    <w:rsid w:val="52CC5908"/>
    <w:rsid w:val="530879CB"/>
    <w:rsid w:val="53195734"/>
    <w:rsid w:val="53226CDE"/>
    <w:rsid w:val="53312A7E"/>
    <w:rsid w:val="53330CBE"/>
    <w:rsid w:val="53356515"/>
    <w:rsid w:val="536C61AC"/>
    <w:rsid w:val="537312E8"/>
    <w:rsid w:val="5391176E"/>
    <w:rsid w:val="539D45B7"/>
    <w:rsid w:val="53A86F0D"/>
    <w:rsid w:val="53B65415"/>
    <w:rsid w:val="53C438F2"/>
    <w:rsid w:val="53D23B07"/>
    <w:rsid w:val="53D77AC9"/>
    <w:rsid w:val="53E126F6"/>
    <w:rsid w:val="53FD0BB2"/>
    <w:rsid w:val="53FF0DCE"/>
    <w:rsid w:val="540957A8"/>
    <w:rsid w:val="540A3D6B"/>
    <w:rsid w:val="542F765C"/>
    <w:rsid w:val="543E06FA"/>
    <w:rsid w:val="54431F76"/>
    <w:rsid w:val="54436F0C"/>
    <w:rsid w:val="54596730"/>
    <w:rsid w:val="546463D8"/>
    <w:rsid w:val="54813591"/>
    <w:rsid w:val="54901A26"/>
    <w:rsid w:val="54914939"/>
    <w:rsid w:val="54A02118"/>
    <w:rsid w:val="54AD25D8"/>
    <w:rsid w:val="54B576DE"/>
    <w:rsid w:val="54D04160"/>
    <w:rsid w:val="54D758A7"/>
    <w:rsid w:val="54E34B9A"/>
    <w:rsid w:val="54EB5EC1"/>
    <w:rsid w:val="54F226E1"/>
    <w:rsid w:val="55052414"/>
    <w:rsid w:val="550565D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27DC0"/>
    <w:rsid w:val="587D519F"/>
    <w:rsid w:val="589A7317"/>
    <w:rsid w:val="58BD4DB3"/>
    <w:rsid w:val="59444C41"/>
    <w:rsid w:val="59480B21"/>
    <w:rsid w:val="597A4A53"/>
    <w:rsid w:val="59A0270B"/>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1162A"/>
    <w:rsid w:val="5B24111A"/>
    <w:rsid w:val="5B2A7B0A"/>
    <w:rsid w:val="5B2F58ED"/>
    <w:rsid w:val="5B411CCC"/>
    <w:rsid w:val="5B417B6B"/>
    <w:rsid w:val="5B54373E"/>
    <w:rsid w:val="5B5437AD"/>
    <w:rsid w:val="5B8027F4"/>
    <w:rsid w:val="5B81656C"/>
    <w:rsid w:val="5BA1276A"/>
    <w:rsid w:val="5BAD7D2F"/>
    <w:rsid w:val="5BB16E51"/>
    <w:rsid w:val="5BC11E23"/>
    <w:rsid w:val="5BC745F2"/>
    <w:rsid w:val="5BCD3B32"/>
    <w:rsid w:val="5BD963A8"/>
    <w:rsid w:val="5BEA2661"/>
    <w:rsid w:val="5BF36EF9"/>
    <w:rsid w:val="5C115B42"/>
    <w:rsid w:val="5C1B42CB"/>
    <w:rsid w:val="5C1B7B96"/>
    <w:rsid w:val="5C225659"/>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58468C"/>
    <w:rsid w:val="5E655CD1"/>
    <w:rsid w:val="5EA45645"/>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2656D"/>
    <w:rsid w:val="625D29E9"/>
    <w:rsid w:val="62707B3A"/>
    <w:rsid w:val="62744735"/>
    <w:rsid w:val="62A768B8"/>
    <w:rsid w:val="62B334AF"/>
    <w:rsid w:val="62D02854"/>
    <w:rsid w:val="62DF24F6"/>
    <w:rsid w:val="62EC69C1"/>
    <w:rsid w:val="63065CD5"/>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346D9"/>
    <w:rsid w:val="651641C9"/>
    <w:rsid w:val="655C6080"/>
    <w:rsid w:val="65605444"/>
    <w:rsid w:val="65664381"/>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12B0"/>
    <w:rsid w:val="66B94F27"/>
    <w:rsid w:val="66C37A39"/>
    <w:rsid w:val="66CC0FE3"/>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470DF5"/>
    <w:rsid w:val="695D23C7"/>
    <w:rsid w:val="696077C1"/>
    <w:rsid w:val="69715E72"/>
    <w:rsid w:val="698D4180"/>
    <w:rsid w:val="69913E1E"/>
    <w:rsid w:val="69AF055A"/>
    <w:rsid w:val="69B51B3F"/>
    <w:rsid w:val="69BF098B"/>
    <w:rsid w:val="69C441F4"/>
    <w:rsid w:val="69CE6625"/>
    <w:rsid w:val="69F50851"/>
    <w:rsid w:val="69FF522C"/>
    <w:rsid w:val="6A0960AB"/>
    <w:rsid w:val="6A413A96"/>
    <w:rsid w:val="6A8120E5"/>
    <w:rsid w:val="6A8219B9"/>
    <w:rsid w:val="6A885ED1"/>
    <w:rsid w:val="6AAD6A36"/>
    <w:rsid w:val="6B182A49"/>
    <w:rsid w:val="6B511AB7"/>
    <w:rsid w:val="6B5275DD"/>
    <w:rsid w:val="6B762D04"/>
    <w:rsid w:val="6BB43DF4"/>
    <w:rsid w:val="6BC77FCB"/>
    <w:rsid w:val="6BE9595D"/>
    <w:rsid w:val="6BFF7765"/>
    <w:rsid w:val="6C3118E9"/>
    <w:rsid w:val="6C660F5A"/>
    <w:rsid w:val="6C8C5F63"/>
    <w:rsid w:val="6CCD1611"/>
    <w:rsid w:val="6CD02EB0"/>
    <w:rsid w:val="6D1A1931"/>
    <w:rsid w:val="6D1F0B58"/>
    <w:rsid w:val="6D253961"/>
    <w:rsid w:val="6D321474"/>
    <w:rsid w:val="6D3654A5"/>
    <w:rsid w:val="6D3A4012"/>
    <w:rsid w:val="6D5D0BE7"/>
    <w:rsid w:val="6D664A01"/>
    <w:rsid w:val="6DA71E62"/>
    <w:rsid w:val="6DB0362D"/>
    <w:rsid w:val="6DB602F7"/>
    <w:rsid w:val="6DDD5884"/>
    <w:rsid w:val="6DDE15FC"/>
    <w:rsid w:val="6DE0518A"/>
    <w:rsid w:val="6DE7336D"/>
    <w:rsid w:val="6E22598D"/>
    <w:rsid w:val="6E2434B3"/>
    <w:rsid w:val="6E2C22B2"/>
    <w:rsid w:val="6E3B6A4F"/>
    <w:rsid w:val="6E3D6323"/>
    <w:rsid w:val="6E3F02ED"/>
    <w:rsid w:val="6E7206C2"/>
    <w:rsid w:val="6E724C82"/>
    <w:rsid w:val="6EB24C26"/>
    <w:rsid w:val="6EB74327"/>
    <w:rsid w:val="6EBC037B"/>
    <w:rsid w:val="6ED24CBD"/>
    <w:rsid w:val="6EDC610D"/>
    <w:rsid w:val="6EE47BF5"/>
    <w:rsid w:val="6F047014"/>
    <w:rsid w:val="6F0E46F1"/>
    <w:rsid w:val="6F2439FD"/>
    <w:rsid w:val="6F751AEC"/>
    <w:rsid w:val="6FAC19B2"/>
    <w:rsid w:val="6FB2689C"/>
    <w:rsid w:val="6FC55E04"/>
    <w:rsid w:val="6FD07D18"/>
    <w:rsid w:val="6FDB399B"/>
    <w:rsid w:val="700370F8"/>
    <w:rsid w:val="70075491"/>
    <w:rsid w:val="707F7384"/>
    <w:rsid w:val="709E54A1"/>
    <w:rsid w:val="70B52AE8"/>
    <w:rsid w:val="70D50A94"/>
    <w:rsid w:val="71534FCD"/>
    <w:rsid w:val="71614A1E"/>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BF19FC"/>
    <w:rsid w:val="72C708B1"/>
    <w:rsid w:val="72CD6775"/>
    <w:rsid w:val="72DA72BE"/>
    <w:rsid w:val="72EC6569"/>
    <w:rsid w:val="72EE22E1"/>
    <w:rsid w:val="73075151"/>
    <w:rsid w:val="731F249B"/>
    <w:rsid w:val="732D22E4"/>
    <w:rsid w:val="736B3932"/>
    <w:rsid w:val="73702AE1"/>
    <w:rsid w:val="738B702F"/>
    <w:rsid w:val="739A5FC5"/>
    <w:rsid w:val="73AA445A"/>
    <w:rsid w:val="73B21561"/>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6F3378"/>
    <w:rsid w:val="767F69B6"/>
    <w:rsid w:val="768F5B89"/>
    <w:rsid w:val="76902210"/>
    <w:rsid w:val="769E5BA6"/>
    <w:rsid w:val="77184DE6"/>
    <w:rsid w:val="773D55E5"/>
    <w:rsid w:val="77514BED"/>
    <w:rsid w:val="77AE2E62"/>
    <w:rsid w:val="77BE6726"/>
    <w:rsid w:val="77C81353"/>
    <w:rsid w:val="77E517D3"/>
    <w:rsid w:val="77ED2E5B"/>
    <w:rsid w:val="77FA11D3"/>
    <w:rsid w:val="77FD1797"/>
    <w:rsid w:val="78120820"/>
    <w:rsid w:val="782C4FAF"/>
    <w:rsid w:val="7879089F"/>
    <w:rsid w:val="789D458E"/>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4B626B"/>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76137F"/>
    <w:rsid w:val="7CAE7448"/>
    <w:rsid w:val="7CB62772"/>
    <w:rsid w:val="7CB77BE8"/>
    <w:rsid w:val="7CCD4D16"/>
    <w:rsid w:val="7D37724C"/>
    <w:rsid w:val="7D6B6C05"/>
    <w:rsid w:val="7D6F401F"/>
    <w:rsid w:val="7D9D293A"/>
    <w:rsid w:val="7DBB1012"/>
    <w:rsid w:val="7DC20EC2"/>
    <w:rsid w:val="7DDF2F52"/>
    <w:rsid w:val="7DF36BF7"/>
    <w:rsid w:val="7DF764EE"/>
    <w:rsid w:val="7E0429B9"/>
    <w:rsid w:val="7E2579C2"/>
    <w:rsid w:val="7E2D0162"/>
    <w:rsid w:val="7E33504C"/>
    <w:rsid w:val="7E494870"/>
    <w:rsid w:val="7E4A12C7"/>
    <w:rsid w:val="7E5410D9"/>
    <w:rsid w:val="7E543E84"/>
    <w:rsid w:val="7E7F0292"/>
    <w:rsid w:val="7E8A310F"/>
    <w:rsid w:val="7EAC5767"/>
    <w:rsid w:val="7EB80774"/>
    <w:rsid w:val="7EBC3294"/>
    <w:rsid w:val="7EC90255"/>
    <w:rsid w:val="7EED5B43"/>
    <w:rsid w:val="7EF40C80"/>
    <w:rsid w:val="7F01339C"/>
    <w:rsid w:val="7F076373"/>
    <w:rsid w:val="7F101066"/>
    <w:rsid w:val="7F402117"/>
    <w:rsid w:val="7F5160D2"/>
    <w:rsid w:val="7F565496"/>
    <w:rsid w:val="7F620EF8"/>
    <w:rsid w:val="7F822E3C"/>
    <w:rsid w:val="7FDA5448"/>
    <w:rsid w:val="7FE9455C"/>
    <w:rsid w:val="7FED310D"/>
    <w:rsid w:val="AEF64F56"/>
    <w:rsid w:val="FFF6AE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50"/>
    <w:qFormat/>
    <w:uiPriority w:val="99"/>
    <w:pPr>
      <w:spacing w:after="120"/>
    </w:pPr>
  </w:style>
  <w:style w:type="paragraph" w:customStyle="1" w:styleId="11">
    <w:name w:val="Default"/>
    <w:basedOn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Plain Text"/>
    <w:basedOn w:val="1"/>
    <w:link w:val="58"/>
    <w:qFormat/>
    <w:uiPriority w:val="99"/>
    <w:rPr>
      <w:rFonts w:ascii="宋体" w:hAnsi="Courier New"/>
      <w:szCs w:val="20"/>
    </w:r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2"/>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9"/>
    <w:qFormat/>
    <w:uiPriority w:val="0"/>
    <w:pPr>
      <w:ind w:firstLine="420" w:firstLineChars="100"/>
    </w:pPr>
  </w:style>
  <w:style w:type="paragraph" w:styleId="27">
    <w:name w:val="Body Text First Indent 2"/>
    <w:basedOn w:val="13"/>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4"/>
    <w:semiHidden/>
    <w:qFormat/>
    <w:uiPriority w:val="0"/>
    <w:rPr>
      <w:b/>
      <w:bCs/>
      <w:kern w:val="2"/>
      <w:sz w:val="32"/>
      <w:szCs w:val="32"/>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我的正文"/>
    <w:basedOn w:val="13"/>
    <w:qFormat/>
    <w:uiPriority w:val="0"/>
    <w:pPr>
      <w:spacing w:line="500" w:lineRule="exact"/>
      <w:ind w:firstLine="480" w:firstLineChars="200"/>
    </w:pPr>
    <w:rPr>
      <w:sz w:val="24"/>
    </w:rPr>
  </w:style>
  <w:style w:type="paragraph" w:customStyle="1" w:styleId="40">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10"/>
    <w:qFormat/>
    <w:uiPriority w:val="0"/>
    <w:rPr>
      <w:rFonts w:ascii="ˎ̥" w:hAnsi="ˎ̥" w:cs="宋体"/>
      <w:b/>
      <w:sz w:val="32"/>
    </w:r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6"/>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2"/>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3"/>
    <w:qFormat/>
    <w:uiPriority w:val="0"/>
    <w:rPr>
      <w:kern w:val="2"/>
      <w:sz w:val="21"/>
      <w:szCs w:val="24"/>
    </w:rPr>
  </w:style>
  <w:style w:type="character" w:customStyle="1" w:styleId="73">
    <w:name w:val="NormalCharacter"/>
    <w:qFormat/>
    <w:uiPriority w:val="0"/>
  </w:style>
  <w:style w:type="character" w:customStyle="1" w:styleId="74">
    <w:name w:val="页眉 字符"/>
    <w:link w:val="20"/>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138</Words>
  <Characters>148</Characters>
  <Lines>146</Lines>
  <Paragraphs>41</Paragraphs>
  <TotalTime>2</TotalTime>
  <ScaleCrop>false</ScaleCrop>
  <LinksUpToDate>false</LinksUpToDate>
  <CharactersWithSpaces>169</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2020-09-11T19:28:00Z</dcterms:created>
  <dc:creator>gg1</dc:creator>
  <cp:lastModifiedBy>Kyomin</cp:lastModifiedBy>
  <cp:lastPrinted>2024-03-20T17:10:00Z</cp:lastPrinted>
  <dcterms:modified xsi:type="dcterms:W3CDTF">2026-07-17T15:59:14Z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08B1BC78ADCD85F115E0596A3115E313_43</vt:lpwstr>
  </property>
  <property fmtid="{D5CDD505-2E9C-101B-9397-08002B2CF9AE}" pid="4" name="KSOTemplateDocerSaveRecord">
    <vt:lpwstr>eyJoZGlkIjoiOWI3NGFhMjFjYzJmZTU2MmVjYjUwYWYwMmMxM2U4YWUiLCJ1c2VySWQiOiIxNDg4NzY3OTY3In0=</vt:lpwstr>
  </property>
</Properties>
</file>