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4399B">
      <w:pPr>
        <w:tabs>
          <w:tab w:val="left" w:pos="420"/>
        </w:tabs>
        <w:spacing w:line="1700" w:lineRule="exact"/>
        <w:jc w:val="center"/>
        <w:rPr>
          <w:rFonts w:hint="eastAsia" w:ascii="宋体" w:hAnsi="宋体" w:cs="宋体"/>
          <w:b/>
          <w:color w:val="000000" w:themeColor="text1"/>
          <w:spacing w:val="36"/>
          <w:sz w:val="72"/>
          <w:szCs w:val="72"/>
          <w:highlight w:val="none"/>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highlight w:val="none"/>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710683CE">
      <w:pPr>
        <w:tabs>
          <w:tab w:val="left" w:pos="315"/>
          <w:tab w:val="left" w:pos="8820"/>
        </w:tabs>
        <w:spacing w:line="500" w:lineRule="exact"/>
        <w:ind w:right="267" w:rightChars="127"/>
        <w:jc w:val="center"/>
        <w:rPr>
          <w:rFonts w:hint="eastAsia" w:ascii="宋体" w:hAnsi="宋体" w:cs="宋体"/>
          <w:b/>
          <w:bCs/>
          <w:color w:val="000000" w:themeColor="text1"/>
          <w:sz w:val="48"/>
          <w:highlight w:val="none"/>
          <w14:textFill>
            <w14:solidFill>
              <w14:schemeClr w14:val="tx1"/>
            </w14:solidFill>
          </w14:textFill>
        </w:rPr>
      </w:pPr>
    </w:p>
    <w:p w14:paraId="3D6A8CE8">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0CCA3A26">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03CC9454">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29C56977">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1774F396">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r>
        <w:rPr>
          <w:rFonts w:hint="eastAsia" w:ascii="宋体" w:hAnsi="宋体" w:cs="宋体"/>
          <w:b/>
          <w:bCs/>
          <w:color w:val="000000" w:themeColor="text1"/>
          <w:sz w:val="52"/>
          <w:highlight w:val="none"/>
          <w14:textFill>
            <w14:solidFill>
              <w14:schemeClr w14:val="tx1"/>
            </w14:solidFill>
          </w14:textFill>
        </w:rPr>
        <w:t>政 府 采 购 招 标 文 件</w:t>
      </w:r>
    </w:p>
    <w:p w14:paraId="6A443862">
      <w:pPr>
        <w:tabs>
          <w:tab w:val="left" w:pos="315"/>
          <w:tab w:val="left" w:pos="8820"/>
        </w:tabs>
        <w:spacing w:line="500" w:lineRule="exact"/>
        <w:ind w:right="267" w:rightChars="127"/>
        <w:jc w:val="center"/>
        <w:rPr>
          <w:rFonts w:hint="eastAsia" w:ascii="宋体" w:hAnsi="宋体" w:cs="宋体"/>
          <w:color w:val="000000" w:themeColor="text1"/>
          <w:sz w:val="44"/>
          <w:highlight w:val="none"/>
          <w14:textFill>
            <w14:solidFill>
              <w14:schemeClr w14:val="tx1"/>
            </w14:solidFill>
          </w14:textFill>
        </w:rPr>
      </w:pPr>
    </w:p>
    <w:p w14:paraId="4F6B82B2">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3CA93AE7">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41CFEC5C">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5632EBD3">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3542A609">
      <w:pPr>
        <w:tabs>
          <w:tab w:val="left" w:pos="315"/>
          <w:tab w:val="left" w:pos="8820"/>
        </w:tabs>
        <w:spacing w:line="500" w:lineRule="exact"/>
        <w:ind w:right="267" w:rightChars="127"/>
        <w:rPr>
          <w:rFonts w:hint="eastAsia" w:ascii="宋体" w:hAnsi="宋体" w:cs="宋体"/>
          <w:color w:val="000000" w:themeColor="text1"/>
          <w:sz w:val="36"/>
          <w:highlight w:val="none"/>
          <w14:textFill>
            <w14:solidFill>
              <w14:schemeClr w14:val="tx1"/>
            </w14:solidFill>
          </w14:textFill>
        </w:rPr>
      </w:pPr>
    </w:p>
    <w:p w14:paraId="1890685A">
      <w:pPr>
        <w:pStyle w:val="6"/>
        <w:spacing w:line="360" w:lineRule="auto"/>
        <w:ind w:left="1606" w:hanging="1606" w:hangingChars="500"/>
        <w:rPr>
          <w:rFonts w:hint="eastAsia" w:ascii="宋体" w:hAnsi="宋体" w:eastAsia="宋体" w:cs="宋体"/>
          <w:b/>
          <w:color w:val="000000" w:themeColor="text1"/>
          <w:sz w:val="32"/>
          <w:highlight w:val="none"/>
          <w14:textFill>
            <w14:solidFill>
              <w14:schemeClr w14:val="tx1"/>
            </w14:solidFill>
          </w14:textFill>
        </w:rPr>
      </w:pPr>
    </w:p>
    <w:p w14:paraId="78820EE6">
      <w:pPr>
        <w:pStyle w:val="6"/>
        <w:spacing w:line="360" w:lineRule="auto"/>
        <w:ind w:left="1606" w:hanging="1606" w:hangingChars="500"/>
        <w:rPr>
          <w:rFonts w:hint="eastAsia" w:ascii="宋体" w:hAnsi="宋体" w:eastAsia="宋体" w:cs="宋体"/>
          <w:b/>
          <w:color w:val="000000" w:themeColor="text1"/>
          <w:sz w:val="32"/>
          <w:highlight w:val="none"/>
          <w14:textFill>
            <w14:solidFill>
              <w14:schemeClr w14:val="tx1"/>
            </w14:solidFill>
          </w14:textFill>
        </w:rPr>
      </w:pPr>
    </w:p>
    <w:p w14:paraId="267B5A20">
      <w:pPr>
        <w:spacing w:line="640" w:lineRule="exact"/>
        <w:jc w:val="both"/>
        <w:rPr>
          <w:rFonts w:hint="eastAsia" w:ascii="宋体" w:hAnsi="宋体" w:eastAsia="宋体" w:cs="宋体"/>
          <w:b/>
          <w:color w:val="000000" w:themeColor="text1"/>
          <w:sz w:val="32"/>
          <w:highlight w:val="none"/>
          <w14:textFill>
            <w14:solidFill>
              <w14:schemeClr w14:val="tx1"/>
            </w14:solidFill>
          </w14:textFill>
        </w:rPr>
      </w:pPr>
      <w:r>
        <w:rPr>
          <w:rFonts w:hint="eastAsia" w:ascii="宋体" w:hAnsi="宋体" w:eastAsia="宋体" w:cs="宋体"/>
          <w:b/>
          <w:color w:val="000000" w:themeColor="text1"/>
          <w:sz w:val="32"/>
          <w:highlight w:val="none"/>
          <w14:textFill>
            <w14:solidFill>
              <w14:schemeClr w14:val="tx1"/>
            </w14:solidFill>
          </w14:textFill>
        </w:rPr>
        <w:t>项目名称：</w:t>
      </w:r>
      <w:r>
        <w:rPr>
          <w:rFonts w:hint="eastAsia" w:ascii="宋体" w:hAnsi="宋体" w:eastAsia="宋体" w:cs="宋体"/>
          <w:b/>
          <w:color w:val="000000" w:themeColor="text1"/>
          <w:sz w:val="32"/>
          <w:highlight w:val="none"/>
          <w:lang w:val="en-US" w:eastAsia="zh-CN"/>
          <w14:textFill>
            <w14:solidFill>
              <w14:schemeClr w14:val="tx1"/>
            </w14:solidFill>
          </w14:textFill>
        </w:rPr>
        <w:t>周口市第二人民医院(周口市老年医院）采购医疗设备项目</w:t>
      </w:r>
      <w:r>
        <w:rPr>
          <w:rFonts w:hint="eastAsia" w:ascii="宋体" w:hAnsi="宋体" w:eastAsia="宋体" w:cs="宋体"/>
          <w:b/>
          <w:color w:val="000000" w:themeColor="text1"/>
          <w:sz w:val="32"/>
          <w:highlight w:val="none"/>
          <w14:textFill>
            <w14:solidFill>
              <w14:schemeClr w14:val="tx1"/>
            </w14:solidFill>
          </w14:textFill>
        </w:rPr>
        <w:t xml:space="preserve">  </w:t>
      </w:r>
    </w:p>
    <w:p w14:paraId="1C326AC4">
      <w:pPr>
        <w:pStyle w:val="6"/>
        <w:spacing w:line="360" w:lineRule="auto"/>
        <w:ind w:left="1606" w:hanging="1606" w:hangingChars="500"/>
        <w:rPr>
          <w:rFonts w:hint="eastAsia" w:ascii="宋体" w:hAnsi="宋体" w:eastAsia="宋体"/>
          <w:b/>
          <w:color w:val="000000" w:themeColor="text1"/>
          <w:spacing w:val="-4"/>
          <w:sz w:val="84"/>
          <w:highlight w:val="none"/>
          <w:lang w:val="en-US" w:eastAsia="zh-CN"/>
          <w14:textFill>
            <w14:solidFill>
              <w14:schemeClr w14:val="tx1"/>
            </w14:solidFill>
          </w14:textFill>
        </w:rPr>
      </w:pPr>
      <w:r>
        <w:rPr>
          <w:rFonts w:hint="eastAsia" w:ascii="宋体" w:hAnsi="宋体" w:eastAsia="宋体" w:cs="宋体"/>
          <w:color w:val="000000" w:themeColor="text1"/>
          <w:sz w:val="32"/>
          <w:highlight w:val="none"/>
          <w14:textFill>
            <w14:solidFill>
              <w14:schemeClr w14:val="tx1"/>
            </w14:solidFill>
          </w14:textFill>
        </w:rPr>
        <w:t>项目编号：</w:t>
      </w:r>
      <w:r>
        <w:rPr>
          <w:rFonts w:hint="eastAsia" w:ascii="宋体" w:hAnsi="Times New Roman" w:eastAsia="宋体" w:cs="Times New Roman"/>
          <w:sz w:val="30"/>
        </w:rPr>
        <w:t>周财招标采购-2026-32</w:t>
      </w:r>
      <w:r>
        <w:rPr>
          <w:rFonts w:hint="eastAsia" w:ascii="宋体" w:hAnsi="Times New Roman" w:eastAsia="宋体" w:cs="Times New Roman"/>
          <w:sz w:val="30"/>
          <w:lang w:val="en-US" w:eastAsia="zh-CN"/>
        </w:rPr>
        <w:t xml:space="preserve"> </w:t>
      </w:r>
      <w:r>
        <w:rPr>
          <w:rFonts w:hint="eastAsia" w:ascii="宋体" w:hAnsi="宋体" w:eastAsia="宋体" w:cs="宋体"/>
          <w:color w:val="000000" w:themeColor="text1"/>
          <w:sz w:val="32"/>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32"/>
          <w:highlight w:val="none"/>
          <w:lang w:val="en-US" w:eastAsia="zh-CN"/>
          <w14:textFill>
            <w14:solidFill>
              <w14:schemeClr w14:val="tx1"/>
            </w14:solidFill>
          </w14:textFill>
        </w:rPr>
        <w:t xml:space="preserve"> </w:t>
      </w:r>
    </w:p>
    <w:p w14:paraId="7469EB5F">
      <w:pPr>
        <w:tabs>
          <w:tab w:val="left" w:pos="315"/>
          <w:tab w:val="left" w:pos="8820"/>
        </w:tabs>
        <w:spacing w:line="500" w:lineRule="exact"/>
        <w:ind w:right="267" w:rightChars="127"/>
        <w:jc w:val="center"/>
        <w:rPr>
          <w:rFonts w:hint="eastAsia" w:ascii="宋体" w:hAnsi="宋体" w:eastAsia="宋体" w:cs="宋体"/>
          <w:b/>
          <w:bCs/>
          <w:color w:val="000000" w:themeColor="text1"/>
          <w:sz w:val="36"/>
          <w:highlight w:val="none"/>
          <w14:textFill>
            <w14:solidFill>
              <w14:schemeClr w14:val="tx1"/>
            </w14:solidFill>
          </w14:textFill>
        </w:rPr>
      </w:pPr>
    </w:p>
    <w:p w14:paraId="51AC3C5F">
      <w:pPr>
        <w:tabs>
          <w:tab w:val="left" w:pos="315"/>
          <w:tab w:val="left" w:pos="8820"/>
        </w:tabs>
        <w:spacing w:line="500" w:lineRule="exact"/>
        <w:ind w:right="267" w:rightChars="127"/>
        <w:jc w:val="center"/>
        <w:rPr>
          <w:rFonts w:hint="default" w:ascii="宋体" w:hAnsi="宋体" w:eastAsia="宋体" w:cs="宋体"/>
          <w:b/>
          <w:bCs/>
          <w:color w:val="000000" w:themeColor="text1"/>
          <w:sz w:val="36"/>
          <w:highlight w:val="none"/>
          <w:lang w:val="en-US" w:eastAsia="zh-CN"/>
          <w14:textFill>
            <w14:solidFill>
              <w14:schemeClr w14:val="tx1"/>
            </w14:solidFill>
          </w14:textFill>
        </w:rPr>
      </w:pPr>
      <w:r>
        <w:rPr>
          <w:rFonts w:hint="eastAsia" w:ascii="宋体" w:hAnsi="宋体" w:cs="宋体"/>
          <w:b/>
          <w:bCs/>
          <w:color w:val="000000" w:themeColor="text1"/>
          <w:sz w:val="36"/>
          <w:highlight w:val="none"/>
          <w:lang w:val="en-US" w:eastAsia="zh-CN"/>
          <w14:textFill>
            <w14:solidFill>
              <w14:schemeClr w14:val="tx1"/>
            </w14:solidFill>
          </w14:textFill>
        </w:rPr>
        <w:t>2026</w:t>
      </w:r>
      <w:r>
        <w:rPr>
          <w:rFonts w:hint="eastAsia" w:ascii="宋体" w:hAnsi="宋体" w:eastAsia="宋体" w:cs="宋体"/>
          <w:b/>
          <w:bCs/>
          <w:color w:val="000000" w:themeColor="text1"/>
          <w:sz w:val="36"/>
          <w:highlight w:val="none"/>
          <w14:textFill>
            <w14:solidFill>
              <w14:schemeClr w14:val="tx1"/>
            </w14:solidFill>
          </w14:textFill>
        </w:rPr>
        <w:t>年</w:t>
      </w:r>
      <w:r>
        <w:rPr>
          <w:rFonts w:hint="eastAsia" w:ascii="宋体" w:hAnsi="宋体" w:cs="宋体"/>
          <w:b/>
          <w:bCs/>
          <w:color w:val="000000" w:themeColor="text1"/>
          <w:sz w:val="36"/>
          <w:highlight w:val="none"/>
          <w:lang w:val="en-US" w:eastAsia="zh-CN"/>
          <w14:textFill>
            <w14:solidFill>
              <w14:schemeClr w14:val="tx1"/>
            </w14:solidFill>
          </w14:textFill>
        </w:rPr>
        <w:t>07</w:t>
      </w:r>
      <w:r>
        <w:rPr>
          <w:rFonts w:hint="eastAsia" w:ascii="宋体" w:hAnsi="宋体" w:eastAsia="宋体" w:cs="宋体"/>
          <w:b/>
          <w:bCs/>
          <w:color w:val="000000" w:themeColor="text1"/>
          <w:sz w:val="36"/>
          <w:highlight w:val="none"/>
          <w14:textFill>
            <w14:solidFill>
              <w14:schemeClr w14:val="tx1"/>
            </w14:solidFill>
          </w14:textFill>
        </w:rPr>
        <w:t>月</w:t>
      </w:r>
      <w:r>
        <w:rPr>
          <w:rFonts w:hint="eastAsia" w:ascii="宋体" w:hAnsi="宋体" w:cs="宋体"/>
          <w:b/>
          <w:bCs/>
          <w:color w:val="000000" w:themeColor="text1"/>
          <w:sz w:val="36"/>
          <w:highlight w:val="none"/>
          <w:lang w:val="en-US" w:eastAsia="zh-CN"/>
          <w14:textFill>
            <w14:solidFill>
              <w14:schemeClr w14:val="tx1"/>
            </w14:solidFill>
          </w14:textFill>
        </w:rPr>
        <w:t xml:space="preserve"> 14  </w:t>
      </w:r>
      <w:r>
        <w:rPr>
          <w:rFonts w:hint="eastAsia" w:ascii="宋体" w:hAnsi="宋体" w:eastAsia="宋体" w:cs="宋体"/>
          <w:b/>
          <w:bCs/>
          <w:color w:val="000000" w:themeColor="text1"/>
          <w:sz w:val="36"/>
          <w:highlight w:val="none"/>
          <w:lang w:val="en-US" w:eastAsia="zh-CN"/>
          <w14:textFill>
            <w14:solidFill>
              <w14:schemeClr w14:val="tx1"/>
            </w14:solidFill>
          </w14:textFill>
        </w:rPr>
        <w:t>日</w:t>
      </w:r>
    </w:p>
    <w:p w14:paraId="34B71FF6">
      <w:pPr>
        <w:spacing w:line="360" w:lineRule="auto"/>
        <w:jc w:val="left"/>
        <w:rPr>
          <w:rFonts w:hint="eastAsia" w:ascii="宋体" w:hAnsi="宋体"/>
          <w:bCs/>
          <w:color w:val="000000" w:themeColor="text1"/>
          <w:spacing w:val="-4"/>
          <w:sz w:val="44"/>
          <w:highlight w:val="none"/>
          <w14:textFill>
            <w14:solidFill>
              <w14:schemeClr w14:val="tx1"/>
            </w14:solidFill>
          </w14:textFill>
        </w:rPr>
      </w:pPr>
    </w:p>
    <w:p w14:paraId="6313F69C">
      <w:pPr>
        <w:pStyle w:val="6"/>
        <w:jc w:val="center"/>
        <w:rPr>
          <w:rFonts w:hint="eastAsia" w:ascii="宋体" w:hAnsi="宋体" w:eastAsia="宋体" w:cs="宋体"/>
          <w:color w:val="000000" w:themeColor="text1"/>
          <w:highlight w:val="none"/>
          <w14:textFill>
            <w14:solidFill>
              <w14:schemeClr w14:val="tx1"/>
            </w14:solidFill>
          </w14:textFill>
        </w:rPr>
      </w:pPr>
    </w:p>
    <w:p w14:paraId="76213BD0">
      <w:pPr>
        <w:pStyle w:val="6"/>
        <w:jc w:val="center"/>
        <w:rPr>
          <w:rFonts w:hint="eastAsia" w:ascii="宋体" w:hAnsi="宋体" w:eastAsia="宋体" w:cs="宋体"/>
          <w:color w:val="000000" w:themeColor="text1"/>
          <w:highlight w:val="none"/>
          <w14:textFill>
            <w14:solidFill>
              <w14:schemeClr w14:val="tx1"/>
            </w14:solidFill>
          </w14:textFill>
        </w:rPr>
      </w:pPr>
    </w:p>
    <w:p w14:paraId="559790C3">
      <w:pPr>
        <w:pStyle w:val="6"/>
        <w:jc w:val="center"/>
        <w:rPr>
          <w:rFonts w:hint="eastAsia" w:ascii="宋体" w:hAnsi="宋体" w:eastAsia="宋体" w:cs="宋体"/>
          <w:color w:val="000000" w:themeColor="text1"/>
          <w:highlight w:val="none"/>
          <w14:textFill>
            <w14:solidFill>
              <w14:schemeClr w14:val="tx1"/>
            </w14:solidFill>
          </w14:textFill>
        </w:rPr>
      </w:pPr>
    </w:p>
    <w:p w14:paraId="75F05F10">
      <w:pPr>
        <w:pStyle w:val="6"/>
        <w:jc w:val="center"/>
        <w:rPr>
          <w:rFonts w:hint="eastAsia" w:ascii="宋体" w:hAnsi="宋体" w:eastAsia="宋体" w:cs="宋体"/>
          <w:color w:val="000000" w:themeColor="text1"/>
          <w:highlight w:val="none"/>
          <w14:textFill>
            <w14:solidFill>
              <w14:schemeClr w14:val="tx1"/>
            </w14:solidFill>
          </w14:textFill>
        </w:rPr>
      </w:pPr>
    </w:p>
    <w:p w14:paraId="049BF3F6">
      <w:pPr>
        <w:pStyle w:val="6"/>
        <w:jc w:val="center"/>
        <w:rPr>
          <w:rFonts w:hint="eastAsia" w:ascii="宋体" w:hAnsi="宋体" w:eastAsia="宋体" w:cs="宋体"/>
          <w:color w:val="000000" w:themeColor="text1"/>
          <w:highlight w:val="none"/>
          <w14:textFill>
            <w14:solidFill>
              <w14:schemeClr w14:val="tx1"/>
            </w14:solidFill>
          </w14:textFill>
        </w:rPr>
      </w:pPr>
    </w:p>
    <w:p w14:paraId="3BD49288">
      <w:pPr>
        <w:pStyle w:val="6"/>
        <w:jc w:val="center"/>
        <w:rPr>
          <w:rFonts w:hint="eastAsia" w:ascii="宋体" w:hAnsi="宋体" w:eastAsia="宋体" w:cs="宋体"/>
          <w:color w:val="000000" w:themeColor="text1"/>
          <w:highlight w:val="none"/>
          <w14:textFill>
            <w14:solidFill>
              <w14:schemeClr w14:val="tx1"/>
            </w14:solidFill>
          </w14:textFill>
        </w:rPr>
      </w:pPr>
    </w:p>
    <w:p w14:paraId="301E9119">
      <w:pPr>
        <w:tabs>
          <w:tab w:val="left" w:pos="4620"/>
        </w:tabs>
        <w:spacing w:line="500" w:lineRule="exact"/>
        <w:jc w:val="center"/>
        <w:rPr>
          <w:rFonts w:hint="eastAsia"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目  录</w:t>
      </w:r>
    </w:p>
    <w:p w14:paraId="01B9D685">
      <w:pPr>
        <w:pStyle w:val="17"/>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bookmarkStart w:id="0" w:name="_Hlt526418134"/>
      <w:bookmarkEnd w:id="0"/>
      <w:bookmarkStart w:id="1" w:name="_Hlt533241375"/>
      <w:bookmarkEnd w:id="1"/>
      <w:bookmarkStart w:id="2" w:name="_Hlt519045295"/>
      <w:bookmarkEnd w:id="2"/>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instrText xml:space="preserve"> TOC \o "1-3" \h \z </w:instrTex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"_Toc40975436"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第一章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招标公告</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PAGEREF _Toc40975436 \h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ascii="Times New Roman" w:hAnsi="Times New Roman" w:eastAsia="宋体" w:cs="Times New Roman"/>
          <w:b/>
          <w:smallCaps/>
          <w:color w:val="000000" w:themeColor="text1"/>
          <w:sz w:val="24"/>
          <w:szCs w:val="22"/>
          <w:highlight w:val="none"/>
          <w14:textFill>
            <w14:solidFill>
              <w14:schemeClr w14:val="tx1"/>
            </w14:solidFill>
          </w14:textFill>
        </w:rPr>
        <w:t>3</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6B3450F3">
      <w:pPr>
        <w:pStyle w:val="17"/>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"_Toc40975437"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第二章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投标人须知前附表</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6</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447D8A79">
      <w:pPr>
        <w:pStyle w:val="17"/>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"_Toc40975438"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第三章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货物需求一览表</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8</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5F3DD7A7">
      <w:pPr>
        <w:pStyle w:val="17"/>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"_Toc40975439"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第四章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评标</w:t>
      </w:r>
      <w:bookmarkStart w:id="3" w:name="_Hlt47544340"/>
      <w:bookmarkStart w:id="4" w:name="_Hlt47544341"/>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办</w:t>
      </w:r>
      <w:bookmarkEnd w:id="3"/>
      <w:bookmarkEnd w:id="4"/>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法</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p>
    <w:p w14:paraId="7D0B4AD1">
      <w:pPr>
        <w:pStyle w:val="17"/>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"_Toc40975441"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第五章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投标人须知</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1</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6</w:t>
      </w:r>
    </w:p>
    <w:p w14:paraId="1868339F">
      <w:pPr>
        <w:pStyle w:val="17"/>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begin"/>
      </w:r>
      <w:r>
        <w:rPr>
          <w:rFonts w:ascii="Times New Roman" w:hAnsi="Times New Roman" w:eastAsia="宋体" w:cs="Times New Roman"/>
          <w:b/>
          <w:smallCaps/>
          <w:color w:val="000000" w:themeColor="text1"/>
          <w:sz w:val="24"/>
          <w:szCs w:val="22"/>
          <w:highlight w:val="none"/>
          <w14:textFill>
            <w14:solidFill>
              <w14:schemeClr w14:val="tx1"/>
            </w14:solidFill>
          </w14:textFill>
        </w:rPr>
        <w:instrText xml:space="preserve"> HYPERLINK \l "_Toc40975448" </w:instrTex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separate"/>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第六章</w:t>
      </w:r>
      <w:r>
        <w:rPr>
          <w:rFonts w:ascii="Times New Roman" w:hAnsi="Times New Roman" w:eastAsia="宋体" w:cs="Times New Roman"/>
          <w:b/>
          <w:smallCaps/>
          <w:color w:val="000000" w:themeColor="text1"/>
          <w:sz w:val="24"/>
          <w:szCs w:val="22"/>
          <w:highlight w:val="none"/>
          <w14:textFill>
            <w14:solidFill>
              <w14:schemeClr w14:val="tx1"/>
            </w14:solidFill>
          </w14:textFill>
        </w:rPr>
        <w:t xml:space="preserve"> </w:t>
      </w:r>
      <w:r>
        <w:rPr>
          <w:rFonts w:hint="eastAsia" w:ascii="Times New Roman" w:hAnsi="Times New Roman" w:eastAsia="宋体" w:cs="Times New Roman"/>
          <w:b/>
          <w:smallCaps/>
          <w:color w:val="000000" w:themeColor="text1"/>
          <w:sz w:val="24"/>
          <w:szCs w:val="22"/>
          <w:highlight w:val="none"/>
          <w:lang w:val="en-US"/>
          <w14:textFill>
            <w14:solidFill>
              <w14:schemeClr w14:val="tx1"/>
            </w14:solidFill>
          </w14:textFill>
        </w:rPr>
        <w:t>周口市政府采购合同（货物类）标准文本</w:t>
      </w:r>
      <w:r>
        <w:rPr>
          <w:rFonts w:hint="eastAsia"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t>、</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合同签订指引</w:t>
      </w:r>
      <w:r>
        <w:rPr>
          <w:rFonts w:hint="eastAsia" w:ascii="Times New Roman" w:hAnsi="Times New Roman" w:eastAsia="宋体" w:cs="Times New Roman"/>
          <w:b/>
          <w:smallCaps/>
          <w:color w:val="000000" w:themeColor="text1"/>
          <w:sz w:val="24"/>
          <w:szCs w:val="22"/>
          <w:highlight w:val="none"/>
          <w:lang w:eastAsia="zh-CN"/>
          <w14:textFill>
            <w14:solidFill>
              <w14:schemeClr w14:val="tx1"/>
            </w14:solidFill>
          </w14:textFill>
        </w:rPr>
        <w:t>、</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供应商履约验收指引</w:t>
      </w:r>
      <w:r>
        <w:rPr>
          <w:rFonts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2</w:t>
      </w:r>
      <w:r>
        <w:rPr>
          <w:rFonts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9</w:t>
      </w:r>
    </w:p>
    <w:p w14:paraId="15F59C2F">
      <w:pPr>
        <w:pStyle w:val="17"/>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第七章 投标文件格式</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36</w:t>
      </w:r>
    </w:p>
    <w:p w14:paraId="09399BC3">
      <w:pPr>
        <w:pStyle w:val="17"/>
        <w:tabs>
          <w:tab w:val="right" w:leader="dot" w:pos="8380"/>
        </w:tabs>
        <w:spacing w:line="360" w:lineRule="auto"/>
        <w:rPr>
          <w:rFonts w:hint="default"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周口市政府采购合同融资政策告知函</w:t>
      </w: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tab/>
      </w:r>
      <w:r>
        <w:rPr>
          <w:rFonts w:hint="eastAsia" w:ascii="Times New Roman" w:hAnsi="Times New Roman" w:eastAsia="宋体" w:cs="Times New Roman"/>
          <w:b/>
          <w:smallCaps/>
          <w:color w:val="000000" w:themeColor="text1"/>
          <w:sz w:val="24"/>
          <w:szCs w:val="22"/>
          <w:highlight w:val="none"/>
          <w:lang w:val="en-US" w:eastAsia="zh-CN"/>
          <w14:textFill>
            <w14:solidFill>
              <w14:schemeClr w14:val="tx1"/>
            </w14:solidFill>
          </w14:textFill>
        </w:rPr>
        <w:t>48</w:t>
      </w:r>
    </w:p>
    <w:p w14:paraId="2E64228A">
      <w:pPr>
        <w:pStyle w:val="17"/>
        <w:tabs>
          <w:tab w:val="right" w:leader="dot" w:pos="8380"/>
        </w:tabs>
        <w:spacing w:line="360" w:lineRule="auto"/>
        <w:rPr>
          <w:rFonts w:ascii="Times New Roman" w:hAnsi="Times New Roman" w:eastAsia="宋体" w:cs="Times New Roman"/>
          <w:b/>
          <w:smallCaps/>
          <w:color w:val="000000" w:themeColor="text1"/>
          <w:sz w:val="24"/>
          <w:szCs w:val="22"/>
          <w:highlight w:val="none"/>
          <w14:textFill>
            <w14:solidFill>
              <w14:schemeClr w14:val="tx1"/>
            </w14:solidFill>
          </w14:textFill>
        </w:rPr>
      </w:pPr>
    </w:p>
    <w:p w14:paraId="1FA65455">
      <w:pPr>
        <w:rPr>
          <w:rFonts w:hint="eastAsia"/>
          <w:color w:val="000000" w:themeColor="text1"/>
          <w:highlight w:val="none"/>
          <w14:textFill>
            <w14:solidFill>
              <w14:schemeClr w14:val="tx1"/>
            </w14:solidFill>
          </w14:textFill>
        </w:rPr>
      </w:pPr>
    </w:p>
    <w:p w14:paraId="5AE58A74">
      <w:pPr>
        <w:rPr>
          <w:color w:val="000000" w:themeColor="text1"/>
          <w:highlight w:val="none"/>
          <w14:textFill>
            <w14:solidFill>
              <w14:schemeClr w14:val="tx1"/>
            </w14:solidFill>
          </w14:textFill>
        </w:rPr>
      </w:pPr>
    </w:p>
    <w:p w14:paraId="22F4EDE3">
      <w:pPr>
        <w:pStyle w:val="17"/>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p>
    <w:p w14:paraId="376B2E3E">
      <w:pPr>
        <w:pStyle w:val="17"/>
        <w:tabs>
          <w:tab w:val="right" w:leader="dot" w:pos="8380"/>
        </w:tabs>
        <w:spacing w:line="360" w:lineRule="auto"/>
        <w:rPr>
          <w:rFonts w:hint="eastAsia" w:ascii="Times New Roman" w:hAnsi="Times New Roman" w:eastAsia="宋体" w:cs="Times New Roman"/>
          <w:b/>
          <w:smallCaps/>
          <w:color w:val="000000" w:themeColor="text1"/>
          <w:sz w:val="24"/>
          <w:szCs w:val="22"/>
          <w:highlight w:val="none"/>
          <w14:textFill>
            <w14:solidFill>
              <w14:schemeClr w14:val="tx1"/>
            </w14:solidFill>
          </w14:textFill>
        </w:rPr>
      </w:pPr>
      <w:r>
        <w:rPr>
          <w:rFonts w:hint="eastAsia" w:ascii="Times New Roman" w:hAnsi="Times New Roman" w:eastAsia="宋体" w:cs="Times New Roman"/>
          <w:b/>
          <w:smallCaps/>
          <w:color w:val="000000" w:themeColor="text1"/>
          <w:sz w:val="24"/>
          <w:szCs w:val="22"/>
          <w:highlight w:val="none"/>
          <w14:textFill>
            <w14:solidFill>
              <w14:schemeClr w14:val="tx1"/>
            </w14:solidFill>
          </w14:textFill>
        </w:rPr>
        <w:fldChar w:fldCharType="end"/>
      </w:r>
    </w:p>
    <w:p w14:paraId="0E20A58A">
      <w:pPr>
        <w:rPr>
          <w:rFonts w:hint="eastAsia" w:ascii="宋体" w:hAnsi="宋体" w:cs="宋体"/>
          <w:b/>
          <w:bCs/>
          <w:caps/>
          <w:color w:val="000000" w:themeColor="text1"/>
          <w:sz w:val="24"/>
          <w:szCs w:val="24"/>
          <w:highlight w:val="none"/>
          <w14:textFill>
            <w14:solidFill>
              <w14:schemeClr w14:val="tx1"/>
            </w14:solidFill>
          </w14:textFill>
        </w:rPr>
      </w:pPr>
    </w:p>
    <w:p w14:paraId="3640DE8B">
      <w:pPr>
        <w:rPr>
          <w:rFonts w:hint="eastAsia" w:ascii="宋体" w:hAnsi="宋体" w:cs="宋体"/>
          <w:b/>
          <w:bCs/>
          <w:caps/>
          <w:color w:val="000000" w:themeColor="text1"/>
          <w:sz w:val="24"/>
          <w:szCs w:val="24"/>
          <w:highlight w:val="none"/>
          <w14:textFill>
            <w14:solidFill>
              <w14:schemeClr w14:val="tx1"/>
            </w14:solidFill>
          </w14:textFill>
        </w:rPr>
      </w:pPr>
    </w:p>
    <w:p w14:paraId="265C11F6">
      <w:pPr>
        <w:rPr>
          <w:rFonts w:hint="eastAsia" w:ascii="宋体" w:hAnsi="宋体" w:cs="宋体"/>
          <w:b/>
          <w:bCs/>
          <w:caps/>
          <w:color w:val="000000" w:themeColor="text1"/>
          <w:sz w:val="24"/>
          <w:szCs w:val="24"/>
          <w:highlight w:val="none"/>
          <w14:textFill>
            <w14:solidFill>
              <w14:schemeClr w14:val="tx1"/>
            </w14:solidFill>
          </w14:textFill>
        </w:rPr>
      </w:pPr>
    </w:p>
    <w:p w14:paraId="76429D2C">
      <w:pPr>
        <w:rPr>
          <w:rFonts w:hint="eastAsia" w:ascii="宋体" w:hAnsi="宋体" w:cs="宋体"/>
          <w:b/>
          <w:bCs/>
          <w:caps/>
          <w:color w:val="000000" w:themeColor="text1"/>
          <w:sz w:val="24"/>
          <w:szCs w:val="24"/>
          <w:highlight w:val="none"/>
          <w14:textFill>
            <w14:solidFill>
              <w14:schemeClr w14:val="tx1"/>
            </w14:solidFill>
          </w14:textFill>
        </w:rPr>
      </w:pPr>
    </w:p>
    <w:p w14:paraId="51F41D38">
      <w:pPr>
        <w:rPr>
          <w:rFonts w:hint="eastAsia" w:ascii="宋体" w:hAnsi="宋体" w:cs="宋体"/>
          <w:b/>
          <w:bCs/>
          <w:caps/>
          <w:color w:val="000000" w:themeColor="text1"/>
          <w:sz w:val="24"/>
          <w:szCs w:val="24"/>
          <w:highlight w:val="none"/>
          <w14:textFill>
            <w14:solidFill>
              <w14:schemeClr w14:val="tx1"/>
            </w14:solidFill>
          </w14:textFill>
        </w:rPr>
      </w:pPr>
    </w:p>
    <w:p w14:paraId="771F1BE5">
      <w:pPr>
        <w:rPr>
          <w:rFonts w:hint="eastAsia" w:ascii="宋体" w:hAnsi="宋体" w:cs="宋体"/>
          <w:b/>
          <w:bCs/>
          <w:caps/>
          <w:color w:val="000000" w:themeColor="text1"/>
          <w:sz w:val="24"/>
          <w:szCs w:val="24"/>
          <w:highlight w:val="none"/>
          <w14:textFill>
            <w14:solidFill>
              <w14:schemeClr w14:val="tx1"/>
            </w14:solidFill>
          </w14:textFill>
        </w:rPr>
      </w:pPr>
    </w:p>
    <w:p w14:paraId="49E65C6A">
      <w:pPr>
        <w:rPr>
          <w:rFonts w:hint="eastAsia" w:ascii="宋体" w:hAnsi="宋体" w:cs="宋体"/>
          <w:b/>
          <w:bCs/>
          <w:caps/>
          <w:color w:val="000000" w:themeColor="text1"/>
          <w:sz w:val="24"/>
          <w:szCs w:val="24"/>
          <w:highlight w:val="none"/>
          <w14:textFill>
            <w14:solidFill>
              <w14:schemeClr w14:val="tx1"/>
            </w14:solidFill>
          </w14:textFill>
        </w:rPr>
      </w:pPr>
    </w:p>
    <w:p w14:paraId="10AC0278">
      <w:pPr>
        <w:rPr>
          <w:rFonts w:hint="eastAsia" w:ascii="宋体" w:hAnsi="宋体" w:cs="宋体"/>
          <w:b/>
          <w:bCs/>
          <w:caps/>
          <w:color w:val="000000" w:themeColor="text1"/>
          <w:sz w:val="24"/>
          <w:szCs w:val="24"/>
          <w:highlight w:val="none"/>
          <w14:textFill>
            <w14:solidFill>
              <w14:schemeClr w14:val="tx1"/>
            </w14:solidFill>
          </w14:textFill>
        </w:rPr>
      </w:pPr>
    </w:p>
    <w:p w14:paraId="64C61F81">
      <w:pPr>
        <w:rPr>
          <w:rFonts w:hint="eastAsia" w:ascii="宋体" w:hAnsi="宋体" w:cs="宋体"/>
          <w:b/>
          <w:bCs/>
          <w:caps/>
          <w:color w:val="000000" w:themeColor="text1"/>
          <w:sz w:val="24"/>
          <w:szCs w:val="24"/>
          <w:highlight w:val="none"/>
          <w14:textFill>
            <w14:solidFill>
              <w14:schemeClr w14:val="tx1"/>
            </w14:solidFill>
          </w14:textFill>
        </w:rPr>
      </w:pPr>
    </w:p>
    <w:p w14:paraId="284F91CB">
      <w:pPr>
        <w:jc w:val="center"/>
        <w:rPr>
          <w:rFonts w:hint="eastAsia" w:ascii="宋体" w:hAnsi="宋体" w:cs="宋体"/>
          <w:b/>
          <w:bCs/>
          <w:caps/>
          <w:color w:val="000000" w:themeColor="text1"/>
          <w:sz w:val="24"/>
          <w:szCs w:val="24"/>
          <w:highlight w:val="none"/>
          <w14:textFill>
            <w14:solidFill>
              <w14:schemeClr w14:val="tx1"/>
            </w14:solidFill>
          </w14:textFill>
        </w:rPr>
      </w:pPr>
      <w:r>
        <w:rPr>
          <w:rFonts w:ascii="宋体" w:hAnsi="宋体" w:cs="宋体"/>
          <w:b/>
          <w:bCs/>
          <w:caps/>
          <w:color w:val="000000" w:themeColor="text1"/>
          <w:sz w:val="24"/>
          <w:szCs w:val="24"/>
          <w:highlight w:val="none"/>
          <w14:textFill>
            <w14:solidFill>
              <w14:schemeClr w14:val="tx1"/>
            </w14:solidFill>
          </w14:textFill>
        </w:rPr>
        <w:br w:type="page"/>
      </w:r>
    </w:p>
    <w:p w14:paraId="66DAD204">
      <w:pPr>
        <w:pStyle w:val="3"/>
        <w:spacing w:before="0" w:after="0" w:line="240" w:lineRule="auto"/>
        <w:ind w:firstLine="0"/>
        <w:rPr>
          <w:rFonts w:hint="eastAsia" w:ascii="宋体" w:hAnsi="宋体" w:eastAsia="宋体" w:cs="宋体"/>
          <w:color w:val="000000" w:themeColor="text1"/>
          <w:highlight w:val="none"/>
          <w14:textFill>
            <w14:solidFill>
              <w14:schemeClr w14:val="tx1"/>
            </w14:solidFill>
          </w14:textFill>
        </w:rPr>
      </w:pPr>
      <w:bookmarkStart w:id="5" w:name="_Toc28426_WPSOffice_Level1"/>
      <w:bookmarkStart w:id="6" w:name="_Toc40975436"/>
      <w:r>
        <w:rPr>
          <w:rFonts w:hint="eastAsia" w:ascii="宋体" w:hAnsi="宋体" w:eastAsia="宋体" w:cs="宋体"/>
          <w:color w:val="000000" w:themeColor="text1"/>
          <w:highlight w:val="none"/>
          <w14:textFill>
            <w14:solidFill>
              <w14:schemeClr w14:val="tx1"/>
            </w14:solidFill>
          </w14:textFill>
        </w:rPr>
        <w:t>第一章  招标公告</w:t>
      </w:r>
      <w:bookmarkEnd w:id="5"/>
      <w:bookmarkEnd w:id="6"/>
    </w:p>
    <w:p w14:paraId="013FBE0A">
      <w:pPr>
        <w:pStyle w:val="18"/>
        <w:shd w:val="clear" w:color="auto" w:fill="FFFFFF"/>
        <w:snapToGrid w:val="0"/>
        <w:spacing w:before="0" w:beforeAutospacing="0" w:after="0" w:afterAutospacing="0" w:line="360" w:lineRule="auto"/>
        <w:ind w:firstLine="480"/>
        <w:jc w:val="both"/>
        <w:rPr>
          <w:rFonts w:hint="eastAsia" w:cs="宋体"/>
          <w:color w:val="000000" w:themeColor="text1"/>
          <w:highlight w:val="none"/>
          <w:shd w:val="clear" w:color="auto" w:fill="FFFFFF"/>
          <w14:textFill>
            <w14:solidFill>
              <w14:schemeClr w14:val="tx1"/>
            </w14:solidFill>
          </w14:textFill>
        </w:rPr>
      </w:pPr>
    </w:p>
    <w:p w14:paraId="7F5D1D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7" w:name="_Hlt510343011"/>
      <w:bookmarkStart w:id="8" w:name="_Hlt510342998"/>
      <w:bookmarkStart w:id="9" w:name="_Toc7329_WPSOffice_Level1"/>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4DCBEC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周口市第二人民医院(周口市老年医院）采购医疗设备项目 (项目名称)的潜在投标人应在周口市公共资源交易中心网（http://jyzx.zhoukou.gov.cn）获取招标文件，并于202</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8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5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日10点00分（北京时间）前递交投标文件。</w:t>
      </w:r>
    </w:p>
    <w:p w14:paraId="4D8FD7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10" w:name="_Toc35393621"/>
      <w:bookmarkStart w:id="11" w:name="_Toc28359002"/>
      <w:bookmarkStart w:id="12" w:name="_Toc28359079"/>
      <w:bookmarkStart w:id="13" w:name="_Toc35393790"/>
      <w:bookmarkStart w:id="14" w:name="_Hlk24379207"/>
      <w:r>
        <w:rPr>
          <w:rFonts w:hint="eastAsia" w:ascii="宋体" w:hAnsi="宋体" w:eastAsia="宋体" w:cs="宋体"/>
          <w:i w:val="0"/>
          <w:iCs w:val="0"/>
          <w:color w:val="000000" w:themeColor="text1"/>
          <w:sz w:val="24"/>
          <w:szCs w:val="24"/>
          <w:highlight w:val="none"/>
          <w14:textFill>
            <w14:solidFill>
              <w14:schemeClr w14:val="tx1"/>
            </w14:solidFill>
          </w14:textFill>
        </w:rPr>
        <w:t>一、项目基本情况</w:t>
      </w:r>
      <w:bookmarkEnd w:id="10"/>
      <w:bookmarkEnd w:id="11"/>
      <w:bookmarkEnd w:id="12"/>
      <w:bookmarkEnd w:id="13"/>
    </w:p>
    <w:p w14:paraId="4E7D6D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项目编号：周财招标采购-2026-32  </w:t>
      </w:r>
    </w:p>
    <w:p w14:paraId="394672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项目名称：</w:t>
      </w:r>
      <w:bookmarkEnd w:id="14"/>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周口市第二人民医院(周口市老年医院）采购医疗设备项目</w:t>
      </w:r>
    </w:p>
    <w:p w14:paraId="113377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预算金额：</w:t>
      </w:r>
      <w:r>
        <w:rPr>
          <w:rFonts w:hint="eastAsia" w:ascii="宋体" w:hAnsi="宋体" w:cs="宋体"/>
          <w:color w:val="000000" w:themeColor="text1"/>
          <w:sz w:val="24"/>
          <w:szCs w:val="24"/>
          <w:highlight w:val="none"/>
          <w:lang w:val="en-US" w:eastAsia="zh-CN"/>
          <w14:textFill>
            <w14:solidFill>
              <w14:schemeClr w14:val="tx1"/>
            </w14:solidFill>
          </w14:textFill>
        </w:rPr>
        <w:t>200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万</w:t>
      </w:r>
      <w:r>
        <w:rPr>
          <w:rFonts w:hint="eastAsia" w:ascii="宋体" w:hAnsi="宋体" w:eastAsia="宋体" w:cs="宋体"/>
          <w:i w:val="0"/>
          <w:iCs w:val="0"/>
          <w:color w:val="000000" w:themeColor="text1"/>
          <w:sz w:val="24"/>
          <w:szCs w:val="24"/>
          <w:highlight w:val="none"/>
          <w14:textFill>
            <w14:solidFill>
              <w14:schemeClr w14:val="tx1"/>
            </w14:solidFill>
          </w14:textFill>
        </w:rPr>
        <w:t>元</w:t>
      </w:r>
    </w:p>
    <w:p w14:paraId="30152D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最高限价（如有）：</w:t>
      </w:r>
      <w:r>
        <w:rPr>
          <w:rFonts w:hint="eastAsia" w:ascii="宋体" w:hAnsi="宋体" w:cs="宋体"/>
          <w:color w:val="000000" w:themeColor="text1"/>
          <w:sz w:val="24"/>
          <w:szCs w:val="24"/>
          <w:highlight w:val="none"/>
          <w:lang w:val="en-US" w:eastAsia="zh-CN"/>
          <w14:textFill>
            <w14:solidFill>
              <w14:schemeClr w14:val="tx1"/>
            </w14:solidFill>
          </w14:textFill>
        </w:rPr>
        <w:t>200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万</w:t>
      </w:r>
      <w:r>
        <w:rPr>
          <w:rFonts w:hint="eastAsia" w:ascii="宋体" w:hAnsi="宋体" w:eastAsia="宋体" w:cs="宋体"/>
          <w:i w:val="0"/>
          <w:iCs w:val="0"/>
          <w:color w:val="000000" w:themeColor="text1"/>
          <w:sz w:val="24"/>
          <w:szCs w:val="24"/>
          <w:highlight w:val="none"/>
          <w14:textFill>
            <w14:solidFill>
              <w14:schemeClr w14:val="tx1"/>
            </w14:solidFill>
          </w14:textFill>
        </w:rPr>
        <w:t>元</w:t>
      </w:r>
    </w:p>
    <w:p w14:paraId="37F58E4A">
      <w:pPr>
        <w:pStyle w:val="7"/>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采购方式：公开招标</w:t>
      </w:r>
    </w:p>
    <w:p w14:paraId="60792B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包别划分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u w:val="single"/>
          <w:lang w:val="en-US" w:eastAsia="zh-CN"/>
          <w14:textFill>
            <w14:solidFill>
              <w14:schemeClr w14:val="tx1"/>
            </w14:solidFill>
          </w14:textFill>
        </w:rPr>
        <w:t>1</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个包</w:t>
      </w:r>
    </w:p>
    <w:tbl>
      <w:tblPr>
        <w:tblStyle w:val="21"/>
        <w:tblpPr w:leftFromText="180" w:rightFromText="180" w:vertAnchor="text" w:horzAnchor="margin" w:tblpXSpec="center" w:tblpY="154"/>
        <w:tblW w:w="90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6327"/>
        <w:gridCol w:w="1773"/>
      </w:tblGrid>
      <w:tr w14:paraId="3D3C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909" w:type="dxa"/>
            <w:noWrap w:val="0"/>
            <w:vAlign w:val="center"/>
          </w:tcPr>
          <w:p w14:paraId="128E72F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包号</w:t>
            </w:r>
          </w:p>
        </w:tc>
        <w:tc>
          <w:tcPr>
            <w:tcW w:w="6327" w:type="dxa"/>
            <w:noWrap w:val="0"/>
            <w:vAlign w:val="center"/>
          </w:tcPr>
          <w:p w14:paraId="47B110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包名称</w:t>
            </w:r>
          </w:p>
        </w:tc>
        <w:tc>
          <w:tcPr>
            <w:tcW w:w="1773" w:type="dxa"/>
            <w:noWrap w:val="0"/>
            <w:vAlign w:val="center"/>
          </w:tcPr>
          <w:p w14:paraId="614408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包最高限价元</w:t>
            </w:r>
          </w:p>
        </w:tc>
      </w:tr>
      <w:tr w14:paraId="21A6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909" w:type="dxa"/>
            <w:noWrap w:val="0"/>
            <w:vAlign w:val="center"/>
          </w:tcPr>
          <w:p w14:paraId="57245E4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w:t>
            </w:r>
          </w:p>
        </w:tc>
        <w:tc>
          <w:tcPr>
            <w:tcW w:w="6327" w:type="dxa"/>
            <w:noWrap w:val="0"/>
            <w:vAlign w:val="center"/>
          </w:tcPr>
          <w:p w14:paraId="6A3140E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周口市第二人民医院(周口市老年医院）采购医疗设备项目</w:t>
            </w:r>
          </w:p>
        </w:tc>
        <w:tc>
          <w:tcPr>
            <w:tcW w:w="1773" w:type="dxa"/>
            <w:noWrap w:val="0"/>
            <w:vAlign w:val="center"/>
          </w:tcPr>
          <w:p w14:paraId="47644C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2000000</w:t>
            </w:r>
          </w:p>
        </w:tc>
      </w:tr>
    </w:tbl>
    <w:p w14:paraId="4AC4FA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p>
    <w:p w14:paraId="2BC1C9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采购需求：</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周口市第二人民医院(周口市老年医院）采购医疗设备项目</w:t>
      </w:r>
      <w:r>
        <w:rPr>
          <w:rFonts w:hint="eastAsia" w:ascii="宋体" w:hAnsi="宋体" w:eastAsia="宋体" w:cs="宋体"/>
          <w:i w:val="0"/>
          <w:iCs w:val="0"/>
          <w:color w:val="000000" w:themeColor="text1"/>
          <w:sz w:val="24"/>
          <w:szCs w:val="24"/>
          <w:highlight w:val="none"/>
          <w14:textFill>
            <w14:solidFill>
              <w14:schemeClr w14:val="tx1"/>
            </w14:solidFill>
          </w14:textFill>
        </w:rPr>
        <w:t>（包括但不限于标的的名称、数量、简要技术需求或服务要求等）</w:t>
      </w:r>
    </w:p>
    <w:p w14:paraId="52D0E8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合同履行期限：</w:t>
      </w:r>
      <w:r>
        <w:rPr>
          <w:rFonts w:hint="eastAsia" w:ascii="宋体" w:hAnsi="宋体" w:cs="宋体"/>
          <w:color w:val="000000" w:themeColor="text1"/>
          <w:sz w:val="24"/>
          <w:szCs w:val="24"/>
          <w:highlight w:val="none"/>
          <w14:textFill>
            <w14:solidFill>
              <w14:schemeClr w14:val="tx1"/>
            </w14:solidFill>
          </w14:textFill>
        </w:rPr>
        <w:t>合同签订后</w:t>
      </w:r>
      <w:r>
        <w:rPr>
          <w:rFonts w:hint="eastAsia" w:ascii="宋体" w:hAnsi="宋体" w:cs="宋体"/>
          <w:color w:val="000000" w:themeColor="text1"/>
          <w:sz w:val="24"/>
          <w:szCs w:val="24"/>
          <w:highlight w:val="none"/>
          <w:lang w:val="en-US" w:eastAsia="zh-CN"/>
          <w14:textFill>
            <w14:solidFill>
              <w14:schemeClr w14:val="tx1"/>
            </w14:solidFill>
          </w14:textFill>
        </w:rPr>
        <w:t xml:space="preserve">30 </w:t>
      </w:r>
      <w:r>
        <w:rPr>
          <w:rFonts w:hint="eastAsia" w:ascii="宋体" w:hAnsi="宋体" w:cs="宋体"/>
          <w:color w:val="000000" w:themeColor="text1"/>
          <w:sz w:val="24"/>
          <w:szCs w:val="24"/>
          <w:highlight w:val="none"/>
          <w14:textFill>
            <w14:solidFill>
              <w14:schemeClr w14:val="tx1"/>
            </w14:solidFill>
          </w14:textFill>
        </w:rPr>
        <w:t>日历天内</w:t>
      </w:r>
    </w:p>
    <w:p w14:paraId="7229E6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themeColor="text1"/>
          <w:sz w:val="24"/>
          <w:szCs w:val="24"/>
          <w:highlight w:val="none"/>
          <w14:textFill>
            <w14:solidFill>
              <w14:schemeClr w14:val="tx1"/>
            </w14:solidFill>
          </w14:textFill>
        </w:rPr>
      </w:pPr>
      <w:bookmarkStart w:id="15" w:name="_Toc35393791"/>
      <w:bookmarkStart w:id="16" w:name="_Toc28359080"/>
      <w:bookmarkStart w:id="17" w:name="_Toc35393622"/>
      <w:bookmarkStart w:id="18" w:name="_Toc28359003"/>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w:t>
      </w:r>
      <w:r>
        <w:rPr>
          <w:rFonts w:hint="eastAsia" w:ascii="宋体" w:hAnsi="宋体" w:cs="宋体"/>
          <w:color w:val="000000" w:themeColor="text1"/>
          <w:sz w:val="24"/>
          <w:szCs w:val="24"/>
          <w:highlight w:val="none"/>
          <w14:textFill>
            <w14:solidFill>
              <w14:schemeClr w14:val="tx1"/>
            </w14:solidFill>
          </w14:textFill>
        </w:rPr>
        <w:t>否</w:t>
      </w:r>
    </w:p>
    <w:p w14:paraId="578615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否</w:t>
      </w:r>
    </w:p>
    <w:p w14:paraId="536676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否</w:t>
      </w:r>
    </w:p>
    <w:p w14:paraId="5589F6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二、申请人的资格要求：</w:t>
      </w:r>
      <w:bookmarkEnd w:id="15"/>
      <w:bookmarkEnd w:id="16"/>
      <w:bookmarkEnd w:id="17"/>
      <w:bookmarkEnd w:id="18"/>
    </w:p>
    <w:p w14:paraId="12FA1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1.满足《中华人民共和国政府采购法》第二十二条规定；</w:t>
      </w:r>
    </w:p>
    <w:p w14:paraId="01085321">
      <w:pPr>
        <w:pStyle w:val="7"/>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（1）具有独立承担民事责任的能力（企业营业执照等证明文件）；</w:t>
      </w:r>
    </w:p>
    <w:p w14:paraId="7DBA6660">
      <w:pPr>
        <w:pStyle w:val="7"/>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（2）具有良好的商业信誉和健全的财务会计制度；</w:t>
      </w:r>
    </w:p>
    <w:p w14:paraId="4BF9FC71">
      <w:pPr>
        <w:pStyle w:val="7"/>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（3）具有履行合同所必需的设备和专业技术能力；</w:t>
      </w:r>
    </w:p>
    <w:p w14:paraId="4C440DD2">
      <w:pPr>
        <w:pStyle w:val="7"/>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110D7034">
      <w:pPr>
        <w:pStyle w:val="7"/>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（5）参加政府采购活动前三年内，在经营活动中没有重大违法记录（提供没有重大违法记录的书面声明函，格式自拟）；</w:t>
      </w:r>
    </w:p>
    <w:p w14:paraId="5AC290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19" w:name="_Toc28359004"/>
      <w:bookmarkStart w:id="20" w:name="_Toc28359081"/>
      <w:r>
        <w:rPr>
          <w:rFonts w:hint="eastAsia" w:ascii="宋体" w:hAnsi="宋体" w:eastAsia="宋体" w:cs="宋体"/>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1AE91CA2">
      <w:pPr>
        <w:spacing w:line="360" w:lineRule="auto"/>
        <w:ind w:firstLine="480" w:firstLineChars="200"/>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3.本项目的特定资格要求：</w:t>
      </w:r>
    </w:p>
    <w:p w14:paraId="5411DE29">
      <w:pPr>
        <w:spacing w:line="360" w:lineRule="auto"/>
        <w:ind w:firstLine="480" w:firstLineChars="200"/>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）的“失信被执行人”、“重大税收违法案件当事人名单（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和法定代表人</w:t>
      </w:r>
      <w:r>
        <w:rPr>
          <w:rFonts w:hint="eastAsia" w:ascii="宋体" w:hAnsi="宋体" w:eastAsia="宋体" w:cs="宋体"/>
          <w:i w:val="0"/>
          <w:iCs w:val="0"/>
          <w:color w:val="000000" w:themeColor="text1"/>
          <w:sz w:val="24"/>
          <w:szCs w:val="24"/>
          <w:highlight w:val="none"/>
          <w14:textFill>
            <w14:solidFill>
              <w14:schemeClr w14:val="tx1"/>
            </w14:solidFill>
          </w14:textFill>
        </w:rPr>
        <w:t>，将拒绝其参加政府采购活动；在标书中附加盖公章的网页查询扫描件，查询日期为公告发布之日起至投标截止之日止。</w:t>
      </w:r>
    </w:p>
    <w:p w14:paraId="2E8C468C">
      <w:pPr>
        <w:spacing w:line="360" w:lineRule="auto"/>
        <w:ind w:firstLine="480" w:firstLineChars="200"/>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（2）供应商为经销商时应具有《医疗器械经营许可证》</w:t>
      </w:r>
      <w:r>
        <w:rPr>
          <w:rFonts w:hint="eastAsia" w:asciiTheme="minorEastAsia" w:hAnsiTheme="minorEastAsia" w:eastAsiaTheme="minorEastAsia" w:cstheme="minorBidi"/>
          <w:color w:val="000000" w:themeColor="text1"/>
          <w:sz w:val="24"/>
          <w:szCs w:val="24"/>
          <w14:textFill>
            <w14:solidFill>
              <w14:schemeClr w14:val="tx1"/>
            </w14:solidFill>
          </w14:textFill>
        </w:rPr>
        <w:t>；当供应商为生产厂家时，需具有《医疗器械生产许可证》。</w:t>
      </w:r>
    </w:p>
    <w:p w14:paraId="4D181B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1" w:name="_Toc35393623"/>
      <w:bookmarkStart w:id="22" w:name="_Toc35393792"/>
      <w:r>
        <w:rPr>
          <w:rFonts w:hint="eastAsia" w:ascii="宋体" w:hAnsi="宋体" w:eastAsia="宋体" w:cs="宋体"/>
          <w:i w:val="0"/>
          <w:iCs w:val="0"/>
          <w:color w:val="000000" w:themeColor="text1"/>
          <w:sz w:val="24"/>
          <w:szCs w:val="24"/>
          <w:highlight w:val="none"/>
          <w14:textFill>
            <w14:solidFill>
              <w14:schemeClr w14:val="tx1"/>
            </w14:solidFill>
          </w14:textFill>
        </w:rPr>
        <w:t>三、获取招标文件</w:t>
      </w:r>
      <w:bookmarkEnd w:id="19"/>
      <w:bookmarkEnd w:id="20"/>
      <w:bookmarkEnd w:id="21"/>
      <w:bookmarkEnd w:id="22"/>
    </w:p>
    <w:p w14:paraId="6EC16A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时间：</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202</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i w:val="0"/>
          <w:iCs w:val="0"/>
          <w:color w:val="000000" w:themeColor="text1"/>
          <w:sz w:val="24"/>
          <w:szCs w:val="24"/>
          <w:highlight w:val="none"/>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7 </w:t>
      </w:r>
      <w:r>
        <w:rPr>
          <w:rFonts w:hint="eastAsia" w:ascii="宋体" w:hAnsi="宋体" w:eastAsia="宋体" w:cs="宋体"/>
          <w:i w:val="0"/>
          <w:iCs w:val="0"/>
          <w:color w:val="000000" w:themeColor="text1"/>
          <w:sz w:val="24"/>
          <w:szCs w:val="24"/>
          <w:highlight w:val="none"/>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14 </w:t>
      </w:r>
      <w:r>
        <w:rPr>
          <w:rFonts w:hint="eastAsia" w:ascii="宋体" w:hAnsi="宋体" w:eastAsia="宋体" w:cs="宋体"/>
          <w:i w:val="0"/>
          <w:iCs w:val="0"/>
          <w:color w:val="000000" w:themeColor="text1"/>
          <w:sz w:val="24"/>
          <w:szCs w:val="24"/>
          <w:highlight w:val="none"/>
          <w14:textFill>
            <w14:solidFill>
              <w14:schemeClr w14:val="tx1"/>
            </w14:solidFill>
          </w14:textFill>
        </w:rPr>
        <w:t>日至</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202</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i w:val="0"/>
          <w:iCs w:val="0"/>
          <w:color w:val="000000" w:themeColor="text1"/>
          <w:sz w:val="24"/>
          <w:szCs w:val="24"/>
          <w:highlight w:val="none"/>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7 </w:t>
      </w:r>
      <w:r>
        <w:rPr>
          <w:rFonts w:hint="eastAsia" w:ascii="宋体" w:hAnsi="宋体" w:eastAsia="宋体" w:cs="宋体"/>
          <w:i w:val="0"/>
          <w:iCs w:val="0"/>
          <w:color w:val="000000" w:themeColor="text1"/>
          <w:sz w:val="24"/>
          <w:szCs w:val="24"/>
          <w:highlight w:val="none"/>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21 </w:t>
      </w:r>
      <w:r>
        <w:rPr>
          <w:rFonts w:hint="eastAsia" w:ascii="宋体" w:hAnsi="宋体" w:eastAsia="宋体" w:cs="宋体"/>
          <w:i w:val="0"/>
          <w:iCs w:val="0"/>
          <w:color w:val="000000" w:themeColor="text1"/>
          <w:sz w:val="24"/>
          <w:szCs w:val="24"/>
          <w:highlight w:val="none"/>
          <w14:textFill>
            <w14:solidFill>
              <w14:schemeClr w14:val="tx1"/>
            </w14:solidFill>
          </w14:textFill>
        </w:rPr>
        <w:t>日，每天上午</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0:00</w:t>
      </w:r>
      <w:r>
        <w:rPr>
          <w:rFonts w:hint="eastAsia" w:ascii="宋体" w:hAnsi="宋体" w:eastAsia="宋体" w:cs="宋体"/>
          <w:i w:val="0"/>
          <w:iCs w:val="0"/>
          <w:color w:val="000000" w:themeColor="text1"/>
          <w:sz w:val="24"/>
          <w:szCs w:val="24"/>
          <w:highlight w:val="none"/>
          <w14:textFill>
            <w14:solidFill>
              <w14:schemeClr w14:val="tx1"/>
            </w14:solidFill>
          </w14:textFill>
        </w:rPr>
        <w:t>至</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12:00</w:t>
      </w:r>
      <w:r>
        <w:rPr>
          <w:rFonts w:hint="eastAsia" w:ascii="宋体" w:hAnsi="宋体" w:eastAsia="宋体" w:cs="宋体"/>
          <w:i w:val="0"/>
          <w:iCs w:val="0"/>
          <w:color w:val="000000" w:themeColor="text1"/>
          <w:sz w:val="24"/>
          <w:szCs w:val="24"/>
          <w:highlight w:val="none"/>
          <w14:textFill>
            <w14:solidFill>
              <w14:schemeClr w14:val="tx1"/>
            </w14:solidFill>
          </w14:textFill>
        </w:rPr>
        <w:t>，下午</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12:00</w:t>
      </w:r>
      <w:r>
        <w:rPr>
          <w:rFonts w:hint="eastAsia" w:ascii="宋体" w:hAnsi="宋体" w:eastAsia="宋体" w:cs="宋体"/>
          <w:i w:val="0"/>
          <w:iCs w:val="0"/>
          <w:color w:val="000000" w:themeColor="text1"/>
          <w:sz w:val="24"/>
          <w:szCs w:val="24"/>
          <w:highlight w:val="none"/>
          <w14:textFill>
            <w14:solidFill>
              <w14:schemeClr w14:val="tx1"/>
            </w14:solidFill>
          </w14:textFill>
        </w:rPr>
        <w:t>至</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23:59</w:t>
      </w:r>
      <w:r>
        <w:rPr>
          <w:rFonts w:hint="eastAsia" w:ascii="宋体" w:hAnsi="宋体" w:eastAsia="宋体" w:cs="宋体"/>
          <w:i w:val="0"/>
          <w:iCs w:val="0"/>
          <w:color w:val="000000" w:themeColor="text1"/>
          <w:sz w:val="24"/>
          <w:szCs w:val="24"/>
          <w:highlight w:val="none"/>
          <w14:textFill>
            <w14:solidFill>
              <w14:schemeClr w14:val="tx1"/>
            </w14:solidFill>
          </w14:textFill>
        </w:rPr>
        <w:t>（北京时间，法定节假日除外）</w:t>
      </w:r>
    </w:p>
    <w:p w14:paraId="4994C4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427D41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2D6C71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售价：</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w:t>
      </w:r>
    </w:p>
    <w:p w14:paraId="7066B1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3" w:name="_Toc28359005"/>
      <w:bookmarkStart w:id="24" w:name="_Toc28359082"/>
      <w:bookmarkStart w:id="25" w:name="_Toc35393624"/>
      <w:bookmarkStart w:id="26" w:name="_Toc35393793"/>
      <w:r>
        <w:rPr>
          <w:rFonts w:hint="eastAsia" w:ascii="宋体" w:hAnsi="宋体" w:eastAsia="宋体" w:cs="宋体"/>
          <w:i w:val="0"/>
          <w:iCs w:val="0"/>
          <w:color w:val="000000" w:themeColor="text1"/>
          <w:sz w:val="24"/>
          <w:szCs w:val="24"/>
          <w:highlight w:val="none"/>
          <w14:textFill>
            <w14:solidFill>
              <w14:schemeClr w14:val="tx1"/>
            </w14:solidFill>
          </w14:textFill>
        </w:rPr>
        <w:t>四、提交投标文件</w:t>
      </w:r>
      <w:bookmarkEnd w:id="23"/>
      <w:bookmarkEnd w:id="24"/>
      <w:r>
        <w:rPr>
          <w:rFonts w:hint="eastAsia" w:ascii="宋体" w:hAnsi="宋体" w:eastAsia="宋体" w:cs="宋体"/>
          <w:i w:val="0"/>
          <w:iCs w:val="0"/>
          <w:color w:val="000000" w:themeColor="text1"/>
          <w:sz w:val="24"/>
          <w:szCs w:val="24"/>
          <w:highlight w:val="none"/>
          <w14:textFill>
            <w14:solidFill>
              <w14:schemeClr w14:val="tx1"/>
            </w14:solidFill>
          </w14:textFill>
        </w:rPr>
        <w:t>截止时间、开标时间和地点</w:t>
      </w:r>
      <w:bookmarkEnd w:id="25"/>
      <w:bookmarkEnd w:id="26"/>
    </w:p>
    <w:p w14:paraId="2804FB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时间：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8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5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点00</w:t>
      </w:r>
      <w:r>
        <w:rPr>
          <w:rFonts w:hint="eastAsia" w:ascii="宋体" w:hAnsi="宋体" w:eastAsia="宋体" w:cs="宋体"/>
          <w:i w:val="0"/>
          <w:iCs w:val="0"/>
          <w:color w:val="000000" w:themeColor="text1"/>
          <w:sz w:val="24"/>
          <w:szCs w:val="24"/>
          <w:highlight w:val="none"/>
          <w14:textFill>
            <w14:solidFill>
              <w14:schemeClr w14:val="tx1"/>
            </w14:solidFill>
          </w14:textFill>
        </w:rPr>
        <w:t>分（北京时间）</w:t>
      </w:r>
    </w:p>
    <w:p w14:paraId="38D060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179F54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27" w:name="_Toc35393625"/>
      <w:bookmarkStart w:id="28" w:name="_Toc35393794"/>
      <w:bookmarkStart w:id="29" w:name="_Toc28359007"/>
      <w:bookmarkStart w:id="30" w:name="_Toc28359084"/>
      <w:r>
        <w:rPr>
          <w:rFonts w:hint="eastAsia" w:ascii="宋体" w:hAnsi="宋体" w:eastAsia="宋体" w:cs="宋体"/>
          <w:i w:val="0"/>
          <w:iCs w:val="0"/>
          <w:color w:val="000000" w:themeColor="text1"/>
          <w:sz w:val="24"/>
          <w:szCs w:val="24"/>
          <w:highlight w:val="none"/>
          <w14:textFill>
            <w14:solidFill>
              <w14:schemeClr w14:val="tx1"/>
            </w14:solidFill>
          </w14:textFill>
        </w:rPr>
        <w:t>五、公告期限</w:t>
      </w:r>
      <w:bookmarkEnd w:id="27"/>
      <w:bookmarkEnd w:id="28"/>
      <w:bookmarkEnd w:id="29"/>
      <w:bookmarkEnd w:id="30"/>
    </w:p>
    <w:p w14:paraId="61DB05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自本公告发布之日起5个工作日。</w:t>
      </w:r>
    </w:p>
    <w:p w14:paraId="4DBBC8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bookmarkStart w:id="31" w:name="_Toc35393626"/>
      <w:bookmarkStart w:id="32" w:name="_Toc35393795"/>
      <w:r>
        <w:rPr>
          <w:rFonts w:hint="eastAsia" w:ascii="宋体" w:hAnsi="宋体" w:eastAsia="宋体" w:cs="宋体"/>
          <w:i w:val="0"/>
          <w:iCs w:val="0"/>
          <w:color w:val="000000" w:themeColor="text1"/>
          <w:sz w:val="24"/>
          <w:szCs w:val="24"/>
          <w:highlight w:val="none"/>
          <w14:textFill>
            <w14:solidFill>
              <w14:schemeClr w14:val="tx1"/>
            </w14:solidFill>
          </w14:textFill>
        </w:rPr>
        <w:t>六、其他补充事宜</w:t>
      </w:r>
      <w:bookmarkEnd w:id="31"/>
      <w:bookmarkEnd w:id="32"/>
    </w:p>
    <w:p w14:paraId="035832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33" w:name="_Toc28359085"/>
      <w:bookmarkStart w:id="34" w:name="_Toc35393796"/>
      <w:bookmarkStart w:id="35" w:name="_Toc28359008"/>
      <w:bookmarkStart w:id="36" w:name="_Toc35393627"/>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无</w:t>
      </w:r>
    </w:p>
    <w:p w14:paraId="2274A4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七、对本次招标提出询问，请按以下方式联系。</w:t>
      </w:r>
      <w:bookmarkEnd w:id="33"/>
      <w:bookmarkEnd w:id="34"/>
      <w:bookmarkEnd w:id="35"/>
      <w:bookmarkEnd w:id="36"/>
    </w:p>
    <w:p w14:paraId="62B483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1.采购人信息</w:t>
      </w:r>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w:t>
      </w:r>
      <w:r>
        <w:rPr>
          <w:rFonts w:hint="eastAsia" w:ascii="宋体" w:hAnsi="宋体" w:cs="宋体"/>
          <w:sz w:val="24"/>
          <w:highlight w:val="none"/>
          <w:lang w:eastAsia="zh-CN"/>
        </w:rPr>
        <w:t>周口市第二人民医院(周口市老年医院）</w:t>
      </w:r>
      <w:r>
        <w:rPr>
          <w:rFonts w:hint="eastAsia" w:ascii="宋体" w:hAnsi="宋体" w:cs="宋体"/>
          <w:sz w:val="24"/>
          <w:highlight w:val="none"/>
        </w:rPr>
        <w:t>　　　　　　　　　　　　</w:t>
      </w:r>
    </w:p>
    <w:p w14:paraId="47F9435C">
      <w:pPr>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地址：</w:t>
      </w:r>
      <w:r>
        <w:rPr>
          <w:rFonts w:hint="eastAsia" w:ascii="宋体" w:hAnsi="宋体" w:cs="宋体"/>
          <w:sz w:val="24"/>
          <w:highlight w:val="none"/>
          <w:lang w:eastAsia="zh-CN"/>
        </w:rPr>
        <w:t>周口市</w:t>
      </w:r>
      <w:r>
        <w:rPr>
          <w:rFonts w:ascii="宋体" w:hAnsi="宋体" w:cs="宋体"/>
          <w:color w:val="000000" w:themeColor="text1"/>
          <w:sz w:val="24"/>
          <w:highlight w:val="none"/>
          <w14:textFill>
            <w14:solidFill>
              <w14:schemeClr w14:val="tx1"/>
            </w14:solidFill>
          </w14:textFill>
        </w:rPr>
        <w:t>　　　　　　　　　　</w:t>
      </w:r>
    </w:p>
    <w:p w14:paraId="57D421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 xml:space="preserve">王嘉乐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43808A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联系方式：</w:t>
      </w:r>
      <w:r>
        <w:rPr>
          <w:rFonts w:hint="eastAsia" w:ascii="宋体" w:hAnsi="宋体" w:eastAsia="宋体" w:cs="宋体"/>
          <w:sz w:val="24"/>
          <w:szCs w:val="24"/>
          <w:lang w:val="en-US" w:eastAsia="zh-CN"/>
        </w:rPr>
        <w:t>18595903992</w:t>
      </w:r>
      <w:r>
        <w:rPr>
          <w:rFonts w:hint="eastAsia" w:ascii="宋体" w:hAnsi="宋体" w:cs="宋体"/>
          <w:color w:val="000000" w:themeColor="text1"/>
          <w:sz w:val="24"/>
          <w:highlight w:val="none"/>
          <w14:textFill>
            <w14:solidFill>
              <w14:schemeClr w14:val="tx1"/>
            </w14:solidFill>
          </w14:textFill>
        </w:rPr>
        <w:t>　　</w:t>
      </w:r>
      <w:r>
        <w:rPr>
          <w:rFonts w:hint="eastAsia" w:ascii="宋体" w:hAnsi="宋体" w:cs="宋体"/>
          <w:sz w:val="24"/>
          <w:highlight w:val="none"/>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bookmarkStart w:id="37" w:name="_Toc28359086"/>
      <w:bookmarkStart w:id="38" w:name="_Toc28359009"/>
    </w:p>
    <w:p w14:paraId="5EEFF9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7"/>
      <w:bookmarkEnd w:id="38"/>
    </w:p>
    <w:p w14:paraId="2DA3ADFC">
      <w:pPr>
        <w:pStyle w:val="7"/>
        <w:adjustRightInd w:val="0"/>
        <w:snapToGrid w:val="0"/>
        <w:spacing w:line="360" w:lineRule="auto"/>
        <w:ind w:firstLine="480" w:firstLineChars="200"/>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 称：</w:t>
      </w: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02F3D4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　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634996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王园园</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p>
    <w:p w14:paraId="2ACB2D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9" w:name="_Toc28359010"/>
      <w:bookmarkStart w:id="40" w:name="_Toc28359087"/>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0394-8106517</w:t>
      </w:r>
      <w:r>
        <w:rPr>
          <w:rFonts w:hint="eastAsia" w:ascii="宋体" w:hAnsi="宋体" w:eastAsia="宋体" w:cs="宋体"/>
          <w:i w:val="0"/>
          <w:iCs w:val="0"/>
          <w:color w:val="000000" w:themeColor="text1"/>
          <w:sz w:val="24"/>
          <w:szCs w:val="24"/>
          <w:highlight w:val="none"/>
          <w14:textFill>
            <w14:solidFill>
              <w14:schemeClr w14:val="tx1"/>
            </w14:solidFill>
          </w14:textFill>
        </w:rPr>
        <w:t>　</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19913281180</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39"/>
    <w:bookmarkEnd w:id="40"/>
    <w:p w14:paraId="1995428A">
      <w:pPr>
        <w:pStyle w:val="27"/>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3.监督单位：周口市财政局政府采购监督管理科</w:t>
      </w:r>
    </w:p>
    <w:p w14:paraId="1978E0E7">
      <w:pPr>
        <w:pStyle w:val="27"/>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cs="宋体"/>
          <w:color w:val="auto"/>
          <w:sz w:val="24"/>
          <w:highlight w:val="none"/>
        </w:rPr>
        <w:t>联系方式：0394-8106976</w:t>
      </w:r>
    </w:p>
    <w:p w14:paraId="127DD76D">
      <w:pPr>
        <w:pStyle w:val="27"/>
        <w:numPr>
          <w:ilvl w:val="0"/>
          <w:numId w:val="0"/>
        </w:numPr>
        <w:rPr>
          <w:rFonts w:hint="default"/>
          <w:color w:val="000000" w:themeColor="text1"/>
          <w:highlight w:val="none"/>
          <w:lang w:val="en-US" w:eastAsia="zh-CN"/>
          <w14:textFill>
            <w14:solidFill>
              <w14:schemeClr w14:val="tx1"/>
            </w14:solidFill>
          </w14:textFill>
        </w:rPr>
      </w:pPr>
    </w:p>
    <w:p w14:paraId="18E8DBD9">
      <w:pPr>
        <w:pStyle w:val="7"/>
        <w:adjustRightInd w:val="0"/>
        <w:snapToGrid w:val="0"/>
        <w:spacing w:line="360" w:lineRule="auto"/>
        <w:ind w:firstLine="2040" w:firstLineChars="85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2B972742">
      <w:pPr>
        <w:pStyle w:val="15"/>
        <w:adjustRightInd w:val="0"/>
        <w:spacing w:line="360" w:lineRule="auto"/>
        <w:ind w:firstLine="3360" w:firstLineChars="14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20</w:t>
      </w:r>
      <w:r>
        <w:rPr>
          <w:rFonts w:hint="eastAsia" w:ascii="宋体" w:hAnsi="宋体" w:cs="宋体"/>
          <w:color w:val="000000" w:themeColor="text1"/>
          <w:sz w:val="24"/>
          <w:szCs w:val="24"/>
          <w:highlight w:val="none"/>
          <w:lang w:val="en-US" w:eastAsia="zh-CN"/>
          <w14:textFill>
            <w14:solidFill>
              <w14:schemeClr w14:val="tx1"/>
            </w14:solidFill>
          </w14:textFill>
        </w:rPr>
        <w:t>26</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14  </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13E40561">
      <w:pPr>
        <w:pStyle w:val="15"/>
        <w:adjustRightInd w:val="0"/>
        <w:spacing w:line="360" w:lineRule="auto"/>
        <w:rPr>
          <w:rFonts w:hint="eastAsia"/>
          <w:color w:val="000000" w:themeColor="text1"/>
          <w:highlight w:val="none"/>
          <w14:textFill>
            <w14:solidFill>
              <w14:schemeClr w14:val="tx1"/>
            </w14:solidFill>
          </w14:textFill>
        </w:rPr>
      </w:pPr>
    </w:p>
    <w:p w14:paraId="21A003A1">
      <w:pPr>
        <w:pStyle w:val="15"/>
        <w:adjustRightInd w:val="0"/>
        <w:spacing w:line="360" w:lineRule="auto"/>
        <w:rPr>
          <w:rFonts w:hint="eastAsia"/>
          <w:color w:val="000000" w:themeColor="text1"/>
          <w:highlight w:val="none"/>
          <w14:textFill>
            <w14:solidFill>
              <w14:schemeClr w14:val="tx1"/>
            </w14:solidFill>
          </w14:textFill>
        </w:rPr>
      </w:pPr>
    </w:p>
    <w:p w14:paraId="04C236CC">
      <w:pPr>
        <w:pStyle w:val="15"/>
        <w:adjustRightInd w:val="0"/>
        <w:spacing w:line="360" w:lineRule="auto"/>
        <w:rPr>
          <w:rFonts w:hint="eastAsia"/>
          <w:color w:val="000000" w:themeColor="text1"/>
          <w:highlight w:val="none"/>
          <w14:textFill>
            <w14:solidFill>
              <w14:schemeClr w14:val="tx1"/>
            </w14:solidFill>
          </w14:textFill>
        </w:rPr>
      </w:pPr>
    </w:p>
    <w:p w14:paraId="022EE85A">
      <w:pPr>
        <w:pStyle w:val="15"/>
        <w:adjustRightInd w:val="0"/>
        <w:spacing w:line="360" w:lineRule="auto"/>
        <w:rPr>
          <w:rFonts w:hint="eastAsia"/>
          <w:color w:val="000000" w:themeColor="text1"/>
          <w:highlight w:val="none"/>
          <w14:textFill>
            <w14:solidFill>
              <w14:schemeClr w14:val="tx1"/>
            </w14:solidFill>
          </w14:textFill>
        </w:rPr>
      </w:pPr>
    </w:p>
    <w:p w14:paraId="5BF8F339">
      <w:pPr>
        <w:pStyle w:val="15"/>
        <w:adjustRightInd w:val="0"/>
        <w:spacing w:line="360" w:lineRule="auto"/>
        <w:rPr>
          <w:rFonts w:hint="eastAsia"/>
          <w:color w:val="000000" w:themeColor="text1"/>
          <w:highlight w:val="none"/>
          <w14:textFill>
            <w14:solidFill>
              <w14:schemeClr w14:val="tx1"/>
            </w14:solidFill>
          </w14:textFill>
        </w:rPr>
      </w:pPr>
    </w:p>
    <w:p w14:paraId="0B9584B3">
      <w:pPr>
        <w:pStyle w:val="15"/>
        <w:adjustRightInd w:val="0"/>
        <w:spacing w:line="360" w:lineRule="auto"/>
        <w:rPr>
          <w:rFonts w:hint="eastAsia"/>
          <w:color w:val="000000" w:themeColor="text1"/>
          <w:highlight w:val="none"/>
          <w14:textFill>
            <w14:solidFill>
              <w14:schemeClr w14:val="tx1"/>
            </w14:solidFill>
          </w14:textFill>
        </w:rPr>
      </w:pPr>
    </w:p>
    <w:p w14:paraId="514E3639">
      <w:pPr>
        <w:pStyle w:val="15"/>
        <w:adjustRightInd w:val="0"/>
        <w:spacing w:line="360" w:lineRule="auto"/>
        <w:rPr>
          <w:rFonts w:hint="eastAsia"/>
          <w:color w:val="000000" w:themeColor="text1"/>
          <w:highlight w:val="none"/>
          <w14:textFill>
            <w14:solidFill>
              <w14:schemeClr w14:val="tx1"/>
            </w14:solidFill>
          </w14:textFill>
        </w:rPr>
      </w:pPr>
    </w:p>
    <w:p w14:paraId="4B928CC1">
      <w:pPr>
        <w:pStyle w:val="15"/>
        <w:adjustRightInd w:val="0"/>
        <w:spacing w:line="360" w:lineRule="auto"/>
        <w:rPr>
          <w:rFonts w:hint="eastAsia"/>
          <w:color w:val="000000" w:themeColor="text1"/>
          <w:highlight w:val="none"/>
          <w14:textFill>
            <w14:solidFill>
              <w14:schemeClr w14:val="tx1"/>
            </w14:solidFill>
          </w14:textFill>
        </w:rPr>
      </w:pPr>
    </w:p>
    <w:p w14:paraId="5C97F564">
      <w:pPr>
        <w:pStyle w:val="15"/>
        <w:adjustRightInd w:val="0"/>
        <w:spacing w:line="360" w:lineRule="auto"/>
        <w:rPr>
          <w:rFonts w:hint="eastAsia"/>
          <w:color w:val="000000" w:themeColor="text1"/>
          <w:highlight w:val="none"/>
          <w14:textFill>
            <w14:solidFill>
              <w14:schemeClr w14:val="tx1"/>
            </w14:solidFill>
          </w14:textFill>
        </w:rPr>
      </w:pPr>
    </w:p>
    <w:p w14:paraId="487F0182">
      <w:pPr>
        <w:pStyle w:val="15"/>
        <w:adjustRightInd w:val="0"/>
        <w:spacing w:line="360" w:lineRule="auto"/>
        <w:rPr>
          <w:rFonts w:hint="eastAsia"/>
          <w:color w:val="000000" w:themeColor="text1"/>
          <w:highlight w:val="none"/>
          <w14:textFill>
            <w14:solidFill>
              <w14:schemeClr w14:val="tx1"/>
            </w14:solidFill>
          </w14:textFill>
        </w:rPr>
      </w:pPr>
    </w:p>
    <w:p w14:paraId="25632184">
      <w:pPr>
        <w:pStyle w:val="15"/>
        <w:adjustRightInd w:val="0"/>
        <w:spacing w:line="360" w:lineRule="auto"/>
        <w:rPr>
          <w:rFonts w:hint="eastAsia"/>
          <w:color w:val="000000" w:themeColor="text1"/>
          <w:highlight w:val="none"/>
          <w14:textFill>
            <w14:solidFill>
              <w14:schemeClr w14:val="tx1"/>
            </w14:solidFill>
          </w14:textFill>
        </w:rPr>
      </w:pPr>
    </w:p>
    <w:p w14:paraId="0B85A4BC">
      <w:pPr>
        <w:pStyle w:val="15"/>
        <w:adjustRightInd w:val="0"/>
        <w:spacing w:line="360" w:lineRule="auto"/>
        <w:rPr>
          <w:rFonts w:hint="eastAsia"/>
          <w:color w:val="000000" w:themeColor="text1"/>
          <w:highlight w:val="none"/>
          <w14:textFill>
            <w14:solidFill>
              <w14:schemeClr w14:val="tx1"/>
            </w14:solidFill>
          </w14:textFill>
        </w:rPr>
      </w:pPr>
    </w:p>
    <w:p w14:paraId="4E8304F9">
      <w:pPr>
        <w:pStyle w:val="15"/>
        <w:adjustRightInd w:val="0"/>
        <w:spacing w:line="360" w:lineRule="auto"/>
        <w:rPr>
          <w:rFonts w:hint="eastAsia"/>
          <w:color w:val="000000" w:themeColor="text1"/>
          <w:highlight w:val="none"/>
          <w14:textFill>
            <w14:solidFill>
              <w14:schemeClr w14:val="tx1"/>
            </w14:solidFill>
          </w14:textFill>
        </w:rPr>
      </w:pPr>
    </w:p>
    <w:p w14:paraId="46435048">
      <w:pPr>
        <w:pStyle w:val="15"/>
        <w:adjustRightInd w:val="0"/>
        <w:spacing w:line="360" w:lineRule="auto"/>
        <w:rPr>
          <w:rFonts w:hint="eastAsia"/>
          <w:color w:val="000000" w:themeColor="text1"/>
          <w:highlight w:val="none"/>
          <w14:textFill>
            <w14:solidFill>
              <w14:schemeClr w14:val="tx1"/>
            </w14:solidFill>
          </w14:textFill>
        </w:rPr>
      </w:pPr>
    </w:p>
    <w:p w14:paraId="0DB64A98">
      <w:pPr>
        <w:pStyle w:val="15"/>
        <w:adjustRightInd w:val="0"/>
        <w:spacing w:line="360" w:lineRule="auto"/>
        <w:rPr>
          <w:rFonts w:hint="eastAsia"/>
          <w:color w:val="000000" w:themeColor="text1"/>
          <w:highlight w:val="none"/>
          <w14:textFill>
            <w14:solidFill>
              <w14:schemeClr w14:val="tx1"/>
            </w14:solidFill>
          </w14:textFill>
        </w:rPr>
      </w:pPr>
    </w:p>
    <w:p w14:paraId="142FF45F">
      <w:pPr>
        <w:pStyle w:val="15"/>
        <w:adjustRightInd w:val="0"/>
        <w:spacing w:line="360" w:lineRule="auto"/>
        <w:rPr>
          <w:rFonts w:hint="eastAsia"/>
          <w:color w:val="000000" w:themeColor="text1"/>
          <w:highlight w:val="none"/>
          <w14:textFill>
            <w14:solidFill>
              <w14:schemeClr w14:val="tx1"/>
            </w14:solidFill>
          </w14:textFill>
        </w:rPr>
      </w:pPr>
    </w:p>
    <w:p w14:paraId="0109FCE4">
      <w:pPr>
        <w:pStyle w:val="15"/>
        <w:adjustRightInd w:val="0"/>
        <w:spacing w:line="360" w:lineRule="auto"/>
        <w:rPr>
          <w:rFonts w:hint="eastAsia"/>
          <w:color w:val="000000" w:themeColor="text1"/>
          <w:highlight w:val="none"/>
          <w14:textFill>
            <w14:solidFill>
              <w14:schemeClr w14:val="tx1"/>
            </w14:solidFill>
          </w14:textFill>
        </w:rPr>
      </w:pPr>
    </w:p>
    <w:p w14:paraId="312DE5FF">
      <w:pPr>
        <w:pStyle w:val="15"/>
        <w:adjustRightInd w:val="0"/>
        <w:spacing w:line="360" w:lineRule="auto"/>
        <w:rPr>
          <w:rFonts w:hint="eastAsia"/>
          <w:color w:val="000000" w:themeColor="text1"/>
          <w:highlight w:val="none"/>
          <w:lang w:eastAsia="zh-CN"/>
          <w14:textFill>
            <w14:solidFill>
              <w14:schemeClr w14:val="tx1"/>
            </w14:solidFill>
          </w14:textFill>
        </w:rPr>
      </w:pPr>
    </w:p>
    <w:p w14:paraId="38D40AE3">
      <w:pPr>
        <w:pStyle w:val="3"/>
        <w:ind w:firstLine="0"/>
        <w:rPr>
          <w:rFonts w:hint="eastAsia" w:ascii="宋体" w:hAnsi="宋体" w:eastAsia="宋体" w:cs="宋体"/>
          <w:color w:val="000000" w:themeColor="text1"/>
          <w:highlight w:val="none"/>
          <w14:textFill>
            <w14:solidFill>
              <w14:schemeClr w14:val="tx1"/>
            </w14:solidFill>
          </w14:textFill>
        </w:rPr>
      </w:pPr>
      <w:bookmarkStart w:id="41" w:name="_Toc40975437"/>
      <w:r>
        <w:rPr>
          <w:rFonts w:hint="eastAsia" w:ascii="宋体" w:hAnsi="宋体" w:eastAsia="宋体" w:cs="宋体"/>
          <w:color w:val="000000" w:themeColor="text1"/>
          <w:highlight w:val="none"/>
          <w14:textFill>
            <w14:solidFill>
              <w14:schemeClr w14:val="tx1"/>
            </w14:solidFill>
          </w14:textFill>
        </w:rPr>
        <w:t>第二章 投标人须</w:t>
      </w:r>
      <w:bookmarkEnd w:id="7"/>
      <w:r>
        <w:rPr>
          <w:rFonts w:hint="eastAsia" w:ascii="宋体" w:hAnsi="宋体" w:eastAsia="宋体" w:cs="宋体"/>
          <w:color w:val="000000" w:themeColor="text1"/>
          <w:highlight w:val="none"/>
          <w14:textFill>
            <w14:solidFill>
              <w14:schemeClr w14:val="tx1"/>
            </w14:solidFill>
          </w14:textFill>
        </w:rPr>
        <w:t>知前</w:t>
      </w:r>
      <w:bookmarkEnd w:id="8"/>
      <w:r>
        <w:rPr>
          <w:rFonts w:hint="eastAsia" w:ascii="宋体" w:hAnsi="宋体" w:eastAsia="宋体" w:cs="宋体"/>
          <w:color w:val="000000" w:themeColor="text1"/>
          <w:highlight w:val="none"/>
          <w14:textFill>
            <w14:solidFill>
              <w14:schemeClr w14:val="tx1"/>
            </w14:solidFill>
          </w14:textFill>
        </w:rPr>
        <w:t>附表</w:t>
      </w:r>
      <w:bookmarkEnd w:id="9"/>
      <w:bookmarkEnd w:id="41"/>
    </w:p>
    <w:tbl>
      <w:tblPr>
        <w:tblStyle w:val="21"/>
        <w:tblW w:w="88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1976"/>
        <w:gridCol w:w="6293"/>
      </w:tblGrid>
      <w:tr w14:paraId="20E0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noWrap w:val="0"/>
            <w:vAlign w:val="center"/>
          </w:tcPr>
          <w:p w14:paraId="39150B35">
            <w:pPr>
              <w:rPr>
                <w:rFonts w:hint="eastAsia" w:ascii="宋体" w:hAnsi="宋体"/>
                <w:color w:val="000000" w:themeColor="text1"/>
                <w:sz w:val="24"/>
                <w:szCs w:val="24"/>
                <w:highlight w:val="none"/>
                <w14:textFill>
                  <w14:solidFill>
                    <w14:schemeClr w14:val="tx1"/>
                  </w14:solidFill>
                </w14:textFill>
              </w:rPr>
            </w:pPr>
            <w:bookmarkStart w:id="42" w:name="_Hlt519045778"/>
            <w:bookmarkEnd w:id="42"/>
            <w:bookmarkStart w:id="43" w:name="_Hlt509650027"/>
            <w:bookmarkEnd w:id="43"/>
            <w:bookmarkStart w:id="44" w:name="_Hlt509650351"/>
            <w:bookmarkEnd w:id="44"/>
            <w:bookmarkStart w:id="45" w:name="_Hlt516969057"/>
            <w:bookmarkEnd w:id="45"/>
            <w:bookmarkStart w:id="46" w:name="_Toc220232390"/>
            <w:bookmarkStart w:id="47" w:name="_Toc450_WPSOffice_Level1"/>
            <w:r>
              <w:rPr>
                <w:rFonts w:hint="eastAsia" w:ascii="宋体" w:hAnsi="宋体"/>
                <w:color w:val="000000" w:themeColor="text1"/>
                <w:sz w:val="24"/>
                <w:szCs w:val="24"/>
                <w:highlight w:val="none"/>
                <w14:textFill>
                  <w14:solidFill>
                    <w14:schemeClr w14:val="tx1"/>
                  </w14:solidFill>
                </w14:textFill>
              </w:rPr>
              <w:t>序号</w:t>
            </w:r>
          </w:p>
        </w:tc>
        <w:tc>
          <w:tcPr>
            <w:tcW w:w="1976" w:type="dxa"/>
            <w:noWrap w:val="0"/>
            <w:vAlign w:val="center"/>
          </w:tcPr>
          <w:p w14:paraId="106FB29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内容</w:t>
            </w:r>
          </w:p>
        </w:tc>
        <w:tc>
          <w:tcPr>
            <w:tcW w:w="6293" w:type="dxa"/>
            <w:noWrap w:val="0"/>
            <w:vAlign w:val="center"/>
          </w:tcPr>
          <w:p w14:paraId="783533A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说明与要求</w:t>
            </w:r>
          </w:p>
        </w:tc>
      </w:tr>
      <w:tr w14:paraId="5F0B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noWrap w:val="0"/>
            <w:vAlign w:val="center"/>
          </w:tcPr>
          <w:p w14:paraId="5B703DE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p>
        </w:tc>
        <w:tc>
          <w:tcPr>
            <w:tcW w:w="1976" w:type="dxa"/>
            <w:noWrap w:val="0"/>
            <w:vAlign w:val="center"/>
          </w:tcPr>
          <w:p w14:paraId="2BA47C1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w:t>
            </w:r>
          </w:p>
        </w:tc>
        <w:tc>
          <w:tcPr>
            <w:tcW w:w="6293" w:type="dxa"/>
            <w:noWrap w:val="0"/>
            <w:vAlign w:val="center"/>
          </w:tcPr>
          <w:p w14:paraId="4E9881C3">
            <w:pPr>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宋体" w:hAnsi="宋体" w:cs="宋体"/>
                <w:sz w:val="24"/>
                <w:highlight w:val="none"/>
                <w:lang w:eastAsia="zh-CN"/>
              </w:rPr>
              <w:t>周口市第二人民医院(周口市老年医院）</w:t>
            </w:r>
          </w:p>
        </w:tc>
      </w:tr>
      <w:tr w14:paraId="72FF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noWrap w:val="0"/>
            <w:vAlign w:val="center"/>
          </w:tcPr>
          <w:p w14:paraId="06D95E3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w:t>
            </w:r>
          </w:p>
        </w:tc>
        <w:tc>
          <w:tcPr>
            <w:tcW w:w="1976" w:type="dxa"/>
            <w:noWrap w:val="0"/>
            <w:vAlign w:val="center"/>
          </w:tcPr>
          <w:p w14:paraId="4076DA4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委托人</w:t>
            </w:r>
          </w:p>
        </w:tc>
        <w:tc>
          <w:tcPr>
            <w:tcW w:w="6293" w:type="dxa"/>
            <w:noWrap w:val="0"/>
            <w:vAlign w:val="center"/>
          </w:tcPr>
          <w:p w14:paraId="32A0A24D">
            <w:pPr>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宋体" w:hAnsi="宋体" w:cs="宋体"/>
                <w:sz w:val="24"/>
                <w:highlight w:val="none"/>
                <w:lang w:eastAsia="zh-CN"/>
              </w:rPr>
              <w:t>周口市第二人民医院(周口市老年医院）</w:t>
            </w:r>
          </w:p>
        </w:tc>
      </w:tr>
      <w:tr w14:paraId="72D5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14" w:type="dxa"/>
            <w:noWrap w:val="0"/>
            <w:vAlign w:val="center"/>
          </w:tcPr>
          <w:p w14:paraId="42D2956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w:t>
            </w:r>
          </w:p>
        </w:tc>
        <w:tc>
          <w:tcPr>
            <w:tcW w:w="1976" w:type="dxa"/>
            <w:noWrap w:val="0"/>
            <w:vAlign w:val="center"/>
          </w:tcPr>
          <w:p w14:paraId="5247DAA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采购代理机构</w:t>
            </w:r>
          </w:p>
        </w:tc>
        <w:tc>
          <w:tcPr>
            <w:tcW w:w="6293" w:type="dxa"/>
            <w:noWrap w:val="0"/>
            <w:vAlign w:val="center"/>
          </w:tcPr>
          <w:p w14:paraId="42C990F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名  称：周口市公共资源交易中心政府采购中心</w:t>
            </w:r>
          </w:p>
          <w:p w14:paraId="17993B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地  址：</w:t>
            </w:r>
            <w:r>
              <w:rPr>
                <w:rFonts w:hint="eastAsia" w:ascii="宋体" w:hAnsi="宋体" w:eastAsia="宋体" w:cs="宋体"/>
                <w:i w:val="0"/>
                <w:iCs w:val="0"/>
                <w:color w:val="000000" w:themeColor="text1"/>
                <w:sz w:val="24"/>
                <w:szCs w:val="24"/>
                <w:highlight w:val="none"/>
                <w14:textFill>
                  <w14:solidFill>
                    <w14:schemeClr w14:val="tx1"/>
                  </w14:solidFill>
                </w14:textFill>
              </w:rPr>
              <w:t>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tc>
      </w:tr>
      <w:tr w14:paraId="64D0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2B15656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w:t>
            </w:r>
          </w:p>
        </w:tc>
        <w:tc>
          <w:tcPr>
            <w:tcW w:w="1976" w:type="dxa"/>
            <w:noWrap w:val="0"/>
            <w:vAlign w:val="center"/>
          </w:tcPr>
          <w:p w14:paraId="6FE3E9D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项目名称</w:t>
            </w:r>
          </w:p>
        </w:tc>
        <w:tc>
          <w:tcPr>
            <w:tcW w:w="6293" w:type="dxa"/>
            <w:noWrap w:val="0"/>
            <w:vAlign w:val="center"/>
          </w:tcPr>
          <w:p w14:paraId="26A68B17">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周口市第二人民医院(周口市老年医院）采购医疗设备项目</w:t>
            </w:r>
          </w:p>
        </w:tc>
      </w:tr>
      <w:tr w14:paraId="5DA5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14" w:type="dxa"/>
            <w:noWrap w:val="0"/>
            <w:vAlign w:val="center"/>
          </w:tcPr>
          <w:p w14:paraId="03BE74B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w:t>
            </w:r>
          </w:p>
        </w:tc>
        <w:tc>
          <w:tcPr>
            <w:tcW w:w="1976" w:type="dxa"/>
            <w:noWrap w:val="0"/>
            <w:vAlign w:val="center"/>
          </w:tcPr>
          <w:p w14:paraId="5837BB4C">
            <w:pPr>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项目编号</w:t>
            </w:r>
          </w:p>
        </w:tc>
        <w:tc>
          <w:tcPr>
            <w:tcW w:w="6293" w:type="dxa"/>
            <w:noWrap w:val="0"/>
            <w:vAlign w:val="center"/>
          </w:tcPr>
          <w:p w14:paraId="22B15653">
            <w:pPr>
              <w:rPr>
                <w:rFonts w:hint="eastAsia" w:ascii="宋体" w:hAnsi="宋体" w:eastAsia="宋体" w:cs="Times New Roman"/>
                <w:color w:val="000000" w:themeColor="text1"/>
                <w:sz w:val="24"/>
                <w:szCs w:val="24"/>
                <w:highlight w:val="none"/>
                <w:lang w:eastAsia="zh-CN"/>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周财招标采购-2026-32</w:t>
            </w:r>
          </w:p>
        </w:tc>
      </w:tr>
      <w:tr w14:paraId="228F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14" w:type="dxa"/>
            <w:noWrap w:val="0"/>
            <w:vAlign w:val="center"/>
          </w:tcPr>
          <w:p w14:paraId="0339117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w:t>
            </w:r>
          </w:p>
        </w:tc>
        <w:tc>
          <w:tcPr>
            <w:tcW w:w="1976" w:type="dxa"/>
            <w:noWrap w:val="0"/>
            <w:vAlign w:val="center"/>
          </w:tcPr>
          <w:p w14:paraId="54E8450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项目性质</w:t>
            </w:r>
          </w:p>
        </w:tc>
        <w:tc>
          <w:tcPr>
            <w:tcW w:w="6293" w:type="dxa"/>
            <w:noWrap w:val="0"/>
            <w:vAlign w:val="center"/>
          </w:tcPr>
          <w:p w14:paraId="6AC49F1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货物类</w:t>
            </w:r>
          </w:p>
        </w:tc>
      </w:tr>
      <w:tr w14:paraId="13B1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7DE1293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w:t>
            </w:r>
          </w:p>
        </w:tc>
        <w:tc>
          <w:tcPr>
            <w:tcW w:w="1976" w:type="dxa"/>
            <w:noWrap w:val="0"/>
            <w:vAlign w:val="center"/>
          </w:tcPr>
          <w:p w14:paraId="0A60DE0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资金来源</w:t>
            </w:r>
          </w:p>
        </w:tc>
        <w:tc>
          <w:tcPr>
            <w:tcW w:w="6293" w:type="dxa"/>
            <w:noWrap w:val="0"/>
            <w:vAlign w:val="center"/>
          </w:tcPr>
          <w:p w14:paraId="3C4CB8D1">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财政资金</w:t>
            </w:r>
          </w:p>
        </w:tc>
      </w:tr>
      <w:tr w14:paraId="4F6E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565B344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8</w:t>
            </w:r>
          </w:p>
        </w:tc>
        <w:tc>
          <w:tcPr>
            <w:tcW w:w="1976" w:type="dxa"/>
            <w:noWrap w:val="0"/>
            <w:vAlign w:val="top"/>
          </w:tcPr>
          <w:p w14:paraId="79E2CF9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包别划分</w:t>
            </w:r>
          </w:p>
        </w:tc>
        <w:tc>
          <w:tcPr>
            <w:tcW w:w="6293" w:type="dxa"/>
            <w:noWrap w:val="0"/>
            <w:vAlign w:val="center"/>
          </w:tcPr>
          <w:p w14:paraId="74F86D0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本次招标为</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Times New Roman"/>
                <w:color w:val="000000" w:themeColor="text1"/>
                <w:sz w:val="24"/>
                <w:szCs w:val="24"/>
                <w:highlight w:val="none"/>
                <w14:textFill>
                  <w14:solidFill>
                    <w14:schemeClr w14:val="tx1"/>
                  </w14:solidFill>
                </w14:textFill>
              </w:rPr>
              <w:t>个包</w:t>
            </w:r>
          </w:p>
        </w:tc>
      </w:tr>
      <w:tr w14:paraId="2AF3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15309E6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9</w:t>
            </w:r>
          </w:p>
        </w:tc>
        <w:tc>
          <w:tcPr>
            <w:tcW w:w="1976" w:type="dxa"/>
            <w:noWrap w:val="0"/>
            <w:vAlign w:val="center"/>
          </w:tcPr>
          <w:p w14:paraId="038880C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付款方式</w:t>
            </w:r>
          </w:p>
        </w:tc>
        <w:tc>
          <w:tcPr>
            <w:tcW w:w="6293" w:type="dxa"/>
            <w:noWrap w:val="0"/>
            <w:vAlign w:val="center"/>
          </w:tcPr>
          <w:p w14:paraId="72EDAE94">
            <w:pPr>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bidi="ar-SA"/>
                <w14:textFill>
                  <w14:solidFill>
                    <w14:schemeClr w14:val="tx1"/>
                  </w14:solidFill>
                </w14:textFill>
              </w:rPr>
              <w:t>合同签订后预付65%，余款经设备验收合格后一年内结清。</w:t>
            </w:r>
          </w:p>
        </w:tc>
      </w:tr>
      <w:tr w14:paraId="0BF3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47E2BB6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10</w:t>
            </w:r>
          </w:p>
        </w:tc>
        <w:tc>
          <w:tcPr>
            <w:tcW w:w="1976" w:type="dxa"/>
            <w:noWrap w:val="0"/>
            <w:vAlign w:val="center"/>
          </w:tcPr>
          <w:p w14:paraId="7C2F8E0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联合体投标</w:t>
            </w:r>
          </w:p>
        </w:tc>
        <w:tc>
          <w:tcPr>
            <w:tcW w:w="6293" w:type="dxa"/>
            <w:noWrap w:val="0"/>
            <w:vAlign w:val="center"/>
          </w:tcPr>
          <w:p w14:paraId="3D9DE09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不允许</w:t>
            </w:r>
          </w:p>
        </w:tc>
      </w:tr>
      <w:tr w14:paraId="314A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2DC20AB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w:t>
            </w:r>
          </w:p>
        </w:tc>
        <w:tc>
          <w:tcPr>
            <w:tcW w:w="1976" w:type="dxa"/>
            <w:noWrap w:val="0"/>
            <w:vAlign w:val="center"/>
          </w:tcPr>
          <w:p w14:paraId="0E1A125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投标有效期</w:t>
            </w:r>
          </w:p>
        </w:tc>
        <w:tc>
          <w:tcPr>
            <w:tcW w:w="6293" w:type="dxa"/>
            <w:noWrap w:val="0"/>
            <w:vAlign w:val="center"/>
          </w:tcPr>
          <w:p w14:paraId="322CC54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开标后60天</w:t>
            </w:r>
          </w:p>
        </w:tc>
      </w:tr>
      <w:tr w14:paraId="33D33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6D7C008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12</w:t>
            </w:r>
          </w:p>
        </w:tc>
        <w:tc>
          <w:tcPr>
            <w:tcW w:w="1976" w:type="dxa"/>
            <w:noWrap w:val="0"/>
            <w:vAlign w:val="center"/>
          </w:tcPr>
          <w:p w14:paraId="7A3A9ED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供货地点</w:t>
            </w:r>
          </w:p>
        </w:tc>
        <w:tc>
          <w:tcPr>
            <w:tcW w:w="6293" w:type="dxa"/>
            <w:noWrap w:val="0"/>
            <w:vAlign w:val="center"/>
          </w:tcPr>
          <w:p w14:paraId="028A6099">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采购人指定地点</w:t>
            </w:r>
          </w:p>
        </w:tc>
      </w:tr>
      <w:tr w14:paraId="5A44F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2E4BB17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13</w:t>
            </w:r>
          </w:p>
        </w:tc>
        <w:tc>
          <w:tcPr>
            <w:tcW w:w="1976" w:type="dxa"/>
            <w:noWrap w:val="0"/>
            <w:vAlign w:val="center"/>
          </w:tcPr>
          <w:p w14:paraId="3D3264C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供货期限</w:t>
            </w:r>
          </w:p>
        </w:tc>
        <w:tc>
          <w:tcPr>
            <w:tcW w:w="6293" w:type="dxa"/>
            <w:noWrap w:val="0"/>
            <w:vAlign w:val="center"/>
          </w:tcPr>
          <w:p w14:paraId="0454784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合同签订后</w:t>
            </w: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color w:val="000000" w:themeColor="text1"/>
                <w:sz w:val="24"/>
                <w:szCs w:val="24"/>
                <w:highlight w:val="none"/>
                <w14:textFill>
                  <w14:solidFill>
                    <w14:schemeClr w14:val="tx1"/>
                  </w14:solidFill>
                </w14:textFill>
              </w:rPr>
              <w:t>日历天内</w:t>
            </w:r>
          </w:p>
        </w:tc>
      </w:tr>
      <w:tr w14:paraId="22B1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5F2FA77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14</w:t>
            </w:r>
          </w:p>
        </w:tc>
        <w:tc>
          <w:tcPr>
            <w:tcW w:w="1976" w:type="dxa"/>
            <w:noWrap w:val="0"/>
            <w:vAlign w:val="center"/>
          </w:tcPr>
          <w:p w14:paraId="0E83A046">
            <w:pPr>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质保期</w:t>
            </w:r>
          </w:p>
        </w:tc>
        <w:tc>
          <w:tcPr>
            <w:tcW w:w="6293" w:type="dxa"/>
            <w:noWrap w:val="0"/>
            <w:vAlign w:val="center"/>
          </w:tcPr>
          <w:p w14:paraId="478E074C">
            <w:pPr>
              <w:rPr>
                <w:rFonts w:hint="default" w:ascii="宋体" w:hAnsi="宋体"/>
                <w:color w:val="000000" w:themeColor="text1"/>
                <w:sz w:val="24"/>
                <w:szCs w:val="24"/>
                <w:highlight w:val="none"/>
                <w:lang w:val="en-US"/>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1年</w:t>
            </w:r>
          </w:p>
        </w:tc>
      </w:tr>
      <w:tr w14:paraId="0DF5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14" w:type="dxa"/>
            <w:noWrap w:val="0"/>
            <w:vAlign w:val="center"/>
          </w:tcPr>
          <w:p w14:paraId="7DF228F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15</w:t>
            </w:r>
          </w:p>
        </w:tc>
        <w:tc>
          <w:tcPr>
            <w:tcW w:w="1976" w:type="dxa"/>
            <w:noWrap w:val="0"/>
            <w:vAlign w:val="center"/>
          </w:tcPr>
          <w:p w14:paraId="07989EB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投标保证金金额</w:t>
            </w:r>
          </w:p>
        </w:tc>
        <w:tc>
          <w:tcPr>
            <w:tcW w:w="6293" w:type="dxa"/>
            <w:noWrap w:val="0"/>
            <w:vAlign w:val="center"/>
          </w:tcPr>
          <w:p w14:paraId="280145A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不需要缴纳投标保证金</w:t>
            </w:r>
          </w:p>
        </w:tc>
      </w:tr>
      <w:tr w14:paraId="0591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614" w:type="dxa"/>
            <w:noWrap w:val="0"/>
            <w:vAlign w:val="center"/>
          </w:tcPr>
          <w:p w14:paraId="57E5E8F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16</w:t>
            </w:r>
          </w:p>
        </w:tc>
        <w:tc>
          <w:tcPr>
            <w:tcW w:w="1976" w:type="dxa"/>
            <w:noWrap w:val="0"/>
            <w:vAlign w:val="center"/>
          </w:tcPr>
          <w:p w14:paraId="2597C73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答疑</w:t>
            </w:r>
          </w:p>
        </w:tc>
        <w:tc>
          <w:tcPr>
            <w:tcW w:w="6293" w:type="dxa"/>
            <w:noWrap w:val="0"/>
            <w:vAlign w:val="center"/>
          </w:tcPr>
          <w:p w14:paraId="142630B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疑问的提出与答疑获取详见招标文件第二部分第五章投标人须知第36条。</w:t>
            </w:r>
          </w:p>
          <w:p w14:paraId="623E539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3A4E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614" w:type="dxa"/>
            <w:noWrap w:val="0"/>
            <w:vAlign w:val="center"/>
          </w:tcPr>
          <w:p w14:paraId="15DD1CE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w:t>
            </w:r>
          </w:p>
        </w:tc>
        <w:tc>
          <w:tcPr>
            <w:tcW w:w="1976" w:type="dxa"/>
            <w:noWrap w:val="0"/>
            <w:vAlign w:val="center"/>
          </w:tcPr>
          <w:p w14:paraId="764589A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勘察现场</w:t>
            </w:r>
          </w:p>
        </w:tc>
        <w:tc>
          <w:tcPr>
            <w:tcW w:w="6293" w:type="dxa"/>
            <w:noWrap w:val="0"/>
            <w:vAlign w:val="center"/>
          </w:tcPr>
          <w:p w14:paraId="72E9F385">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自行勘察</w:t>
            </w:r>
          </w:p>
        </w:tc>
      </w:tr>
      <w:tr w14:paraId="2583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614" w:type="dxa"/>
            <w:noWrap w:val="0"/>
            <w:vAlign w:val="center"/>
          </w:tcPr>
          <w:p w14:paraId="64ED75F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18</w:t>
            </w:r>
          </w:p>
        </w:tc>
        <w:tc>
          <w:tcPr>
            <w:tcW w:w="1976" w:type="dxa"/>
            <w:noWrap w:val="0"/>
            <w:vAlign w:val="center"/>
          </w:tcPr>
          <w:p w14:paraId="0A971826">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投标文件</w:t>
            </w:r>
          </w:p>
        </w:tc>
        <w:tc>
          <w:tcPr>
            <w:tcW w:w="6293" w:type="dxa"/>
            <w:noWrap w:val="0"/>
            <w:vAlign w:val="center"/>
          </w:tcPr>
          <w:p w14:paraId="01280F0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1、投标文件为使用周口市公共资源交易中心提供的电子标书制作工具软件（</w:t>
            </w:r>
            <w:r>
              <w:rPr>
                <w:rFonts w:hint="eastAsia" w:ascii="宋体" w:hAnsi="宋体"/>
                <w:color w:val="000000" w:themeColor="text1"/>
                <w:highlight w:val="none"/>
                <w14:textFill>
                  <w14:solidFill>
                    <w14:schemeClr w14:val="tx1"/>
                  </w14:solidFill>
                </w14:textFill>
              </w:rPr>
              <w:t>http://jyzx.zhoukou.gov.cn</w:t>
            </w:r>
            <w:r>
              <w:rPr>
                <w:rFonts w:hint="eastAsia" w:ascii="宋体" w:hAnsi="宋体"/>
                <w:color w:val="000000" w:themeColor="text1"/>
                <w:sz w:val="24"/>
                <w:szCs w:val="24"/>
                <w:highlight w:val="none"/>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D48DD80">
            <w:pPr>
              <w:pStyle w:val="15"/>
              <w:rPr>
                <w:rFonts w:hint="eastAsia"/>
                <w:color w:val="000000" w:themeColor="text1"/>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2、本项目实行网上远程开标无须到现场提交响应文件，未加密的电子投标文件和纸质文件不再提交。</w:t>
            </w:r>
          </w:p>
        </w:tc>
      </w:tr>
      <w:tr w14:paraId="7EC5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14" w:type="dxa"/>
            <w:noWrap w:val="0"/>
            <w:vAlign w:val="center"/>
          </w:tcPr>
          <w:p w14:paraId="39C9AA5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19</w:t>
            </w:r>
          </w:p>
        </w:tc>
        <w:tc>
          <w:tcPr>
            <w:tcW w:w="1976" w:type="dxa"/>
            <w:noWrap w:val="0"/>
            <w:vAlign w:val="center"/>
          </w:tcPr>
          <w:p w14:paraId="1838248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投标时间及地点</w:t>
            </w:r>
          </w:p>
        </w:tc>
        <w:tc>
          <w:tcPr>
            <w:tcW w:w="6293" w:type="dxa"/>
            <w:noWrap w:val="0"/>
            <w:vAlign w:val="center"/>
          </w:tcPr>
          <w:p w14:paraId="42EE66D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投标截止时间：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月  日</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（见招标公告）      </w:t>
            </w:r>
          </w:p>
          <w:p w14:paraId="1CD49DC5">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标书递交地点：</w:t>
            </w: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01207A85">
            <w:pP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宋体" w:hAnsi="宋体" w:eastAsia="宋体"/>
                <w:color w:val="000000" w:themeColor="text1"/>
                <w:highlight w:val="none"/>
                <w14:textFill>
                  <w14:solidFill>
                    <w14:schemeClr w14:val="tx1"/>
                  </w14:solidFill>
                </w14:textFill>
              </w:rPr>
              <w:t>http://jyzx.zhoukou.gov.cn</w:t>
            </w:r>
            <w:r>
              <w:rPr>
                <w:rFonts w:hint="eastAsia" w:ascii="宋体" w:hAnsi="宋体" w:eastAsia="宋体"/>
                <w:color w:val="000000" w:themeColor="text1"/>
                <w:highlight w:val="none"/>
                <w:lang w:eastAsia="zh-CN"/>
                <w14:textFill>
                  <w14:solidFill>
                    <w14:schemeClr w14:val="tx1"/>
                  </w14:solidFill>
                </w14:textFill>
              </w:rPr>
              <w:t>）</w:t>
            </w:r>
          </w:p>
          <w:p w14:paraId="68CF195E">
            <w:pPr>
              <w:rPr>
                <w:rFonts w:hint="eastAsia" w:ascii="宋体" w:hAnsi="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1603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14" w:type="dxa"/>
            <w:noWrap w:val="0"/>
            <w:vAlign w:val="center"/>
          </w:tcPr>
          <w:p w14:paraId="1861FD7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20</w:t>
            </w:r>
          </w:p>
        </w:tc>
        <w:tc>
          <w:tcPr>
            <w:tcW w:w="1976" w:type="dxa"/>
            <w:noWrap w:val="0"/>
            <w:vAlign w:val="center"/>
          </w:tcPr>
          <w:p w14:paraId="7A91E12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开标时间及地点</w:t>
            </w:r>
          </w:p>
        </w:tc>
        <w:tc>
          <w:tcPr>
            <w:tcW w:w="6293" w:type="dxa"/>
            <w:noWrap w:val="0"/>
            <w:vAlign w:val="center"/>
          </w:tcPr>
          <w:p w14:paraId="2223B336">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开标时间：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月   日</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（见招标公告）      </w:t>
            </w:r>
          </w:p>
          <w:p w14:paraId="5286F1BB">
            <w:pPr>
              <w:ind w:left="360" w:hanging="360" w:hangingChars="15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开标地点：周口市东新区光明路市行政中心西侧南楼房间（本项目实行网上远程开标无须到现场提交响应文件）</w:t>
            </w:r>
          </w:p>
        </w:tc>
      </w:tr>
      <w:tr w14:paraId="5E63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14" w:type="dxa"/>
            <w:noWrap w:val="0"/>
            <w:vAlign w:val="center"/>
          </w:tcPr>
          <w:p w14:paraId="3075DF5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w:t>
            </w:r>
          </w:p>
        </w:tc>
        <w:tc>
          <w:tcPr>
            <w:tcW w:w="1976" w:type="dxa"/>
            <w:noWrap w:val="0"/>
            <w:vAlign w:val="center"/>
          </w:tcPr>
          <w:p w14:paraId="317EEB19">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评标办法</w:t>
            </w:r>
          </w:p>
        </w:tc>
        <w:tc>
          <w:tcPr>
            <w:tcW w:w="6293" w:type="dxa"/>
            <w:noWrap w:val="0"/>
            <w:vAlign w:val="center"/>
          </w:tcPr>
          <w:p w14:paraId="08EA8896">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综合评分法 详见招标文件第一部分第四章评标办法</w:t>
            </w:r>
          </w:p>
        </w:tc>
      </w:tr>
      <w:tr w14:paraId="6A20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14" w:type="dxa"/>
            <w:noWrap w:val="0"/>
            <w:vAlign w:val="center"/>
          </w:tcPr>
          <w:p w14:paraId="5B115605">
            <w:pPr>
              <w:spacing w:line="500" w:lineRule="exact"/>
              <w:jc w:val="both"/>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22</w:t>
            </w:r>
          </w:p>
        </w:tc>
        <w:tc>
          <w:tcPr>
            <w:tcW w:w="1976" w:type="dxa"/>
            <w:noWrap w:val="0"/>
            <w:vAlign w:val="center"/>
          </w:tcPr>
          <w:p w14:paraId="1E03602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其它</w:t>
            </w:r>
          </w:p>
        </w:tc>
        <w:tc>
          <w:tcPr>
            <w:tcW w:w="6293" w:type="dxa"/>
            <w:noWrap w:val="0"/>
            <w:vAlign w:val="center"/>
          </w:tcPr>
          <w:p w14:paraId="52523A06">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采购人验收如需第三方质检部门介入，第三方质检验收所需费用由中标人负担。</w:t>
            </w:r>
          </w:p>
        </w:tc>
      </w:tr>
      <w:tr w14:paraId="4AF6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14" w:type="dxa"/>
            <w:noWrap w:val="0"/>
            <w:vAlign w:val="center"/>
          </w:tcPr>
          <w:p w14:paraId="65EAA5AE">
            <w:pPr>
              <w:spacing w:line="500" w:lineRule="exact"/>
              <w:jc w:val="both"/>
              <w:rPr>
                <w:rFonts w:hint="default" w:ascii="宋体" w:hAnsi="宋体"/>
                <w:color w:val="000000" w:themeColor="text1"/>
                <w:sz w:val="24"/>
                <w:szCs w:val="24"/>
                <w:highlight w:val="none"/>
                <w:lang w:val="en-US" w:eastAsia="zh-CN"/>
                <w14:textFill>
                  <w14:solidFill>
                    <w14:schemeClr w14:val="tx1"/>
                  </w14:solidFill>
                </w14:textFill>
              </w:rPr>
            </w:pPr>
            <w:bookmarkStart w:id="48" w:name="_Toc40975438"/>
            <w:r>
              <w:rPr>
                <w:rFonts w:hint="eastAsia" w:ascii="宋体" w:hAnsi="宋体"/>
                <w:color w:val="000000" w:themeColor="text1"/>
                <w:sz w:val="24"/>
                <w:szCs w:val="24"/>
                <w:highlight w:val="none"/>
                <w:lang w:val="en-US" w:eastAsia="zh-CN"/>
                <w14:textFill>
                  <w14:solidFill>
                    <w14:schemeClr w14:val="tx1"/>
                  </w14:solidFill>
                </w14:textFill>
              </w:rPr>
              <w:t>23</w:t>
            </w:r>
          </w:p>
        </w:tc>
        <w:tc>
          <w:tcPr>
            <w:tcW w:w="1976" w:type="dxa"/>
            <w:noWrap w:val="0"/>
            <w:vAlign w:val="center"/>
          </w:tcPr>
          <w:p w14:paraId="6DCC0D35">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该项目的所属行业</w:t>
            </w:r>
          </w:p>
        </w:tc>
        <w:tc>
          <w:tcPr>
            <w:tcW w:w="6293" w:type="dxa"/>
            <w:noWrap w:val="0"/>
            <w:vAlign w:val="center"/>
          </w:tcPr>
          <w:p w14:paraId="5E2781EC">
            <w:pPr>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工业</w:t>
            </w:r>
          </w:p>
        </w:tc>
      </w:tr>
    </w:tbl>
    <w:p w14:paraId="0AE77554">
      <w:pPr>
        <w:rPr>
          <w:rFonts w:hint="eastAsia" w:ascii="宋体" w:hAnsi="宋体" w:eastAsia="宋体" w:cs="宋体"/>
          <w:color w:val="000000" w:themeColor="text1"/>
          <w:highlight w:val="none"/>
          <w14:textFill>
            <w14:solidFill>
              <w14:schemeClr w14:val="tx1"/>
            </w14:solidFill>
          </w14:textFill>
        </w:rPr>
      </w:pPr>
    </w:p>
    <w:p w14:paraId="6B5CC351">
      <w:pPr>
        <w:pStyle w:val="27"/>
        <w:rPr>
          <w:rFonts w:hint="eastAsia" w:ascii="宋体" w:hAnsi="宋体" w:eastAsia="宋体" w:cs="宋体"/>
          <w:color w:val="000000" w:themeColor="text1"/>
          <w:highlight w:val="none"/>
          <w14:textFill>
            <w14:solidFill>
              <w14:schemeClr w14:val="tx1"/>
            </w14:solidFill>
          </w14:textFill>
        </w:rPr>
      </w:pPr>
    </w:p>
    <w:p w14:paraId="7B96A436">
      <w:pPr>
        <w:pStyle w:val="27"/>
        <w:rPr>
          <w:rFonts w:hint="eastAsia" w:ascii="宋体" w:hAnsi="宋体" w:eastAsia="宋体" w:cs="宋体"/>
          <w:color w:val="000000" w:themeColor="text1"/>
          <w:highlight w:val="none"/>
          <w14:textFill>
            <w14:solidFill>
              <w14:schemeClr w14:val="tx1"/>
            </w14:solidFill>
          </w14:textFill>
        </w:rPr>
      </w:pPr>
    </w:p>
    <w:p w14:paraId="62CA69AF">
      <w:pPr>
        <w:pStyle w:val="27"/>
        <w:rPr>
          <w:rFonts w:hint="eastAsia" w:ascii="宋体" w:hAnsi="宋体" w:eastAsia="宋体" w:cs="宋体"/>
          <w:color w:val="000000" w:themeColor="text1"/>
          <w:highlight w:val="none"/>
          <w14:textFill>
            <w14:solidFill>
              <w14:schemeClr w14:val="tx1"/>
            </w14:solidFill>
          </w14:textFill>
        </w:rPr>
      </w:pPr>
    </w:p>
    <w:p w14:paraId="260F1B05">
      <w:pPr>
        <w:pStyle w:val="27"/>
        <w:rPr>
          <w:rFonts w:hint="eastAsia" w:ascii="宋体" w:hAnsi="宋体" w:eastAsia="宋体" w:cs="宋体"/>
          <w:color w:val="000000" w:themeColor="text1"/>
          <w:highlight w:val="none"/>
          <w14:textFill>
            <w14:solidFill>
              <w14:schemeClr w14:val="tx1"/>
            </w14:solidFill>
          </w14:textFill>
        </w:rPr>
      </w:pPr>
    </w:p>
    <w:p w14:paraId="597BD684">
      <w:pPr>
        <w:pStyle w:val="27"/>
        <w:rPr>
          <w:rFonts w:hint="eastAsia" w:ascii="宋体" w:hAnsi="宋体" w:eastAsia="宋体" w:cs="宋体"/>
          <w:color w:val="000000" w:themeColor="text1"/>
          <w:highlight w:val="none"/>
          <w14:textFill>
            <w14:solidFill>
              <w14:schemeClr w14:val="tx1"/>
            </w14:solidFill>
          </w14:textFill>
        </w:rPr>
      </w:pPr>
    </w:p>
    <w:p w14:paraId="4829E3F0">
      <w:pPr>
        <w:rPr>
          <w:rFonts w:hint="eastAsia"/>
          <w:color w:val="000000" w:themeColor="text1"/>
          <w:highlight w:val="none"/>
          <w14:textFill>
            <w14:solidFill>
              <w14:schemeClr w14:val="tx1"/>
            </w14:solidFill>
          </w14:textFill>
        </w:rPr>
      </w:pPr>
    </w:p>
    <w:p w14:paraId="147109AE">
      <w:pPr>
        <w:pStyle w:val="3"/>
        <w:ind w:firstLine="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第三章 货物需求一览表</w:t>
      </w:r>
      <w:bookmarkEnd w:id="46"/>
      <w:bookmarkEnd w:id="47"/>
      <w:bookmarkEnd w:id="48"/>
    </w:p>
    <w:p w14:paraId="425E5823">
      <w:pPr>
        <w:spacing w:line="360" w:lineRule="auto"/>
        <w:ind w:firstLine="480" w:firstLineChars="200"/>
        <w:rPr>
          <w:rFonts w:hint="eastAsia" w:ascii="宋体" w:hAnsi="宋体" w:cs="宋体"/>
          <w:color w:val="000000" w:themeColor="text1"/>
          <w:sz w:val="24"/>
          <w:szCs w:val="28"/>
          <w:highlight w:val="none"/>
          <w14:textFill>
            <w14:solidFill>
              <w14:schemeClr w14:val="tx1"/>
            </w14:solidFill>
          </w14:textFill>
        </w:rPr>
      </w:pPr>
      <w:bookmarkStart w:id="49" w:name="_Hlt509716920"/>
      <w:bookmarkEnd w:id="49"/>
      <w:r>
        <w:rPr>
          <w:rFonts w:hint="eastAsia" w:ascii="宋体" w:hAnsi="宋体" w:cs="宋体"/>
          <w:color w:val="000000" w:themeColor="text1"/>
          <w:sz w:val="24"/>
          <w:szCs w:val="28"/>
          <w:highlight w:val="none"/>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szCs w:val="24"/>
          <w:highlight w:val="none"/>
          <w14:textFill>
            <w14:solidFill>
              <w14:schemeClr w14:val="tx1"/>
            </w14:solidFill>
          </w14:textFill>
        </w:rPr>
        <w:t>技术方案或者设备配置，且此方案或配置须经评委会审核认可；</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6D807437">
      <w:pPr>
        <w:spacing w:line="360" w:lineRule="auto"/>
        <w:ind w:firstLine="480" w:firstLineChars="200"/>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highlight w:val="none"/>
          <w14:textFill>
            <w14:solidFill>
              <w14:schemeClr w14:val="tx1"/>
            </w14:solidFill>
          </w14:textFill>
        </w:rPr>
        <w:cr/>
      </w:r>
      <w:r>
        <w:rPr>
          <w:rFonts w:hint="eastAsia" w:ascii="宋体" w:hAnsi="宋体" w:cs="宋体"/>
          <w:color w:val="000000" w:themeColor="text1"/>
          <w:sz w:val="24"/>
          <w:szCs w:val="28"/>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w:t>
      </w:r>
      <w:r>
        <w:rPr>
          <w:rFonts w:hint="eastAsia" w:ascii="宋体" w:hAnsi="宋体" w:cs="宋体"/>
          <w:color w:val="000000" w:themeColor="text1"/>
          <w:sz w:val="24"/>
          <w:szCs w:val="28"/>
          <w:highlight w:val="none"/>
          <w14:textFill>
            <w14:solidFill>
              <w14:schemeClr w14:val="tx1"/>
            </w14:solidFill>
          </w14:textFill>
        </w:rPr>
        <w:t>；投标人应自行踏勘现场，如投标人因未及时踏勘现场而导致的报价缺项漏项废标、或中标后无法完工，投标人自行承担一切后果；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highlight w:val="none"/>
          <w14:textFill>
            <w14:solidFill>
              <w14:schemeClr w14:val="tx1"/>
            </w14:solidFill>
          </w14:textFill>
        </w:rPr>
        <w:cr/>
      </w:r>
      <w:r>
        <w:rPr>
          <w:rFonts w:hint="eastAsia" w:ascii="宋体" w:hAnsi="宋体" w:cs="宋体"/>
          <w:color w:val="000000" w:themeColor="text1"/>
          <w:sz w:val="24"/>
          <w:szCs w:val="28"/>
          <w:highlight w:val="none"/>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10CAD131">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p w14:paraId="5F2DC75A">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p w14:paraId="0DF17EE7">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bookmarkEnd w:id="50"/>
    <w:p w14:paraId="13266BAC">
      <w:pPr>
        <w:jc w:val="left"/>
        <w:rPr>
          <w:rFonts w:hint="eastAsia" w:ascii="宋体" w:hAnsi="宋体" w:cs="宋体"/>
          <w:color w:val="000000" w:themeColor="text1"/>
          <w:highlight w:val="none"/>
          <w14:textFill>
            <w14:solidFill>
              <w14:schemeClr w14:val="tx1"/>
            </w14:solidFill>
          </w14:textFill>
        </w:rPr>
        <w:sectPr>
          <w:headerReference r:id="rId3" w:type="default"/>
          <w:footerReference r:id="rId4" w:type="default"/>
          <w:pgSz w:w="11906" w:h="16838"/>
          <w:pgMar w:top="1440" w:right="1758" w:bottom="1440" w:left="1758" w:header="851" w:footer="992" w:gutter="0"/>
          <w:cols w:space="720" w:num="1"/>
          <w:docGrid w:linePitch="312" w:charSpace="0"/>
        </w:sectPr>
      </w:pPr>
    </w:p>
    <w:p w14:paraId="15C354E9">
      <w:pPr>
        <w:pBdr>
          <w:bottom w:val="dotted" w:color="auto" w:sz="24" w:space="1"/>
        </w:pBdr>
        <w:spacing w:line="360" w:lineRule="auto"/>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货物需求</w:t>
      </w:r>
      <w:bookmarkStart w:id="51" w:name="_Toc14806_WPSOffice_Level2"/>
      <w:r>
        <w:rPr>
          <w:rFonts w:hint="eastAsia" w:ascii="宋体" w:hAnsi="宋体" w:cs="宋体"/>
          <w:b/>
          <w:color w:val="000000" w:themeColor="text1"/>
          <w:sz w:val="32"/>
          <w:szCs w:val="32"/>
          <w:highlight w:val="none"/>
          <w14:textFill>
            <w14:solidFill>
              <w14:schemeClr w14:val="tx1"/>
            </w14:solidFill>
          </w14:textFill>
        </w:rPr>
        <w:t>及技术规格参数</w:t>
      </w:r>
    </w:p>
    <w:p w14:paraId="657817F6">
      <w:pPr>
        <w:spacing w:line="360" w:lineRule="auto"/>
        <w:rPr>
          <w:rFonts w:hint="eastAsia" w:ascii="宋体" w:hAnsi="宋体" w:eastAsia="宋体" w:cs="宋体"/>
          <w:color w:val="000000" w:themeColor="text1"/>
          <w:kern w:val="0"/>
          <w:sz w:val="24"/>
          <w:szCs w:val="22"/>
          <w:highlight w:val="none"/>
          <w:lang w:val="en-US" w:eastAsia="zh-CN"/>
          <w14:textFill>
            <w14:solidFill>
              <w14:schemeClr w14:val="tx1"/>
            </w14:solidFill>
          </w14:textFill>
        </w:rPr>
      </w:pPr>
      <w:bookmarkStart w:id="52" w:name="_Toc40975439"/>
      <w:bookmarkStart w:id="53" w:name="_Toc11739_WPSOffice_Level1"/>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一、售后服务内容及要求</w:t>
      </w:r>
    </w:p>
    <w:p w14:paraId="23D19846">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.1质量保证：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r>
        <w:rPr>
          <w:rFonts w:hint="eastAsia" w:asciiTheme="minorEastAsia" w:hAnsiTheme="minorEastAsia" w:cstheme="minorEastAsia"/>
          <w:color w:val="auto"/>
          <w:sz w:val="24"/>
          <w:szCs w:val="24"/>
          <w:highlight w:val="none"/>
          <w:lang w:eastAsia="zh-CN"/>
        </w:rPr>
        <w:t>；</w:t>
      </w:r>
    </w:p>
    <w:p w14:paraId="0FB6B4EE">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.2售后服务：免费质保</w:t>
      </w:r>
      <w:r>
        <w:rPr>
          <w:rFonts w:hint="eastAsia" w:ascii="宋体" w:hAnsi="宋体" w:cs="宋体"/>
          <w:color w:val="000000" w:themeColor="text1"/>
          <w:kern w:val="0"/>
          <w:sz w:val="24"/>
          <w:szCs w:val="22"/>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年,质保期内提供免费上门服务，质保期外的收费按相关行业规则或由双方协商收取。</w:t>
      </w:r>
    </w:p>
    <w:p w14:paraId="58B57DF9">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.3交货地点：采购人指定地点。</w:t>
      </w:r>
    </w:p>
    <w:p w14:paraId="0187D39E">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.4交货日期：</w:t>
      </w:r>
      <w:r>
        <w:rPr>
          <w:rFonts w:hint="eastAsia" w:ascii="宋体" w:hAnsi="宋体"/>
          <w:color w:val="000000" w:themeColor="text1"/>
          <w:sz w:val="24"/>
          <w:szCs w:val="24"/>
          <w:highlight w:val="none"/>
          <w14:textFill>
            <w14:solidFill>
              <w14:schemeClr w14:val="tx1"/>
            </w14:solidFill>
          </w14:textFill>
        </w:rPr>
        <w:t>合同签订后</w:t>
      </w: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color w:val="000000" w:themeColor="text1"/>
          <w:sz w:val="24"/>
          <w:szCs w:val="24"/>
          <w:highlight w:val="none"/>
          <w14:textFill>
            <w14:solidFill>
              <w14:schemeClr w14:val="tx1"/>
            </w14:solidFill>
          </w14:textFill>
        </w:rPr>
        <w:t>日历天内</w:t>
      </w:r>
      <w:r>
        <w:rPr>
          <w:rFonts w:hint="eastAsia" w:ascii="宋体" w:hAnsi="宋体" w:eastAsia="宋体" w:cs="宋体"/>
          <w:color w:val="000000" w:themeColor="text1"/>
          <w:kern w:val="0"/>
          <w:sz w:val="24"/>
          <w:szCs w:val="22"/>
          <w:highlight w:val="none"/>
          <w:lang w:val="zh-CN"/>
          <w14:textFill>
            <w14:solidFill>
              <w14:schemeClr w14:val="tx1"/>
            </w14:solidFill>
          </w14:textFill>
        </w:rPr>
        <w:t>。</w:t>
      </w:r>
    </w:p>
    <w:p w14:paraId="2EAEBB58">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14:textFill>
            <w14:solidFill>
              <w14:schemeClr w14:val="tx1"/>
            </w14:solidFill>
          </w14:textFill>
        </w:rPr>
        <w:t>1</w:t>
      </w:r>
      <w:r>
        <w:rPr>
          <w:rFonts w:hint="eastAsia" w:ascii="宋体" w:hAnsi="宋体" w:eastAsia="宋体" w:cs="宋体"/>
          <w:color w:val="000000" w:themeColor="text1"/>
          <w:kern w:val="0"/>
          <w:sz w:val="24"/>
          <w:szCs w:val="22"/>
          <w:highlight w:val="none"/>
          <w:lang w:val="zh-CN"/>
          <w14:textFill>
            <w14:solidFill>
              <w14:schemeClr w14:val="tx1"/>
            </w14:solidFill>
          </w14:textFill>
        </w:rPr>
        <w:t>.</w:t>
      </w:r>
      <w:r>
        <w:rPr>
          <w:rFonts w:hint="eastAsia" w:ascii="宋体" w:hAnsi="宋体" w:cs="宋体"/>
          <w:color w:val="000000" w:themeColor="text1"/>
          <w:kern w:val="0"/>
          <w:sz w:val="24"/>
          <w:szCs w:val="22"/>
          <w:highlight w:val="none"/>
          <w:lang w:val="en-US" w:eastAsia="zh-CN"/>
          <w14:textFill>
            <w14:solidFill>
              <w14:schemeClr w14:val="tx1"/>
            </w14:solidFill>
          </w14:textFill>
        </w:rPr>
        <w:t>5</w:t>
      </w:r>
      <w:r>
        <w:rPr>
          <w:rFonts w:hint="eastAsia" w:ascii="宋体" w:hAnsi="宋体" w:eastAsia="宋体" w:cs="宋体"/>
          <w:color w:val="000000" w:themeColor="text1"/>
          <w:kern w:val="0"/>
          <w:sz w:val="24"/>
          <w:szCs w:val="22"/>
          <w:highlight w:val="none"/>
          <w:lang w:val="zh-CN"/>
          <w14:textFill>
            <w14:solidFill>
              <w14:schemeClr w14:val="tx1"/>
            </w14:solidFill>
          </w14:textFill>
        </w:rPr>
        <w:t xml:space="preserve"> 验收：由最终用户组织验收。</w:t>
      </w:r>
    </w:p>
    <w:p w14:paraId="562DE0C6">
      <w:pPr>
        <w:spacing w:line="360" w:lineRule="auto"/>
        <w:ind w:firstLine="480" w:firstLineChars="200"/>
        <w:rPr>
          <w:rFonts w:hint="eastAsia" w:ascii="宋体" w:hAnsi="宋体" w:eastAsia="宋体" w:cs="宋体"/>
          <w:color w:val="000000" w:themeColor="text1"/>
          <w:kern w:val="0"/>
          <w:sz w:val="24"/>
          <w:szCs w:val="22"/>
          <w:highlight w:val="none"/>
          <w:lang w:val="zh-CN"/>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1.6对其提供的产品出具《关于符合</w:t>
      </w:r>
      <w:bookmarkStart w:id="179" w:name="_GoBack"/>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本国</w:t>
      </w:r>
      <w:bookmarkEnd w:id="179"/>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产品标准的声明函》或财政部会同有关部门规定的有关证明文件。</w:t>
      </w:r>
    </w:p>
    <w:p w14:paraId="270BB856">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2"/>
          <w:highlight w:val="none"/>
          <w:lang w:val="en-US" w:eastAsia="zh-CN"/>
          <w14:textFill>
            <w14:solidFill>
              <w14:schemeClr w14:val="tx1"/>
            </w14:solidFill>
          </w14:textFill>
        </w:rPr>
        <w:t>二.货物需求及技术规格参数</w:t>
      </w:r>
    </w:p>
    <w:p w14:paraId="4503493D">
      <w:pPr>
        <w:pStyle w:val="20"/>
        <w:rPr>
          <w:rFonts w:hint="eastAsia" w:ascii="宋体" w:hAnsi="宋体" w:eastAsia="宋体" w:cs="宋体"/>
          <w:color w:val="000000" w:themeColor="text1"/>
          <w:highlight w:val="none"/>
          <w14:textFill>
            <w14:solidFill>
              <w14:schemeClr w14:val="tx1"/>
            </w14:solidFill>
          </w14:textFill>
        </w:rPr>
      </w:pPr>
    </w:p>
    <w:tbl>
      <w:tblPr>
        <w:tblStyle w:val="22"/>
        <w:tblW w:w="9891" w:type="dxa"/>
        <w:tblInd w:w="-6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697"/>
        <w:gridCol w:w="956"/>
        <w:gridCol w:w="879"/>
        <w:gridCol w:w="5583"/>
      </w:tblGrid>
      <w:tr w14:paraId="3E69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76" w:type="dxa"/>
            <w:vAlign w:val="center"/>
          </w:tcPr>
          <w:p w14:paraId="4006CF1D">
            <w:pPr>
              <w:jc w:val="center"/>
              <w:rPr>
                <w:rFonts w:ascii="宋体" w:hAnsi="宋体" w:cs="宋体"/>
                <w:sz w:val="24"/>
              </w:rPr>
            </w:pPr>
            <w:r>
              <w:rPr>
                <w:rFonts w:hint="eastAsia" w:ascii="宋体" w:hAnsi="宋体" w:cs="宋体"/>
                <w:sz w:val="24"/>
              </w:rPr>
              <w:t>序号</w:t>
            </w:r>
          </w:p>
        </w:tc>
        <w:tc>
          <w:tcPr>
            <w:tcW w:w="1697" w:type="dxa"/>
            <w:vAlign w:val="center"/>
          </w:tcPr>
          <w:p w14:paraId="33D7B77A">
            <w:pPr>
              <w:spacing w:before="240" w:after="480" w:line="360" w:lineRule="auto"/>
              <w:jc w:val="center"/>
              <w:rPr>
                <w:rFonts w:ascii="宋体" w:hAnsi="宋体" w:cs="宋体"/>
                <w:b/>
                <w:bCs/>
                <w:sz w:val="23"/>
                <w:szCs w:val="23"/>
              </w:rPr>
            </w:pPr>
            <w:r>
              <w:rPr>
                <w:rFonts w:hint="eastAsia" w:ascii="宋体" w:hAnsi="宋体" w:cs="宋体"/>
                <w:b/>
                <w:bCs/>
                <w:sz w:val="23"/>
                <w:szCs w:val="23"/>
              </w:rPr>
              <w:t>产品名称</w:t>
            </w:r>
          </w:p>
        </w:tc>
        <w:tc>
          <w:tcPr>
            <w:tcW w:w="956" w:type="dxa"/>
            <w:vAlign w:val="center"/>
          </w:tcPr>
          <w:p w14:paraId="147C91F7">
            <w:pPr>
              <w:spacing w:before="240" w:after="480" w:line="360" w:lineRule="auto"/>
              <w:jc w:val="center"/>
              <w:rPr>
                <w:rFonts w:ascii="宋体" w:hAnsi="宋体" w:cs="宋体"/>
                <w:b/>
                <w:bCs/>
                <w:sz w:val="23"/>
                <w:szCs w:val="23"/>
              </w:rPr>
            </w:pPr>
            <w:r>
              <w:rPr>
                <w:rFonts w:hint="eastAsia" w:ascii="宋体" w:hAnsi="宋体" w:cs="宋体"/>
                <w:b/>
                <w:bCs/>
                <w:sz w:val="23"/>
                <w:szCs w:val="23"/>
              </w:rPr>
              <w:t>数量</w:t>
            </w:r>
          </w:p>
        </w:tc>
        <w:tc>
          <w:tcPr>
            <w:tcW w:w="879" w:type="dxa"/>
            <w:vAlign w:val="center"/>
          </w:tcPr>
          <w:p w14:paraId="46E20AB6">
            <w:pPr>
              <w:spacing w:before="240" w:after="480" w:line="360" w:lineRule="auto"/>
              <w:jc w:val="center"/>
              <w:rPr>
                <w:rFonts w:ascii="宋体" w:hAnsi="宋体" w:cs="宋体"/>
                <w:b/>
                <w:bCs/>
                <w:sz w:val="23"/>
                <w:szCs w:val="23"/>
              </w:rPr>
            </w:pPr>
            <w:r>
              <w:rPr>
                <w:rFonts w:hint="eastAsia" w:ascii="宋体" w:hAnsi="宋体" w:cs="宋体"/>
                <w:b/>
                <w:bCs/>
                <w:sz w:val="23"/>
                <w:szCs w:val="23"/>
              </w:rPr>
              <w:t>单位</w:t>
            </w:r>
          </w:p>
        </w:tc>
        <w:tc>
          <w:tcPr>
            <w:tcW w:w="5583" w:type="dxa"/>
            <w:vAlign w:val="center"/>
          </w:tcPr>
          <w:p w14:paraId="652BB133">
            <w:pPr>
              <w:spacing w:before="240" w:after="480" w:line="360" w:lineRule="auto"/>
              <w:jc w:val="center"/>
              <w:rPr>
                <w:rFonts w:ascii="宋体" w:hAnsi="宋体" w:cs="宋体"/>
                <w:b/>
                <w:bCs/>
                <w:sz w:val="23"/>
                <w:szCs w:val="23"/>
              </w:rPr>
            </w:pPr>
            <w:r>
              <w:rPr>
                <w:rFonts w:hint="eastAsia" w:ascii="宋体" w:hAnsi="宋体" w:cs="宋体"/>
                <w:b/>
                <w:bCs/>
                <w:sz w:val="23"/>
                <w:szCs w:val="23"/>
              </w:rPr>
              <w:t>参数</w:t>
            </w:r>
          </w:p>
        </w:tc>
      </w:tr>
      <w:tr w14:paraId="37813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58BE1A59">
            <w:pPr>
              <w:rPr>
                <w:rFonts w:ascii="宋体" w:hAnsi="宋体" w:cs="宋体"/>
                <w:sz w:val="24"/>
              </w:rPr>
            </w:pPr>
            <w:r>
              <w:rPr>
                <w:rFonts w:hint="eastAsia" w:ascii="宋体" w:hAnsi="宋体" w:cs="宋体"/>
                <w:sz w:val="24"/>
              </w:rPr>
              <w:t>1</w:t>
            </w:r>
          </w:p>
        </w:tc>
        <w:tc>
          <w:tcPr>
            <w:tcW w:w="1697" w:type="dxa"/>
            <w:vAlign w:val="center"/>
          </w:tcPr>
          <w:p w14:paraId="4C6C9F9F">
            <w:pPr>
              <w:rPr>
                <w:rFonts w:ascii="宋体" w:hAnsi="宋体" w:cs="宋体"/>
                <w:b/>
                <w:bCs/>
                <w:sz w:val="23"/>
                <w:szCs w:val="23"/>
              </w:rPr>
            </w:pPr>
            <w:r>
              <w:rPr>
                <w:sz w:val="28"/>
              </w:rPr>
              <w:t>轮椅体重秤</w:t>
            </w:r>
          </w:p>
        </w:tc>
        <w:tc>
          <w:tcPr>
            <w:tcW w:w="956" w:type="dxa"/>
            <w:vAlign w:val="center"/>
          </w:tcPr>
          <w:p w14:paraId="7C7F20DE">
            <w:pPr>
              <w:rPr>
                <w:rFonts w:ascii="宋体" w:hAnsi="宋体" w:cs="宋体"/>
                <w:b/>
                <w:bCs/>
                <w:sz w:val="23"/>
                <w:szCs w:val="23"/>
              </w:rPr>
            </w:pPr>
            <w:r>
              <w:rPr>
                <w:rFonts w:hint="eastAsia"/>
                <w:sz w:val="28"/>
              </w:rPr>
              <w:t>1</w:t>
            </w:r>
          </w:p>
        </w:tc>
        <w:tc>
          <w:tcPr>
            <w:tcW w:w="879" w:type="dxa"/>
            <w:vAlign w:val="center"/>
          </w:tcPr>
          <w:p w14:paraId="2C8CCDB1">
            <w:pPr>
              <w:rPr>
                <w:rFonts w:ascii="宋体" w:hAnsi="宋体" w:cs="宋体"/>
                <w:b/>
                <w:bCs/>
                <w:sz w:val="23"/>
                <w:szCs w:val="23"/>
              </w:rPr>
            </w:pPr>
            <w:r>
              <w:rPr>
                <w:sz w:val="28"/>
              </w:rPr>
              <w:t>台</w:t>
            </w:r>
          </w:p>
        </w:tc>
        <w:tc>
          <w:tcPr>
            <w:tcW w:w="5583" w:type="dxa"/>
            <w:vAlign w:val="center"/>
          </w:tcPr>
          <w:p w14:paraId="362131B7">
            <w:pPr>
              <w:rPr>
                <w:rFonts w:ascii="宋体" w:hAnsi="宋体" w:cs="宋体"/>
                <w:sz w:val="24"/>
              </w:rPr>
            </w:pPr>
            <w:r>
              <w:rPr>
                <w:rFonts w:hint="eastAsia" w:ascii="宋体" w:hAnsi="宋体" w:cs="宋体"/>
                <w:sz w:val="24"/>
              </w:rPr>
              <w:t>1.产品能够与带有输出串口的体重秤连接，实现患者智能签到和称重功能，可同时具备刷卡和人脸识别方式。可以通过人脸识别后直接自动记录体重，无需医生手动记录。产品能够与带有输出串口的血压计连接，实现患者智能血压录入功能，可同时使用刷卡和人脸识别方式，可以通过人脸识别后直接自动录入血压，无需医生手动记录。</w:t>
            </w:r>
          </w:p>
        </w:tc>
      </w:tr>
      <w:tr w14:paraId="0E96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2EB0B884">
            <w:pPr>
              <w:rPr>
                <w:rFonts w:ascii="宋体" w:hAnsi="宋体" w:cs="宋体"/>
                <w:sz w:val="24"/>
              </w:rPr>
            </w:pPr>
            <w:r>
              <w:rPr>
                <w:rFonts w:hint="eastAsia" w:ascii="宋体" w:hAnsi="宋体" w:cs="宋体"/>
                <w:sz w:val="24"/>
              </w:rPr>
              <w:t>2</w:t>
            </w:r>
          </w:p>
        </w:tc>
        <w:tc>
          <w:tcPr>
            <w:tcW w:w="1697" w:type="dxa"/>
            <w:vAlign w:val="center"/>
          </w:tcPr>
          <w:p w14:paraId="13C9C625">
            <w:pPr>
              <w:rPr>
                <w:rFonts w:ascii="宋体" w:hAnsi="宋体" w:cs="宋体"/>
                <w:b/>
                <w:bCs/>
                <w:sz w:val="23"/>
                <w:szCs w:val="23"/>
              </w:rPr>
            </w:pPr>
            <w:r>
              <w:rPr>
                <w:sz w:val="28"/>
              </w:rPr>
              <w:t>透析单泵</w:t>
            </w:r>
          </w:p>
        </w:tc>
        <w:tc>
          <w:tcPr>
            <w:tcW w:w="956" w:type="dxa"/>
            <w:vAlign w:val="center"/>
          </w:tcPr>
          <w:p w14:paraId="347548ED">
            <w:pPr>
              <w:rPr>
                <w:rFonts w:ascii="宋体" w:hAnsi="宋体" w:cs="宋体"/>
                <w:b/>
                <w:bCs/>
                <w:sz w:val="23"/>
                <w:szCs w:val="23"/>
              </w:rPr>
            </w:pPr>
            <w:r>
              <w:rPr>
                <w:rFonts w:hint="eastAsia"/>
                <w:sz w:val="28"/>
              </w:rPr>
              <w:t>8</w:t>
            </w:r>
          </w:p>
        </w:tc>
        <w:tc>
          <w:tcPr>
            <w:tcW w:w="879" w:type="dxa"/>
            <w:vAlign w:val="center"/>
          </w:tcPr>
          <w:p w14:paraId="23E5F8D3">
            <w:pPr>
              <w:rPr>
                <w:rFonts w:ascii="宋体" w:hAnsi="宋体" w:cs="宋体"/>
                <w:b/>
                <w:bCs/>
                <w:sz w:val="23"/>
                <w:szCs w:val="23"/>
              </w:rPr>
            </w:pPr>
            <w:r>
              <w:rPr>
                <w:sz w:val="28"/>
              </w:rPr>
              <w:t>台</w:t>
            </w:r>
          </w:p>
        </w:tc>
        <w:tc>
          <w:tcPr>
            <w:tcW w:w="5583" w:type="dxa"/>
            <w:vAlign w:val="center"/>
          </w:tcPr>
          <w:p w14:paraId="572600F4">
            <w:pPr>
              <w:spacing w:line="360" w:lineRule="auto"/>
              <w:rPr>
                <w:b/>
                <w:sz w:val="24"/>
              </w:rPr>
            </w:pPr>
            <w:r>
              <w:rPr>
                <w:rFonts w:hint="eastAsia"/>
                <w:b/>
                <w:sz w:val="24"/>
              </w:rPr>
              <w:t>一、功能配置</w:t>
            </w:r>
          </w:p>
          <w:p w14:paraId="47062E6E">
            <w:pPr>
              <w:spacing w:line="360" w:lineRule="auto"/>
              <w:rPr>
                <w:rFonts w:ascii="宋体" w:hAnsi="宋体" w:cs="宋体"/>
                <w:sz w:val="24"/>
              </w:rPr>
            </w:pPr>
            <w:r>
              <w:rPr>
                <w:rFonts w:hint="eastAsia" w:ascii="宋体" w:hAnsi="宋体" w:cs="宋体"/>
                <w:sz w:val="24"/>
              </w:rPr>
              <w:t>1、具有血液透析、单纯超滤功能</w:t>
            </w:r>
          </w:p>
          <w:p w14:paraId="78689EA2">
            <w:pPr>
              <w:spacing w:line="360" w:lineRule="auto"/>
              <w:rPr>
                <w:rFonts w:ascii="宋体" w:hAnsi="宋体" w:cs="宋体"/>
                <w:sz w:val="24"/>
              </w:rPr>
            </w:pPr>
            <w:r>
              <w:rPr>
                <w:rFonts w:hint="eastAsia" w:ascii="宋体" w:hAnsi="宋体" w:cs="宋体"/>
                <w:sz w:val="24"/>
              </w:rPr>
              <w:t>▲2、≥15英寸彩色显示屏，触屏操作，中文界面，可上下、左右旋转</w:t>
            </w:r>
          </w:p>
          <w:p w14:paraId="55542C8D">
            <w:pPr>
              <w:spacing w:line="360" w:lineRule="auto"/>
              <w:rPr>
                <w:rFonts w:ascii="宋体" w:hAnsi="宋体" w:cs="宋体"/>
                <w:sz w:val="24"/>
              </w:rPr>
            </w:pPr>
            <w:r>
              <w:rPr>
                <w:rFonts w:hint="eastAsia" w:ascii="宋体" w:hAnsi="宋体" w:cs="宋体"/>
                <w:sz w:val="24"/>
              </w:rPr>
              <w:t>3、具有声光报警功能，灯光具有≥4种颜色</w:t>
            </w:r>
          </w:p>
          <w:p w14:paraId="497852C7">
            <w:pPr>
              <w:spacing w:line="360" w:lineRule="auto"/>
              <w:rPr>
                <w:rFonts w:ascii="宋体" w:hAnsi="宋体" w:cs="宋体"/>
                <w:sz w:val="24"/>
              </w:rPr>
            </w:pPr>
            <w:r>
              <w:rPr>
                <w:rFonts w:hint="eastAsia" w:ascii="宋体" w:hAnsi="宋体" w:cs="宋体"/>
                <w:sz w:val="24"/>
              </w:rPr>
              <w:t>4、具有B干粉支架</w:t>
            </w:r>
          </w:p>
          <w:p w14:paraId="70BE5F9F">
            <w:pPr>
              <w:spacing w:line="360" w:lineRule="auto"/>
              <w:rPr>
                <w:rFonts w:ascii="宋体" w:hAnsi="宋体" w:cs="宋体"/>
                <w:sz w:val="24"/>
              </w:rPr>
            </w:pPr>
            <w:r>
              <w:rPr>
                <w:rFonts w:hint="eastAsia" w:ascii="宋体" w:hAnsi="宋体" w:cs="宋体"/>
                <w:sz w:val="24"/>
              </w:rPr>
              <w:t>5、具有透析液过滤器支架</w:t>
            </w:r>
          </w:p>
          <w:p w14:paraId="5D25D6D9">
            <w:pPr>
              <w:spacing w:line="360" w:lineRule="auto"/>
              <w:rPr>
                <w:rFonts w:ascii="宋体" w:hAnsi="宋体" w:cs="宋体"/>
                <w:sz w:val="24"/>
              </w:rPr>
            </w:pPr>
            <w:r>
              <w:rPr>
                <w:rFonts w:hint="eastAsia" w:ascii="宋体" w:hAnsi="宋体" w:cs="宋体"/>
                <w:sz w:val="24"/>
              </w:rPr>
              <w:t>▲6、采用密闭式双容量平衡腔+超滤泵方式的超滤控制系统，单个平衡腔容量≥120mL</w:t>
            </w:r>
          </w:p>
          <w:p w14:paraId="2C2F3C2F">
            <w:pPr>
              <w:spacing w:line="360" w:lineRule="auto"/>
              <w:rPr>
                <w:rFonts w:ascii="宋体" w:hAnsi="宋体" w:cs="宋体"/>
                <w:sz w:val="24"/>
              </w:rPr>
            </w:pPr>
            <w:r>
              <w:rPr>
                <w:rFonts w:hint="eastAsia" w:ascii="宋体" w:hAnsi="宋体" w:cs="宋体"/>
                <w:sz w:val="24"/>
              </w:rPr>
              <w:t>7、具有旋钮调节和数字设定两种血流量调节方式</w:t>
            </w:r>
          </w:p>
          <w:p w14:paraId="137879C8">
            <w:pPr>
              <w:spacing w:line="360" w:lineRule="auto"/>
              <w:rPr>
                <w:rFonts w:ascii="宋体" w:hAnsi="宋体" w:cs="宋体"/>
                <w:sz w:val="24"/>
              </w:rPr>
            </w:pPr>
            <w:r>
              <w:rPr>
                <w:rFonts w:hint="eastAsia" w:ascii="宋体" w:hAnsi="宋体" w:cs="宋体"/>
                <w:sz w:val="24"/>
              </w:rPr>
              <w:t>8、可选用10mL、20mL、30mL、50mL注射器</w:t>
            </w:r>
          </w:p>
          <w:p w14:paraId="166D979E">
            <w:pPr>
              <w:spacing w:line="360" w:lineRule="auto"/>
              <w:rPr>
                <w:rFonts w:ascii="宋体" w:hAnsi="宋体" w:cs="宋体"/>
                <w:sz w:val="24"/>
              </w:rPr>
            </w:pPr>
            <w:r>
              <w:rPr>
                <w:rFonts w:hint="eastAsia" w:ascii="宋体" w:hAnsi="宋体" w:cs="宋体"/>
                <w:sz w:val="24"/>
              </w:rPr>
              <w:t>9、可自动识别注射器规格</w:t>
            </w:r>
          </w:p>
          <w:p w14:paraId="121AF95F">
            <w:pPr>
              <w:spacing w:line="360" w:lineRule="auto"/>
              <w:rPr>
                <w:rFonts w:ascii="宋体" w:hAnsi="宋体" w:cs="宋体"/>
                <w:sz w:val="24"/>
              </w:rPr>
            </w:pPr>
            <w:r>
              <w:rPr>
                <w:rFonts w:hint="eastAsia" w:ascii="宋体" w:hAnsi="宋体" w:cs="宋体"/>
                <w:sz w:val="24"/>
              </w:rPr>
              <w:t>10、具有在线清除率</w:t>
            </w:r>
            <w:r>
              <w:rPr>
                <w:rFonts w:hint="eastAsia" w:ascii="宋体" w:hAnsi="宋体" w:cs="宋体"/>
                <w:kern w:val="1"/>
                <w:sz w:val="24"/>
              </w:rPr>
              <w:t>监测</w:t>
            </w:r>
            <w:r>
              <w:rPr>
                <w:rFonts w:hint="eastAsia" w:ascii="宋体" w:hAnsi="宋体" w:cs="宋体"/>
                <w:sz w:val="24"/>
              </w:rPr>
              <w:t>功能</w:t>
            </w:r>
          </w:p>
          <w:p w14:paraId="123FB2CD">
            <w:pPr>
              <w:spacing w:line="360" w:lineRule="auto"/>
              <w:rPr>
                <w:rFonts w:ascii="宋体" w:hAnsi="宋体" w:cs="宋体"/>
                <w:sz w:val="24"/>
              </w:rPr>
            </w:pPr>
            <w:r>
              <w:rPr>
                <w:rFonts w:hint="eastAsia" w:ascii="宋体" w:hAnsi="宋体" w:cs="宋体"/>
                <w:sz w:val="24"/>
              </w:rPr>
              <w:t>11、具有</w:t>
            </w:r>
            <w:r>
              <w:rPr>
                <w:rFonts w:hint="eastAsia" w:ascii="宋体" w:hAnsi="宋体" w:cs="宋体"/>
                <w:kern w:val="1"/>
                <w:sz w:val="24"/>
              </w:rPr>
              <w:t>在线血压监测</w:t>
            </w:r>
            <w:r>
              <w:rPr>
                <w:rFonts w:hint="eastAsia" w:ascii="宋体" w:hAnsi="宋体" w:cs="宋体"/>
                <w:sz w:val="24"/>
              </w:rPr>
              <w:t>功能</w:t>
            </w:r>
          </w:p>
          <w:p w14:paraId="7777A27D">
            <w:pPr>
              <w:spacing w:line="360" w:lineRule="auto"/>
              <w:rPr>
                <w:rFonts w:ascii="宋体" w:hAnsi="宋体" w:cs="宋体"/>
                <w:sz w:val="24"/>
              </w:rPr>
            </w:pPr>
            <w:r>
              <w:rPr>
                <w:rFonts w:hint="eastAsia" w:ascii="宋体" w:hAnsi="宋体" w:cs="宋体"/>
                <w:sz w:val="24"/>
              </w:rPr>
              <w:t>12、具有</w:t>
            </w:r>
            <w:r>
              <w:rPr>
                <w:rFonts w:hint="eastAsia" w:ascii="宋体" w:hAnsi="宋体" w:cs="宋体"/>
                <w:kern w:val="1"/>
                <w:sz w:val="24"/>
              </w:rPr>
              <w:t>在线血温监测</w:t>
            </w:r>
            <w:r>
              <w:rPr>
                <w:rFonts w:hint="eastAsia" w:ascii="宋体" w:hAnsi="宋体" w:cs="宋体"/>
                <w:sz w:val="24"/>
              </w:rPr>
              <w:t>功能</w:t>
            </w:r>
          </w:p>
          <w:p w14:paraId="41C4397A">
            <w:pPr>
              <w:spacing w:line="360" w:lineRule="auto"/>
              <w:rPr>
                <w:rFonts w:ascii="宋体" w:hAnsi="宋体" w:cs="宋体"/>
                <w:kern w:val="1"/>
                <w:sz w:val="24"/>
              </w:rPr>
            </w:pPr>
            <w:r>
              <w:rPr>
                <w:rFonts w:hint="eastAsia" w:ascii="宋体" w:hAnsi="宋体" w:cs="宋体"/>
                <w:kern w:val="1"/>
                <w:sz w:val="24"/>
              </w:rPr>
              <w:t>13、</w:t>
            </w:r>
            <w:r>
              <w:rPr>
                <w:rFonts w:hint="eastAsia" w:ascii="宋体" w:hAnsi="宋体" w:cs="宋体"/>
                <w:sz w:val="24"/>
              </w:rPr>
              <w:t>具有在线血容监测功能</w:t>
            </w:r>
          </w:p>
          <w:p w14:paraId="45B28E74">
            <w:pPr>
              <w:spacing w:line="360" w:lineRule="auto"/>
              <w:rPr>
                <w:rFonts w:ascii="宋体" w:hAnsi="宋体" w:cs="宋体"/>
                <w:kern w:val="1"/>
                <w:sz w:val="24"/>
              </w:rPr>
            </w:pPr>
            <w:r>
              <w:rPr>
                <w:rFonts w:hint="eastAsia" w:ascii="宋体" w:hAnsi="宋体" w:cs="宋体"/>
                <w:kern w:val="1"/>
                <w:sz w:val="24"/>
              </w:rPr>
              <w:t>14、</w:t>
            </w:r>
            <w:r>
              <w:rPr>
                <w:rFonts w:hint="eastAsia" w:ascii="宋体" w:hAnsi="宋体" w:cs="宋体"/>
                <w:sz w:val="24"/>
              </w:rPr>
              <w:t>具有静脉压无波动报警功能</w:t>
            </w:r>
          </w:p>
          <w:p w14:paraId="2007811C">
            <w:pPr>
              <w:spacing w:line="360" w:lineRule="auto"/>
              <w:rPr>
                <w:rFonts w:ascii="宋体" w:hAnsi="宋体" w:cs="宋体"/>
                <w:kern w:val="1"/>
                <w:sz w:val="24"/>
              </w:rPr>
            </w:pPr>
            <w:r>
              <w:rPr>
                <w:rFonts w:hint="eastAsia" w:ascii="宋体" w:hAnsi="宋体" w:cs="宋体"/>
                <w:sz w:val="24"/>
              </w:rPr>
              <w:t>▲15、具有透析器血室压力降监测和报警功能</w:t>
            </w:r>
          </w:p>
          <w:p w14:paraId="4F4C6B98">
            <w:pPr>
              <w:spacing w:line="360" w:lineRule="auto"/>
              <w:rPr>
                <w:rFonts w:ascii="宋体" w:hAnsi="宋体" w:cs="宋体"/>
                <w:sz w:val="24"/>
              </w:rPr>
            </w:pPr>
            <w:r>
              <w:rPr>
                <w:rFonts w:hint="eastAsia" w:ascii="宋体" w:hAnsi="宋体" w:cs="宋体"/>
                <w:sz w:val="24"/>
              </w:rPr>
              <w:t>16、具有钠曲线、超滤曲线、透析液温度曲线、透析液流量曲线、肝素曲线、碳酸氢盐曲线</w:t>
            </w:r>
          </w:p>
          <w:p w14:paraId="27A672B0">
            <w:pPr>
              <w:spacing w:line="360" w:lineRule="auto"/>
              <w:rPr>
                <w:rFonts w:ascii="宋体" w:hAnsi="宋体" w:cs="宋体"/>
                <w:sz w:val="24"/>
              </w:rPr>
            </w:pPr>
            <w:r>
              <w:rPr>
                <w:rFonts w:hint="eastAsia" w:ascii="宋体" w:hAnsi="宋体" w:cs="宋体"/>
                <w:sz w:val="24"/>
              </w:rPr>
              <w:t>17、具有动脉壶液位电动调节功能</w:t>
            </w:r>
          </w:p>
          <w:p w14:paraId="08E8E57B">
            <w:pPr>
              <w:spacing w:line="360" w:lineRule="auto"/>
              <w:rPr>
                <w:rFonts w:ascii="宋体" w:hAnsi="宋体" w:cs="宋体"/>
                <w:sz w:val="24"/>
              </w:rPr>
            </w:pPr>
            <w:r>
              <w:rPr>
                <w:rFonts w:hint="eastAsia" w:ascii="宋体" w:hAnsi="宋体" w:cs="宋体"/>
                <w:sz w:val="24"/>
              </w:rPr>
              <w:t>18、具有静脉壶液位电动调节功能</w:t>
            </w:r>
          </w:p>
          <w:p w14:paraId="0271E8A3">
            <w:pPr>
              <w:spacing w:line="360" w:lineRule="auto"/>
              <w:rPr>
                <w:rFonts w:ascii="宋体" w:hAnsi="宋体" w:cs="宋体"/>
                <w:sz w:val="24"/>
              </w:rPr>
            </w:pPr>
            <w:r>
              <w:rPr>
                <w:rFonts w:hint="eastAsia" w:ascii="宋体" w:hAnsi="宋体" w:cs="宋体"/>
                <w:sz w:val="24"/>
              </w:rPr>
              <w:t>19、具有透析液</w:t>
            </w:r>
            <w:r>
              <w:rPr>
                <w:rFonts w:hint="eastAsia" w:ascii="宋体" w:hAnsi="宋体" w:cs="宋体"/>
                <w:kern w:val="1"/>
                <w:sz w:val="24"/>
              </w:rPr>
              <w:t>供液暂停功能</w:t>
            </w:r>
          </w:p>
          <w:p w14:paraId="13DCDB53">
            <w:pPr>
              <w:spacing w:line="360" w:lineRule="auto"/>
              <w:rPr>
                <w:rFonts w:ascii="宋体" w:hAnsi="宋体" w:cs="宋体"/>
                <w:sz w:val="24"/>
              </w:rPr>
            </w:pPr>
            <w:r>
              <w:rPr>
                <w:rFonts w:hint="eastAsia" w:ascii="宋体" w:hAnsi="宋体" w:cs="宋体"/>
                <w:sz w:val="24"/>
              </w:rPr>
              <w:t>20、具有快速补液功能</w:t>
            </w:r>
          </w:p>
          <w:p w14:paraId="78091F50">
            <w:pPr>
              <w:spacing w:line="360" w:lineRule="auto"/>
              <w:rPr>
                <w:rFonts w:ascii="宋体" w:hAnsi="宋体" w:cs="宋体"/>
                <w:sz w:val="24"/>
              </w:rPr>
            </w:pPr>
            <w:r>
              <w:rPr>
                <w:rFonts w:hint="eastAsia" w:ascii="宋体" w:hAnsi="宋体" w:cs="宋体"/>
                <w:sz w:val="24"/>
              </w:rPr>
              <w:t>▲21、具有一键排液功能</w:t>
            </w:r>
          </w:p>
          <w:p w14:paraId="65B3B224">
            <w:pPr>
              <w:spacing w:line="360" w:lineRule="auto"/>
              <w:rPr>
                <w:rFonts w:ascii="宋体" w:hAnsi="宋体" w:cs="宋体"/>
                <w:sz w:val="24"/>
              </w:rPr>
            </w:pPr>
            <w:r>
              <w:rPr>
                <w:rFonts w:hint="eastAsia" w:ascii="宋体" w:hAnsi="宋体" w:cs="宋体"/>
                <w:sz w:val="24"/>
              </w:rPr>
              <w:t>22、具有网络接口</w:t>
            </w:r>
          </w:p>
          <w:p w14:paraId="60D10550">
            <w:pPr>
              <w:spacing w:line="360" w:lineRule="auto"/>
              <w:rPr>
                <w:rFonts w:ascii="宋体" w:hAnsi="宋体" w:cs="宋体"/>
                <w:sz w:val="24"/>
              </w:rPr>
            </w:pPr>
            <w:r>
              <w:rPr>
                <w:rFonts w:hint="eastAsia" w:ascii="宋体" w:hAnsi="宋体" w:cs="宋体"/>
                <w:sz w:val="24"/>
              </w:rPr>
              <w:t>23、可执行水洗、热冲洗、化学消毒和热化学消毒程序；密闭循环消毒模式，连同浓缩液管、机后排液管一体化清洗消毒；可选用柠檬酸、过氧乙酸、次氯酸钠、醋酸等消毒液；热消毒温度最高可达95℃</w:t>
            </w:r>
          </w:p>
          <w:p w14:paraId="14E1514C">
            <w:pPr>
              <w:spacing w:line="360" w:lineRule="auto"/>
              <w:rPr>
                <w:rFonts w:ascii="宋体" w:hAnsi="宋体" w:cs="宋体"/>
                <w:sz w:val="24"/>
              </w:rPr>
            </w:pPr>
            <w:r>
              <w:rPr>
                <w:rFonts w:hint="eastAsia" w:ascii="宋体" w:hAnsi="宋体" w:cs="宋体"/>
                <w:sz w:val="24"/>
              </w:rPr>
              <w:t>24、</w:t>
            </w:r>
            <w:r>
              <w:rPr>
                <w:rFonts w:hint="eastAsia" w:ascii="宋体" w:hAnsi="宋体" w:cs="宋体"/>
                <w:kern w:val="1"/>
                <w:sz w:val="24"/>
              </w:rPr>
              <w:t>内置后备电池，断电时可自动切换并可维持血泵正常运转及监测显示所有</w:t>
            </w:r>
            <w:r>
              <w:rPr>
                <w:rFonts w:hint="eastAsia" w:ascii="宋体" w:hAnsi="宋体" w:cs="宋体"/>
                <w:sz w:val="24"/>
              </w:rPr>
              <w:t>治疗数据≥45分钟，具备断电记忆功能</w:t>
            </w:r>
          </w:p>
          <w:p w14:paraId="34A9EC50">
            <w:pPr>
              <w:spacing w:line="360" w:lineRule="auto"/>
              <w:rPr>
                <w:rFonts w:ascii="宋体" w:hAnsi="宋体" w:cs="宋体"/>
                <w:b/>
                <w:sz w:val="24"/>
              </w:rPr>
            </w:pPr>
            <w:r>
              <w:rPr>
                <w:rFonts w:hint="eastAsia" w:ascii="宋体" w:hAnsi="宋体" w:cs="宋体"/>
                <w:bCs/>
                <w:sz w:val="24"/>
              </w:rPr>
              <w:t>25、</w:t>
            </w:r>
            <w:r>
              <w:rPr>
                <w:rFonts w:hint="eastAsia" w:ascii="宋体" w:hAnsi="宋体" w:cs="宋体"/>
                <w:sz w:val="24"/>
              </w:rPr>
              <w:t>可使用通用型血路管和透析器等耗材</w:t>
            </w:r>
          </w:p>
          <w:p w14:paraId="376EDED3">
            <w:pPr>
              <w:spacing w:line="360" w:lineRule="auto"/>
              <w:rPr>
                <w:rFonts w:ascii="宋体" w:hAnsi="宋体" w:cs="宋体"/>
                <w:b/>
                <w:sz w:val="24"/>
              </w:rPr>
            </w:pPr>
            <w:r>
              <w:rPr>
                <w:rFonts w:hint="eastAsia" w:ascii="宋体" w:hAnsi="宋体" w:cs="宋体"/>
                <w:b/>
                <w:sz w:val="24"/>
              </w:rPr>
              <w:t>二、规格参数</w:t>
            </w:r>
          </w:p>
          <w:p w14:paraId="70E6A5A1">
            <w:pPr>
              <w:spacing w:line="360" w:lineRule="auto"/>
              <w:rPr>
                <w:rFonts w:ascii="宋体" w:hAnsi="宋体" w:cs="宋体"/>
                <w:sz w:val="24"/>
              </w:rPr>
            </w:pPr>
            <w:r>
              <w:rPr>
                <w:rFonts w:hint="eastAsia" w:ascii="宋体" w:hAnsi="宋体" w:cs="宋体"/>
                <w:sz w:val="24"/>
              </w:rPr>
              <w:t>1、血流量范围20～600mL/min，调节间隔≤1mL/min</w:t>
            </w:r>
          </w:p>
          <w:p w14:paraId="2354AECA">
            <w:pPr>
              <w:spacing w:line="360" w:lineRule="auto"/>
              <w:rPr>
                <w:rFonts w:ascii="宋体" w:hAnsi="宋体" w:cs="宋体"/>
                <w:color w:val="FF0000"/>
                <w:sz w:val="24"/>
              </w:rPr>
            </w:pPr>
            <w:r>
              <w:rPr>
                <w:rFonts w:hint="eastAsia" w:ascii="宋体" w:hAnsi="宋体" w:cs="宋体"/>
                <w:sz w:val="24"/>
              </w:rPr>
              <w:t>2、透析液流量范围300～800mL/min，调节间隔≤1mL/min</w:t>
            </w:r>
          </w:p>
          <w:p w14:paraId="122E1B00">
            <w:pPr>
              <w:spacing w:line="360" w:lineRule="auto"/>
              <w:rPr>
                <w:rFonts w:ascii="宋体" w:hAnsi="宋体" w:cs="宋体"/>
                <w:sz w:val="24"/>
              </w:rPr>
            </w:pPr>
            <w:r>
              <w:rPr>
                <w:rFonts w:hint="eastAsia" w:ascii="宋体" w:hAnsi="宋体" w:cs="宋体"/>
                <w:sz w:val="24"/>
              </w:rPr>
              <w:t>3、电导率显示范围0～20mS/cm</w:t>
            </w:r>
          </w:p>
          <w:p w14:paraId="7F1B8711">
            <w:pPr>
              <w:spacing w:line="360" w:lineRule="auto"/>
              <w:rPr>
                <w:rFonts w:ascii="宋体" w:hAnsi="宋体" w:cs="宋体"/>
                <w:sz w:val="24"/>
              </w:rPr>
            </w:pPr>
            <w:r>
              <w:rPr>
                <w:rFonts w:hint="eastAsia" w:ascii="宋体" w:hAnsi="宋体" w:cs="宋体"/>
                <w:sz w:val="24"/>
              </w:rPr>
              <w:t>4、超滤率0～4000mL/h，精度±1%</w:t>
            </w:r>
          </w:p>
          <w:p w14:paraId="5AA38B13">
            <w:pPr>
              <w:spacing w:line="360" w:lineRule="auto"/>
              <w:rPr>
                <w:rFonts w:ascii="宋体" w:hAnsi="宋体" w:cs="宋体"/>
                <w:sz w:val="24"/>
              </w:rPr>
            </w:pPr>
            <w:r>
              <w:rPr>
                <w:rFonts w:hint="eastAsia" w:ascii="宋体" w:hAnsi="宋体" w:cs="宋体"/>
                <w:sz w:val="24"/>
              </w:rPr>
              <w:t>5、肝素泵流量范围0.1～10mL/h</w:t>
            </w:r>
          </w:p>
          <w:p w14:paraId="657858EE">
            <w:pPr>
              <w:spacing w:line="360" w:lineRule="auto"/>
              <w:rPr>
                <w:rFonts w:ascii="宋体" w:hAnsi="宋体" w:cs="宋体"/>
                <w:sz w:val="24"/>
              </w:rPr>
            </w:pPr>
            <w:r>
              <w:rPr>
                <w:rFonts w:hint="eastAsia" w:ascii="宋体" w:hAnsi="宋体" w:cs="宋体"/>
                <w:sz w:val="24"/>
              </w:rPr>
              <w:t>6、动脉压显示范围-700～+800mmHg</w:t>
            </w:r>
          </w:p>
          <w:p w14:paraId="7FE3B14B">
            <w:pPr>
              <w:spacing w:line="360" w:lineRule="auto"/>
              <w:rPr>
                <w:rFonts w:ascii="宋体" w:hAnsi="宋体" w:cs="宋体"/>
                <w:color w:val="FF0000"/>
                <w:sz w:val="24"/>
              </w:rPr>
            </w:pPr>
            <w:r>
              <w:rPr>
                <w:rFonts w:hint="eastAsia" w:ascii="宋体" w:hAnsi="宋体" w:cs="宋体"/>
                <w:sz w:val="24"/>
              </w:rPr>
              <w:t>7、静脉压显示范围-700～+800mmHg</w:t>
            </w:r>
          </w:p>
          <w:p w14:paraId="1C232CA4">
            <w:pPr>
              <w:spacing w:line="360" w:lineRule="auto"/>
              <w:rPr>
                <w:rFonts w:ascii="宋体" w:hAnsi="宋体" w:cs="宋体"/>
                <w:sz w:val="24"/>
              </w:rPr>
            </w:pPr>
            <w:r>
              <w:rPr>
                <w:rFonts w:hint="eastAsia" w:ascii="宋体" w:hAnsi="宋体" w:cs="宋体"/>
                <w:sz w:val="24"/>
              </w:rPr>
              <w:t>8、跨膜压显示范围-700～+800mmHg</w:t>
            </w:r>
          </w:p>
          <w:p w14:paraId="53E31E8B">
            <w:pPr>
              <w:spacing w:line="360" w:lineRule="auto"/>
              <w:rPr>
                <w:rFonts w:ascii="宋体" w:hAnsi="宋体" w:cs="宋体"/>
                <w:sz w:val="24"/>
              </w:rPr>
            </w:pPr>
            <w:r>
              <w:rPr>
                <w:rFonts w:hint="eastAsia" w:ascii="宋体" w:hAnsi="宋体" w:cs="宋体"/>
                <w:sz w:val="24"/>
              </w:rPr>
              <w:t>9、漏血探测器灵敏度≤0.35mL/min（HCT=32%）</w:t>
            </w:r>
          </w:p>
          <w:p w14:paraId="6D740478">
            <w:pPr>
              <w:spacing w:line="360" w:lineRule="auto"/>
              <w:rPr>
                <w:rFonts w:ascii="宋体" w:hAnsi="宋体" w:cs="宋体"/>
                <w:sz w:val="24"/>
              </w:rPr>
            </w:pPr>
            <w:r>
              <w:rPr>
                <w:rFonts w:hint="eastAsia" w:ascii="宋体" w:hAnsi="宋体" w:cs="宋体"/>
                <w:sz w:val="24"/>
              </w:rPr>
              <w:t>10、空气检测器灵敏度0.01mL</w:t>
            </w:r>
          </w:p>
        </w:tc>
      </w:tr>
      <w:tr w14:paraId="3335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05B6DA5">
            <w:pPr>
              <w:rPr>
                <w:rFonts w:ascii="宋体" w:hAnsi="宋体" w:cs="宋体"/>
                <w:sz w:val="24"/>
              </w:rPr>
            </w:pPr>
            <w:r>
              <w:rPr>
                <w:rFonts w:hint="eastAsia" w:ascii="宋体" w:hAnsi="宋体" w:cs="宋体"/>
                <w:sz w:val="24"/>
              </w:rPr>
              <w:t>3</w:t>
            </w:r>
          </w:p>
        </w:tc>
        <w:tc>
          <w:tcPr>
            <w:tcW w:w="1697" w:type="dxa"/>
            <w:vAlign w:val="center"/>
          </w:tcPr>
          <w:p w14:paraId="621A8159">
            <w:pPr>
              <w:rPr>
                <w:rFonts w:ascii="宋体" w:hAnsi="宋体" w:cs="宋体"/>
                <w:b/>
                <w:bCs/>
                <w:sz w:val="23"/>
                <w:szCs w:val="23"/>
              </w:rPr>
            </w:pPr>
            <w:r>
              <w:rPr>
                <w:sz w:val="28"/>
              </w:rPr>
              <w:t>血滤机</w:t>
            </w:r>
          </w:p>
        </w:tc>
        <w:tc>
          <w:tcPr>
            <w:tcW w:w="956" w:type="dxa"/>
            <w:vAlign w:val="center"/>
          </w:tcPr>
          <w:p w14:paraId="03463781">
            <w:pPr>
              <w:rPr>
                <w:rFonts w:ascii="宋体" w:hAnsi="宋体" w:cs="宋体"/>
                <w:b/>
                <w:bCs/>
                <w:sz w:val="23"/>
                <w:szCs w:val="23"/>
              </w:rPr>
            </w:pPr>
            <w:r>
              <w:rPr>
                <w:rFonts w:hint="eastAsia"/>
                <w:sz w:val="28"/>
              </w:rPr>
              <w:t>2</w:t>
            </w:r>
          </w:p>
        </w:tc>
        <w:tc>
          <w:tcPr>
            <w:tcW w:w="879" w:type="dxa"/>
            <w:vAlign w:val="center"/>
          </w:tcPr>
          <w:p w14:paraId="4C24F323">
            <w:pPr>
              <w:rPr>
                <w:rFonts w:ascii="宋体" w:hAnsi="宋体" w:cs="宋体"/>
                <w:b/>
                <w:bCs/>
                <w:sz w:val="23"/>
                <w:szCs w:val="23"/>
              </w:rPr>
            </w:pPr>
            <w:r>
              <w:rPr>
                <w:sz w:val="28"/>
              </w:rPr>
              <w:t>台</w:t>
            </w:r>
          </w:p>
        </w:tc>
        <w:tc>
          <w:tcPr>
            <w:tcW w:w="5583" w:type="dxa"/>
            <w:vAlign w:val="center"/>
          </w:tcPr>
          <w:p w14:paraId="55ACAA73">
            <w:pPr>
              <w:spacing w:line="360" w:lineRule="auto"/>
              <w:rPr>
                <w:b/>
                <w:sz w:val="24"/>
              </w:rPr>
            </w:pPr>
            <w:r>
              <w:rPr>
                <w:rFonts w:hint="eastAsia"/>
                <w:b/>
                <w:sz w:val="24"/>
              </w:rPr>
              <w:t>一、功能配置</w:t>
            </w:r>
          </w:p>
          <w:p w14:paraId="25FDF5C4">
            <w:pPr>
              <w:spacing w:line="360" w:lineRule="auto"/>
              <w:rPr>
                <w:rFonts w:ascii="宋体" w:hAnsi="宋体" w:cs="宋体"/>
                <w:sz w:val="24"/>
              </w:rPr>
            </w:pPr>
            <w:r>
              <w:rPr>
                <w:rFonts w:hint="eastAsia" w:ascii="宋体" w:hAnsi="宋体" w:cs="宋体"/>
                <w:sz w:val="24"/>
              </w:rPr>
              <w:t>1、具有血液透析、单纯超滤、在线血液滤过、在线血液透析滤过功能</w:t>
            </w:r>
          </w:p>
          <w:p w14:paraId="46A3CD64">
            <w:pPr>
              <w:spacing w:line="360" w:lineRule="auto"/>
              <w:rPr>
                <w:rFonts w:ascii="宋体" w:hAnsi="宋体" w:cs="宋体"/>
                <w:sz w:val="24"/>
              </w:rPr>
            </w:pPr>
            <w:r>
              <w:rPr>
                <w:rFonts w:hint="eastAsia" w:ascii="宋体" w:hAnsi="宋体" w:cs="宋体"/>
                <w:sz w:val="24"/>
              </w:rPr>
              <w:t>★2、≥15英寸彩色显示屏，触屏操作，中文界面，可上下、左右旋转</w:t>
            </w:r>
          </w:p>
          <w:p w14:paraId="3E3BE80F">
            <w:pPr>
              <w:spacing w:line="360" w:lineRule="auto"/>
              <w:rPr>
                <w:rFonts w:ascii="宋体" w:hAnsi="宋体" w:cs="宋体"/>
                <w:sz w:val="24"/>
              </w:rPr>
            </w:pPr>
            <w:r>
              <w:rPr>
                <w:rFonts w:hint="eastAsia" w:ascii="宋体" w:hAnsi="宋体" w:cs="宋体"/>
                <w:sz w:val="24"/>
              </w:rPr>
              <w:t>3、具有声光报警功能，灯光具有≥4种颜色</w:t>
            </w:r>
          </w:p>
          <w:p w14:paraId="6B05F41E">
            <w:pPr>
              <w:spacing w:line="360" w:lineRule="auto"/>
              <w:rPr>
                <w:rFonts w:ascii="宋体" w:hAnsi="宋体" w:cs="宋体"/>
                <w:sz w:val="24"/>
              </w:rPr>
            </w:pPr>
            <w:r>
              <w:rPr>
                <w:rFonts w:hint="eastAsia" w:ascii="宋体" w:hAnsi="宋体" w:cs="宋体"/>
                <w:sz w:val="24"/>
              </w:rPr>
              <w:t>4、具有B干粉支架</w:t>
            </w:r>
          </w:p>
          <w:p w14:paraId="45E93AA7">
            <w:pPr>
              <w:spacing w:line="360" w:lineRule="auto"/>
              <w:rPr>
                <w:rFonts w:ascii="宋体" w:hAnsi="宋体" w:cs="宋体"/>
                <w:sz w:val="24"/>
              </w:rPr>
            </w:pPr>
            <w:r>
              <w:rPr>
                <w:rFonts w:hint="eastAsia" w:ascii="宋体" w:hAnsi="宋体" w:cs="宋体"/>
                <w:sz w:val="24"/>
              </w:rPr>
              <w:t>5、具有透析液过滤器支架</w:t>
            </w:r>
          </w:p>
          <w:p w14:paraId="7F97C364">
            <w:pPr>
              <w:spacing w:line="360" w:lineRule="auto"/>
              <w:rPr>
                <w:rFonts w:ascii="宋体" w:hAnsi="宋体" w:cs="宋体"/>
                <w:sz w:val="24"/>
              </w:rPr>
            </w:pPr>
            <w:r>
              <w:rPr>
                <w:rFonts w:hint="eastAsia" w:ascii="宋体" w:hAnsi="宋体" w:cs="宋体"/>
                <w:sz w:val="24"/>
              </w:rPr>
              <w:t>6、采用密闭式双容量平衡腔+超滤泵方式的超滤控制系统，单个平衡腔容量≥120mL</w:t>
            </w:r>
          </w:p>
          <w:p w14:paraId="211A2105">
            <w:pPr>
              <w:spacing w:line="360" w:lineRule="auto"/>
              <w:rPr>
                <w:rFonts w:ascii="宋体" w:hAnsi="宋体" w:cs="宋体"/>
                <w:sz w:val="24"/>
              </w:rPr>
            </w:pPr>
            <w:r>
              <w:rPr>
                <w:rFonts w:hint="eastAsia" w:ascii="宋体" w:hAnsi="宋体" w:cs="宋体"/>
                <w:sz w:val="24"/>
              </w:rPr>
              <w:t>★7、具有旋钮调节和数字设定两种血流量调节方式</w:t>
            </w:r>
          </w:p>
          <w:p w14:paraId="3D16124E">
            <w:pPr>
              <w:spacing w:line="360" w:lineRule="auto"/>
              <w:rPr>
                <w:rFonts w:ascii="宋体" w:hAnsi="宋体" w:cs="宋体"/>
                <w:sz w:val="24"/>
              </w:rPr>
            </w:pPr>
            <w:r>
              <w:rPr>
                <w:rFonts w:hint="eastAsia" w:ascii="宋体" w:hAnsi="宋体" w:cs="宋体"/>
                <w:sz w:val="24"/>
              </w:rPr>
              <w:t>8、可选用10mL、20mL、30mL、50mL注射器</w:t>
            </w:r>
          </w:p>
          <w:p w14:paraId="4509F9D7">
            <w:pPr>
              <w:spacing w:line="360" w:lineRule="auto"/>
              <w:rPr>
                <w:rFonts w:ascii="宋体" w:hAnsi="宋体" w:cs="宋体"/>
                <w:sz w:val="24"/>
              </w:rPr>
            </w:pPr>
            <w:r>
              <w:rPr>
                <w:rFonts w:hint="eastAsia" w:ascii="宋体" w:hAnsi="宋体" w:cs="宋体"/>
                <w:sz w:val="24"/>
              </w:rPr>
              <w:t>9、可自动识别注射器规格</w:t>
            </w:r>
          </w:p>
          <w:p w14:paraId="294DF160">
            <w:pPr>
              <w:spacing w:line="360" w:lineRule="auto"/>
              <w:rPr>
                <w:rFonts w:ascii="宋体" w:hAnsi="宋体" w:cs="宋体"/>
                <w:sz w:val="24"/>
              </w:rPr>
            </w:pPr>
            <w:r>
              <w:rPr>
                <w:rFonts w:hint="eastAsia" w:ascii="宋体" w:hAnsi="宋体" w:cs="宋体"/>
                <w:sz w:val="24"/>
              </w:rPr>
              <w:t>★10、具有在线自动预冲功能</w:t>
            </w:r>
          </w:p>
          <w:p w14:paraId="4D725A53">
            <w:pPr>
              <w:spacing w:line="360" w:lineRule="auto"/>
              <w:rPr>
                <w:rFonts w:ascii="宋体" w:hAnsi="宋体" w:cs="宋体"/>
                <w:sz w:val="24"/>
              </w:rPr>
            </w:pPr>
            <w:r>
              <w:rPr>
                <w:rFonts w:hint="eastAsia" w:ascii="宋体" w:hAnsi="宋体" w:cs="宋体"/>
                <w:sz w:val="24"/>
              </w:rPr>
              <w:t>★11、具有双向自动引血功能</w:t>
            </w:r>
          </w:p>
          <w:p w14:paraId="3EAEE26F">
            <w:pPr>
              <w:spacing w:line="360" w:lineRule="auto"/>
              <w:rPr>
                <w:rFonts w:ascii="宋体" w:hAnsi="宋体" w:cs="宋体"/>
                <w:sz w:val="24"/>
              </w:rPr>
            </w:pPr>
            <w:r>
              <w:rPr>
                <w:rFonts w:hint="eastAsia" w:ascii="宋体" w:hAnsi="宋体" w:cs="宋体"/>
                <w:sz w:val="24"/>
              </w:rPr>
              <w:t>★12、具有双向自动回血功能</w:t>
            </w:r>
          </w:p>
          <w:p w14:paraId="6B4B9239">
            <w:pPr>
              <w:spacing w:line="360" w:lineRule="auto"/>
              <w:rPr>
                <w:rFonts w:ascii="宋体" w:hAnsi="宋体" w:cs="宋体"/>
                <w:sz w:val="24"/>
              </w:rPr>
            </w:pPr>
            <w:r>
              <w:rPr>
                <w:rFonts w:hint="eastAsia" w:ascii="宋体" w:hAnsi="宋体" w:cs="宋体"/>
                <w:sz w:val="24"/>
              </w:rPr>
              <w:t>13、具有在线清除率</w:t>
            </w:r>
            <w:r>
              <w:rPr>
                <w:rFonts w:hint="eastAsia" w:ascii="宋体" w:hAnsi="宋体" w:cs="宋体"/>
                <w:kern w:val="1"/>
                <w:sz w:val="24"/>
              </w:rPr>
              <w:t>监测</w:t>
            </w:r>
            <w:r>
              <w:rPr>
                <w:rFonts w:hint="eastAsia" w:ascii="宋体" w:hAnsi="宋体" w:cs="宋体"/>
                <w:sz w:val="24"/>
              </w:rPr>
              <w:t>功能</w:t>
            </w:r>
          </w:p>
          <w:p w14:paraId="10A1B925">
            <w:pPr>
              <w:spacing w:line="360" w:lineRule="auto"/>
              <w:rPr>
                <w:rFonts w:ascii="宋体" w:hAnsi="宋体" w:cs="宋体"/>
                <w:sz w:val="24"/>
              </w:rPr>
            </w:pPr>
            <w:r>
              <w:rPr>
                <w:rFonts w:hint="eastAsia" w:ascii="宋体" w:hAnsi="宋体" w:cs="宋体"/>
                <w:sz w:val="24"/>
              </w:rPr>
              <w:t>14、具有</w:t>
            </w:r>
            <w:r>
              <w:rPr>
                <w:rFonts w:hint="eastAsia" w:ascii="宋体" w:hAnsi="宋体" w:cs="宋体"/>
                <w:kern w:val="1"/>
                <w:sz w:val="24"/>
              </w:rPr>
              <w:t>在线血压监测</w:t>
            </w:r>
            <w:r>
              <w:rPr>
                <w:rFonts w:hint="eastAsia" w:ascii="宋体" w:hAnsi="宋体" w:cs="宋体"/>
                <w:sz w:val="24"/>
              </w:rPr>
              <w:t>功能</w:t>
            </w:r>
          </w:p>
          <w:p w14:paraId="471BDA93">
            <w:pPr>
              <w:spacing w:line="360" w:lineRule="auto"/>
              <w:rPr>
                <w:rFonts w:ascii="宋体" w:hAnsi="宋体" w:cs="宋体"/>
                <w:sz w:val="24"/>
              </w:rPr>
            </w:pPr>
            <w:r>
              <w:rPr>
                <w:rFonts w:hint="eastAsia" w:ascii="宋体" w:hAnsi="宋体" w:cs="宋体"/>
                <w:sz w:val="24"/>
              </w:rPr>
              <w:t>15、具有</w:t>
            </w:r>
            <w:r>
              <w:rPr>
                <w:rFonts w:hint="eastAsia" w:ascii="宋体" w:hAnsi="宋体" w:cs="宋体"/>
                <w:kern w:val="1"/>
                <w:sz w:val="24"/>
              </w:rPr>
              <w:t>在线血温监测</w:t>
            </w:r>
            <w:r>
              <w:rPr>
                <w:rFonts w:hint="eastAsia" w:ascii="宋体" w:hAnsi="宋体" w:cs="宋体"/>
                <w:sz w:val="24"/>
              </w:rPr>
              <w:t>功能</w:t>
            </w:r>
          </w:p>
          <w:p w14:paraId="52D01E47">
            <w:pPr>
              <w:spacing w:line="360" w:lineRule="auto"/>
              <w:rPr>
                <w:rFonts w:ascii="宋体" w:hAnsi="宋体" w:cs="宋体"/>
                <w:kern w:val="1"/>
                <w:sz w:val="24"/>
              </w:rPr>
            </w:pPr>
            <w:r>
              <w:rPr>
                <w:rFonts w:hint="eastAsia" w:ascii="宋体" w:hAnsi="宋体" w:cs="宋体"/>
                <w:kern w:val="1"/>
                <w:sz w:val="24"/>
              </w:rPr>
              <w:t>16、</w:t>
            </w:r>
            <w:r>
              <w:rPr>
                <w:rFonts w:hint="eastAsia" w:ascii="宋体" w:hAnsi="宋体" w:cs="宋体"/>
                <w:sz w:val="24"/>
              </w:rPr>
              <w:t>具有在线血容监测功能</w:t>
            </w:r>
          </w:p>
          <w:p w14:paraId="4D10F1AF">
            <w:pPr>
              <w:spacing w:line="360" w:lineRule="auto"/>
              <w:rPr>
                <w:rFonts w:ascii="宋体" w:hAnsi="宋体" w:cs="宋体"/>
                <w:kern w:val="1"/>
                <w:sz w:val="24"/>
              </w:rPr>
            </w:pPr>
            <w:r>
              <w:rPr>
                <w:rFonts w:hint="eastAsia" w:ascii="宋体" w:hAnsi="宋体" w:cs="宋体"/>
                <w:kern w:val="1"/>
                <w:sz w:val="24"/>
              </w:rPr>
              <w:t>17、</w:t>
            </w:r>
            <w:r>
              <w:rPr>
                <w:rFonts w:hint="eastAsia" w:ascii="宋体" w:hAnsi="宋体" w:cs="宋体"/>
                <w:sz w:val="24"/>
              </w:rPr>
              <w:t>具有静脉压无波动报警功能</w:t>
            </w:r>
          </w:p>
          <w:p w14:paraId="01897A5C">
            <w:pPr>
              <w:spacing w:line="360" w:lineRule="auto"/>
              <w:rPr>
                <w:rFonts w:ascii="宋体" w:hAnsi="宋体" w:cs="宋体"/>
                <w:kern w:val="1"/>
                <w:sz w:val="24"/>
              </w:rPr>
            </w:pPr>
            <w:r>
              <w:rPr>
                <w:rFonts w:hint="eastAsia" w:ascii="宋体" w:hAnsi="宋体" w:cs="宋体"/>
                <w:sz w:val="24"/>
              </w:rPr>
              <w:t>18、具有透析器血室压力降监测和报警功能</w:t>
            </w:r>
          </w:p>
          <w:p w14:paraId="034AEF6B">
            <w:pPr>
              <w:spacing w:line="360" w:lineRule="auto"/>
              <w:rPr>
                <w:rFonts w:ascii="宋体" w:hAnsi="宋体" w:cs="宋体"/>
                <w:sz w:val="24"/>
              </w:rPr>
            </w:pPr>
            <w:r>
              <w:rPr>
                <w:rFonts w:hint="eastAsia" w:ascii="宋体" w:hAnsi="宋体" w:cs="宋体"/>
                <w:sz w:val="24"/>
              </w:rPr>
              <w:t>19、具有钠曲线、超滤曲线、透析液温度曲线、透析液流量曲线、肝素曲线、碳酸氢盐曲线</w:t>
            </w:r>
          </w:p>
          <w:p w14:paraId="57BACFB0">
            <w:pPr>
              <w:spacing w:line="360" w:lineRule="auto"/>
              <w:rPr>
                <w:rFonts w:ascii="宋体" w:hAnsi="宋体" w:cs="宋体"/>
                <w:sz w:val="24"/>
              </w:rPr>
            </w:pPr>
            <w:r>
              <w:rPr>
                <w:rFonts w:hint="eastAsia" w:ascii="宋体" w:hAnsi="宋体" w:cs="宋体"/>
                <w:sz w:val="24"/>
              </w:rPr>
              <w:t>20、具有动脉壶液位电动调节功能</w:t>
            </w:r>
          </w:p>
          <w:p w14:paraId="336E696E">
            <w:pPr>
              <w:spacing w:line="360" w:lineRule="auto"/>
              <w:rPr>
                <w:rFonts w:ascii="宋体" w:hAnsi="宋体" w:cs="宋体"/>
                <w:sz w:val="24"/>
              </w:rPr>
            </w:pPr>
            <w:r>
              <w:rPr>
                <w:rFonts w:hint="eastAsia" w:ascii="宋体" w:hAnsi="宋体" w:cs="宋体"/>
                <w:sz w:val="24"/>
              </w:rPr>
              <w:t>21、具有静脉壶液位电动调节功能</w:t>
            </w:r>
          </w:p>
          <w:p w14:paraId="28FD4CB7">
            <w:pPr>
              <w:spacing w:line="360" w:lineRule="auto"/>
              <w:rPr>
                <w:rFonts w:ascii="宋体" w:hAnsi="宋体" w:cs="宋体"/>
                <w:sz w:val="24"/>
              </w:rPr>
            </w:pPr>
            <w:r>
              <w:rPr>
                <w:rFonts w:hint="eastAsia" w:ascii="宋体" w:hAnsi="宋体" w:cs="宋体"/>
                <w:sz w:val="24"/>
              </w:rPr>
              <w:t>22、具有透析液</w:t>
            </w:r>
            <w:r>
              <w:rPr>
                <w:rFonts w:hint="eastAsia" w:ascii="宋体" w:hAnsi="宋体" w:cs="宋体"/>
                <w:kern w:val="1"/>
                <w:sz w:val="24"/>
              </w:rPr>
              <w:t>供液暂停功能</w:t>
            </w:r>
          </w:p>
          <w:p w14:paraId="2D440796">
            <w:pPr>
              <w:spacing w:line="360" w:lineRule="auto"/>
              <w:rPr>
                <w:rFonts w:ascii="宋体" w:hAnsi="宋体" w:cs="宋体"/>
                <w:sz w:val="24"/>
              </w:rPr>
            </w:pPr>
            <w:r>
              <w:rPr>
                <w:rFonts w:hint="eastAsia" w:ascii="宋体" w:hAnsi="宋体" w:cs="宋体"/>
                <w:sz w:val="24"/>
              </w:rPr>
              <w:t>★23、具有在线快速补液功能</w:t>
            </w:r>
          </w:p>
          <w:p w14:paraId="07BA2ED4">
            <w:pPr>
              <w:spacing w:line="360" w:lineRule="auto"/>
              <w:rPr>
                <w:rFonts w:ascii="宋体" w:hAnsi="宋体" w:cs="宋体"/>
                <w:sz w:val="24"/>
              </w:rPr>
            </w:pPr>
            <w:r>
              <w:rPr>
                <w:rFonts w:hint="eastAsia" w:ascii="宋体" w:hAnsi="宋体" w:cs="宋体"/>
                <w:sz w:val="24"/>
              </w:rPr>
              <w:t>24、具有一键排液功能</w:t>
            </w:r>
          </w:p>
          <w:p w14:paraId="71BDB78F">
            <w:pPr>
              <w:spacing w:line="360" w:lineRule="auto"/>
              <w:rPr>
                <w:rFonts w:ascii="宋体" w:hAnsi="宋体" w:cs="宋体"/>
                <w:sz w:val="24"/>
              </w:rPr>
            </w:pPr>
            <w:r>
              <w:rPr>
                <w:rFonts w:hint="eastAsia" w:ascii="宋体" w:hAnsi="宋体" w:cs="宋体"/>
                <w:sz w:val="24"/>
              </w:rPr>
              <w:t>25、具有网络接口</w:t>
            </w:r>
          </w:p>
          <w:p w14:paraId="1CF06667">
            <w:pPr>
              <w:spacing w:line="360" w:lineRule="auto"/>
              <w:rPr>
                <w:rFonts w:ascii="宋体" w:hAnsi="宋体" w:cs="宋体"/>
                <w:sz w:val="24"/>
              </w:rPr>
            </w:pPr>
            <w:r>
              <w:rPr>
                <w:rFonts w:hint="eastAsia" w:ascii="宋体" w:hAnsi="宋体" w:cs="宋体"/>
                <w:sz w:val="24"/>
              </w:rPr>
              <w:t>26、可执行水洗、热冲洗、化学消毒和热化学消毒程序；密闭循环消毒模式，连同浓缩液管、机后排液管一体化清洗消毒；可选用柠檬酸、过氧乙酸、次氯酸钠、醋酸等消毒液；热消毒温度最高可达95℃</w:t>
            </w:r>
          </w:p>
          <w:p w14:paraId="400FC4C7">
            <w:pPr>
              <w:spacing w:line="360" w:lineRule="auto"/>
              <w:rPr>
                <w:rFonts w:ascii="宋体" w:hAnsi="宋体" w:cs="宋体"/>
                <w:sz w:val="24"/>
              </w:rPr>
            </w:pPr>
            <w:r>
              <w:rPr>
                <w:rFonts w:hint="eastAsia" w:ascii="宋体" w:hAnsi="宋体" w:cs="宋体"/>
                <w:sz w:val="24"/>
              </w:rPr>
              <w:t>27、</w:t>
            </w:r>
            <w:r>
              <w:rPr>
                <w:rFonts w:hint="eastAsia" w:ascii="宋体" w:hAnsi="宋体" w:cs="宋体"/>
                <w:kern w:val="1"/>
                <w:sz w:val="24"/>
              </w:rPr>
              <w:t>内置后备电池，断电时可自动切换并可维持血泵正常运转及监测显示所有</w:t>
            </w:r>
            <w:r>
              <w:rPr>
                <w:rFonts w:hint="eastAsia" w:ascii="宋体" w:hAnsi="宋体" w:cs="宋体"/>
                <w:sz w:val="24"/>
              </w:rPr>
              <w:t>治疗数据≥45分钟，具备断电记忆功能</w:t>
            </w:r>
          </w:p>
          <w:p w14:paraId="166560E0">
            <w:pPr>
              <w:spacing w:line="360" w:lineRule="auto"/>
              <w:rPr>
                <w:rFonts w:ascii="宋体" w:hAnsi="宋体" w:cs="宋体"/>
                <w:b/>
                <w:sz w:val="24"/>
              </w:rPr>
            </w:pPr>
            <w:r>
              <w:rPr>
                <w:rFonts w:hint="eastAsia" w:ascii="宋体" w:hAnsi="宋体" w:cs="宋体"/>
                <w:b/>
                <w:sz w:val="24"/>
              </w:rPr>
              <w:t>二、规格参数</w:t>
            </w:r>
          </w:p>
          <w:p w14:paraId="36BEF400">
            <w:pPr>
              <w:spacing w:line="360" w:lineRule="auto"/>
              <w:rPr>
                <w:rFonts w:ascii="宋体" w:hAnsi="宋体" w:cs="宋体"/>
                <w:sz w:val="24"/>
              </w:rPr>
            </w:pPr>
            <w:r>
              <w:rPr>
                <w:rFonts w:hint="eastAsia" w:ascii="宋体" w:hAnsi="宋体" w:cs="宋体"/>
                <w:sz w:val="24"/>
              </w:rPr>
              <w:t>1、血流量范围20～600mL/min，调节间隔≤1mL/min</w:t>
            </w:r>
          </w:p>
          <w:p w14:paraId="73E490AE">
            <w:pPr>
              <w:spacing w:line="360" w:lineRule="auto"/>
              <w:rPr>
                <w:rFonts w:ascii="宋体" w:hAnsi="宋体" w:cs="宋体"/>
                <w:sz w:val="24"/>
              </w:rPr>
            </w:pPr>
            <w:r>
              <w:rPr>
                <w:rFonts w:hint="eastAsia" w:ascii="宋体" w:hAnsi="宋体" w:cs="宋体"/>
                <w:sz w:val="24"/>
              </w:rPr>
              <w:t>2、置换液流量范围20～600mL/min</w:t>
            </w:r>
          </w:p>
          <w:p w14:paraId="069DB835">
            <w:pPr>
              <w:spacing w:line="360" w:lineRule="auto"/>
              <w:rPr>
                <w:rFonts w:ascii="宋体" w:hAnsi="宋体" w:cs="宋体"/>
                <w:color w:val="FF0000"/>
                <w:sz w:val="24"/>
              </w:rPr>
            </w:pPr>
            <w:r>
              <w:rPr>
                <w:rFonts w:hint="eastAsia" w:ascii="宋体" w:hAnsi="宋体" w:cs="宋体"/>
                <w:sz w:val="24"/>
              </w:rPr>
              <w:t>3、透析液流量范围300～800mL/min，调节间隔≤1mL/min</w:t>
            </w:r>
          </w:p>
          <w:p w14:paraId="3D1BE769">
            <w:pPr>
              <w:spacing w:line="360" w:lineRule="auto"/>
              <w:rPr>
                <w:rFonts w:ascii="宋体" w:hAnsi="宋体" w:cs="宋体"/>
                <w:sz w:val="24"/>
              </w:rPr>
            </w:pPr>
            <w:r>
              <w:rPr>
                <w:rFonts w:hint="eastAsia" w:ascii="宋体" w:hAnsi="宋体" w:cs="宋体"/>
                <w:sz w:val="24"/>
              </w:rPr>
              <w:t>4、电导率显示范围0～20mS/cm</w:t>
            </w:r>
          </w:p>
          <w:p w14:paraId="1277AC05">
            <w:pPr>
              <w:spacing w:line="360" w:lineRule="auto"/>
              <w:rPr>
                <w:rFonts w:ascii="宋体" w:hAnsi="宋体" w:cs="宋体"/>
                <w:sz w:val="24"/>
              </w:rPr>
            </w:pPr>
            <w:r>
              <w:rPr>
                <w:rFonts w:hint="eastAsia" w:ascii="宋体" w:hAnsi="宋体" w:cs="宋体"/>
                <w:sz w:val="24"/>
              </w:rPr>
              <w:t>5、超滤率0～4000mL/h，精度±1%</w:t>
            </w:r>
          </w:p>
          <w:p w14:paraId="6AA6F606">
            <w:pPr>
              <w:spacing w:line="360" w:lineRule="auto"/>
              <w:rPr>
                <w:rFonts w:ascii="宋体" w:hAnsi="宋体" w:cs="宋体"/>
                <w:sz w:val="24"/>
              </w:rPr>
            </w:pPr>
            <w:r>
              <w:rPr>
                <w:rFonts w:hint="eastAsia" w:ascii="宋体" w:hAnsi="宋体" w:cs="宋体"/>
                <w:sz w:val="24"/>
              </w:rPr>
              <w:t>6、肝素泵流量范围0.1～10mL/h</w:t>
            </w:r>
          </w:p>
          <w:p w14:paraId="480F5FEC">
            <w:pPr>
              <w:spacing w:line="360" w:lineRule="auto"/>
              <w:rPr>
                <w:rFonts w:ascii="宋体" w:hAnsi="宋体" w:cs="宋体"/>
                <w:sz w:val="24"/>
              </w:rPr>
            </w:pPr>
            <w:r>
              <w:rPr>
                <w:rFonts w:hint="eastAsia" w:ascii="宋体" w:hAnsi="宋体" w:cs="宋体"/>
                <w:sz w:val="24"/>
              </w:rPr>
              <w:t>7、动脉压显示范围-700～+800mmHg</w:t>
            </w:r>
          </w:p>
          <w:p w14:paraId="1482ADE7">
            <w:pPr>
              <w:spacing w:line="360" w:lineRule="auto"/>
              <w:rPr>
                <w:rFonts w:ascii="宋体" w:hAnsi="宋体" w:cs="宋体"/>
                <w:color w:val="FF0000"/>
                <w:sz w:val="24"/>
              </w:rPr>
            </w:pPr>
            <w:r>
              <w:rPr>
                <w:rFonts w:hint="eastAsia" w:ascii="宋体" w:hAnsi="宋体" w:cs="宋体"/>
                <w:sz w:val="24"/>
              </w:rPr>
              <w:t>8、静脉压显示范围-700～+800mmHg</w:t>
            </w:r>
          </w:p>
          <w:p w14:paraId="07FAEB43">
            <w:pPr>
              <w:spacing w:line="360" w:lineRule="auto"/>
              <w:rPr>
                <w:rFonts w:ascii="宋体" w:hAnsi="宋体" w:cs="宋体"/>
                <w:sz w:val="24"/>
              </w:rPr>
            </w:pPr>
            <w:r>
              <w:rPr>
                <w:rFonts w:hint="eastAsia" w:ascii="宋体" w:hAnsi="宋体" w:cs="宋体"/>
                <w:sz w:val="24"/>
              </w:rPr>
              <w:t>9、跨膜压显示范围-700～+800mmHg</w:t>
            </w:r>
          </w:p>
          <w:p w14:paraId="5D523E91">
            <w:pPr>
              <w:spacing w:line="360" w:lineRule="auto"/>
              <w:rPr>
                <w:rFonts w:ascii="宋体" w:hAnsi="宋体" w:cs="宋体"/>
                <w:sz w:val="24"/>
              </w:rPr>
            </w:pPr>
            <w:r>
              <w:rPr>
                <w:rFonts w:hint="eastAsia" w:ascii="宋体" w:hAnsi="宋体" w:cs="宋体"/>
                <w:sz w:val="24"/>
              </w:rPr>
              <w:t>10、漏血探测器灵敏度≤0.35mL/min（HCT=32%）</w:t>
            </w:r>
          </w:p>
          <w:p w14:paraId="076D97CC">
            <w:pPr>
              <w:spacing w:line="360" w:lineRule="auto"/>
              <w:rPr>
                <w:rFonts w:ascii="宋体" w:hAnsi="宋体" w:cs="宋体"/>
                <w:sz w:val="24"/>
              </w:rPr>
            </w:pPr>
            <w:r>
              <w:rPr>
                <w:rFonts w:hint="eastAsia" w:ascii="宋体" w:hAnsi="宋体" w:cs="宋体"/>
                <w:sz w:val="24"/>
              </w:rPr>
              <w:t>11、空气检测器灵敏度0.01mL</w:t>
            </w:r>
          </w:p>
          <w:p w14:paraId="4A4285CB">
            <w:pPr>
              <w:spacing w:line="360" w:lineRule="auto"/>
              <w:rPr>
                <w:rFonts w:ascii="宋体" w:hAnsi="宋体" w:cs="宋体"/>
                <w:b/>
                <w:bCs/>
                <w:sz w:val="23"/>
                <w:szCs w:val="23"/>
              </w:rPr>
            </w:pPr>
          </w:p>
        </w:tc>
      </w:tr>
      <w:tr w14:paraId="7334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115A5BAD">
            <w:pPr>
              <w:rPr>
                <w:rFonts w:ascii="宋体" w:hAnsi="宋体" w:cs="宋体"/>
                <w:sz w:val="24"/>
              </w:rPr>
            </w:pPr>
            <w:r>
              <w:rPr>
                <w:rFonts w:hint="eastAsia" w:ascii="宋体" w:hAnsi="宋体" w:cs="宋体"/>
                <w:sz w:val="24"/>
              </w:rPr>
              <w:t>4</w:t>
            </w:r>
          </w:p>
        </w:tc>
        <w:tc>
          <w:tcPr>
            <w:tcW w:w="1697" w:type="dxa"/>
            <w:vAlign w:val="center"/>
          </w:tcPr>
          <w:p w14:paraId="506CE75D">
            <w:pPr>
              <w:rPr>
                <w:rFonts w:ascii="宋体" w:hAnsi="宋体" w:cs="宋体"/>
                <w:b/>
                <w:bCs/>
                <w:sz w:val="23"/>
                <w:szCs w:val="23"/>
              </w:rPr>
            </w:pPr>
            <w:r>
              <w:rPr>
                <w:sz w:val="28"/>
              </w:rPr>
              <w:t>血液透析用水处理系统</w:t>
            </w:r>
          </w:p>
        </w:tc>
        <w:tc>
          <w:tcPr>
            <w:tcW w:w="956" w:type="dxa"/>
            <w:vAlign w:val="center"/>
          </w:tcPr>
          <w:p w14:paraId="3C400297">
            <w:pPr>
              <w:rPr>
                <w:rFonts w:ascii="宋体" w:hAnsi="宋体" w:cs="宋体"/>
                <w:b/>
                <w:bCs/>
                <w:sz w:val="23"/>
                <w:szCs w:val="23"/>
              </w:rPr>
            </w:pPr>
            <w:r>
              <w:rPr>
                <w:rFonts w:hint="eastAsia"/>
                <w:sz w:val="28"/>
              </w:rPr>
              <w:t>1</w:t>
            </w:r>
          </w:p>
        </w:tc>
        <w:tc>
          <w:tcPr>
            <w:tcW w:w="879" w:type="dxa"/>
            <w:vAlign w:val="center"/>
          </w:tcPr>
          <w:p w14:paraId="1BDBE243">
            <w:pPr>
              <w:rPr>
                <w:rFonts w:ascii="宋体" w:hAnsi="宋体" w:cs="宋体"/>
                <w:b/>
                <w:bCs/>
                <w:sz w:val="23"/>
                <w:szCs w:val="23"/>
              </w:rPr>
            </w:pPr>
            <w:r>
              <w:rPr>
                <w:sz w:val="28"/>
              </w:rPr>
              <w:t>套</w:t>
            </w:r>
          </w:p>
        </w:tc>
        <w:tc>
          <w:tcPr>
            <w:tcW w:w="5583" w:type="dxa"/>
            <w:vAlign w:val="center"/>
          </w:tcPr>
          <w:p w14:paraId="607EBB19">
            <w:pPr>
              <w:numPr>
                <w:ilvl w:val="0"/>
                <w:numId w:val="1"/>
              </w:numPr>
              <w:rPr>
                <w:rFonts w:ascii="宋体" w:hAnsi="宋体"/>
                <w:b/>
                <w:bCs/>
                <w:sz w:val="28"/>
                <w:szCs w:val="28"/>
              </w:rPr>
            </w:pPr>
            <w:r>
              <w:rPr>
                <w:rFonts w:hint="eastAsia" w:ascii="宋体" w:hAnsi="宋体"/>
                <w:b/>
                <w:bCs/>
                <w:sz w:val="28"/>
                <w:szCs w:val="28"/>
              </w:rPr>
              <w:t>生产企业资质要求</w:t>
            </w:r>
          </w:p>
          <w:p w14:paraId="7E7A67D3">
            <w:pPr>
              <w:widowControl/>
              <w:numPr>
                <w:ilvl w:val="0"/>
                <w:numId w:val="2"/>
              </w:numPr>
              <w:spacing w:line="276" w:lineRule="auto"/>
              <w:rPr>
                <w:rFonts w:ascii="宋体" w:hAnsi="宋体" w:cs="华文中宋"/>
                <w:kern w:val="0"/>
                <w:sz w:val="24"/>
              </w:rPr>
            </w:pPr>
            <w:r>
              <w:rPr>
                <w:rFonts w:ascii="宋体" w:hAnsi="宋体" w:cs="华文中宋"/>
                <w:kern w:val="0"/>
                <w:sz w:val="24"/>
              </w:rPr>
              <w:t>生产企业必须具备血液透析设备医疗器械生产许可证</w:t>
            </w:r>
          </w:p>
          <w:p w14:paraId="5B9354D9">
            <w:pPr>
              <w:widowControl/>
              <w:numPr>
                <w:ilvl w:val="0"/>
                <w:numId w:val="2"/>
              </w:numPr>
              <w:spacing w:line="276" w:lineRule="auto"/>
              <w:rPr>
                <w:rFonts w:ascii="宋体" w:hAnsi="宋体" w:cs="华文中宋"/>
                <w:kern w:val="0"/>
                <w:sz w:val="24"/>
              </w:rPr>
            </w:pPr>
            <w:r>
              <w:rPr>
                <w:rFonts w:ascii="宋体" w:hAnsi="宋体" w:cs="华文中宋"/>
                <w:kern w:val="0"/>
                <w:sz w:val="24"/>
              </w:rPr>
              <w:t>具有质量管理体系认证证书（ISO 9001）；职业健康安全管理体系认证证书（ISO 45001）；环境管理体系认证证书（ISO 14001）</w:t>
            </w:r>
          </w:p>
          <w:p w14:paraId="0B143A63">
            <w:pPr>
              <w:numPr>
                <w:ilvl w:val="0"/>
                <w:numId w:val="1"/>
              </w:numPr>
              <w:rPr>
                <w:rFonts w:ascii="宋体" w:hAnsi="宋体" w:cs="华文中宋"/>
                <w:b/>
                <w:bCs/>
                <w:kern w:val="0"/>
                <w:sz w:val="28"/>
                <w:szCs w:val="28"/>
              </w:rPr>
            </w:pPr>
            <w:r>
              <w:rPr>
                <w:rFonts w:hint="eastAsia" w:ascii="宋体" w:hAnsi="宋体" w:cs="华文中宋"/>
                <w:b/>
                <w:bCs/>
                <w:kern w:val="0"/>
                <w:sz w:val="28"/>
                <w:szCs w:val="28"/>
              </w:rPr>
              <w:t>设备具体配置要求</w:t>
            </w:r>
          </w:p>
          <w:p w14:paraId="53E84FF7">
            <w:pPr>
              <w:widowControl/>
              <w:numPr>
                <w:ilvl w:val="0"/>
                <w:numId w:val="3"/>
              </w:numPr>
              <w:spacing w:line="276" w:lineRule="auto"/>
              <w:rPr>
                <w:rFonts w:ascii="宋体" w:hAnsi="宋体" w:cs="华文中宋"/>
                <w:kern w:val="0"/>
                <w:sz w:val="24"/>
              </w:rPr>
            </w:pPr>
            <w:r>
              <w:rPr>
                <w:rFonts w:hint="eastAsia" w:ascii="宋体" w:hAnsi="宋体" w:cs="华文中宋"/>
                <w:kern w:val="0"/>
                <w:sz w:val="24"/>
              </w:rPr>
              <w:t>全自动源水加压系统1套</w:t>
            </w:r>
          </w:p>
          <w:p w14:paraId="1E0C1C87">
            <w:pPr>
              <w:widowControl/>
              <w:numPr>
                <w:ilvl w:val="0"/>
                <w:numId w:val="3"/>
              </w:numPr>
              <w:spacing w:line="276" w:lineRule="auto"/>
              <w:rPr>
                <w:rFonts w:ascii="宋体" w:hAnsi="宋体" w:cs="华文中宋"/>
                <w:kern w:val="0"/>
                <w:sz w:val="24"/>
              </w:rPr>
            </w:pPr>
            <w:r>
              <w:rPr>
                <w:rFonts w:hint="eastAsia" w:ascii="宋体" w:hAnsi="宋体" w:cs="华文中宋"/>
                <w:kern w:val="0"/>
                <w:sz w:val="24"/>
              </w:rPr>
              <w:t>全自动多介质过滤罐1套</w:t>
            </w:r>
          </w:p>
          <w:p w14:paraId="7C0609B9">
            <w:pPr>
              <w:widowControl/>
              <w:numPr>
                <w:ilvl w:val="0"/>
                <w:numId w:val="3"/>
              </w:numPr>
              <w:spacing w:line="276" w:lineRule="auto"/>
              <w:rPr>
                <w:rFonts w:ascii="宋体" w:hAnsi="宋体" w:cs="华文中宋"/>
                <w:kern w:val="0"/>
                <w:sz w:val="24"/>
              </w:rPr>
            </w:pPr>
            <w:r>
              <w:rPr>
                <w:rFonts w:hint="eastAsia" w:ascii="宋体" w:hAnsi="宋体" w:cs="华文中宋"/>
                <w:kern w:val="0"/>
                <w:sz w:val="24"/>
              </w:rPr>
              <w:t>全自动活性炭罐1套</w:t>
            </w:r>
          </w:p>
          <w:p w14:paraId="3CB943F7">
            <w:pPr>
              <w:widowControl/>
              <w:numPr>
                <w:ilvl w:val="0"/>
                <w:numId w:val="3"/>
              </w:numPr>
              <w:spacing w:line="276" w:lineRule="auto"/>
              <w:rPr>
                <w:rFonts w:ascii="宋体" w:hAnsi="宋体" w:cs="华文中宋"/>
                <w:kern w:val="0"/>
                <w:sz w:val="24"/>
              </w:rPr>
            </w:pPr>
            <w:r>
              <w:rPr>
                <w:rFonts w:hint="eastAsia" w:ascii="宋体" w:hAnsi="宋体" w:cs="华文中宋"/>
                <w:kern w:val="0"/>
                <w:sz w:val="24"/>
              </w:rPr>
              <w:t>全自动软化器1套</w:t>
            </w:r>
          </w:p>
          <w:p w14:paraId="3784AC3D">
            <w:pPr>
              <w:widowControl/>
              <w:numPr>
                <w:ilvl w:val="0"/>
                <w:numId w:val="3"/>
              </w:numPr>
              <w:spacing w:line="276" w:lineRule="auto"/>
              <w:rPr>
                <w:rFonts w:ascii="宋体" w:hAnsi="宋体" w:cs="华文中宋"/>
                <w:kern w:val="0"/>
                <w:sz w:val="24"/>
              </w:rPr>
            </w:pPr>
            <w:r>
              <w:rPr>
                <w:rFonts w:hint="eastAsia" w:ascii="宋体" w:hAnsi="宋体" w:cs="华文中宋"/>
                <w:kern w:val="0"/>
                <w:sz w:val="24"/>
              </w:rPr>
              <w:t>反渗透主机1套</w:t>
            </w:r>
          </w:p>
          <w:p w14:paraId="214D13E4">
            <w:pPr>
              <w:widowControl/>
              <w:numPr>
                <w:ilvl w:val="0"/>
                <w:numId w:val="3"/>
              </w:numPr>
              <w:spacing w:line="276" w:lineRule="auto"/>
              <w:rPr>
                <w:rFonts w:ascii="宋体" w:hAnsi="宋体" w:cs="华文中宋"/>
                <w:kern w:val="0"/>
                <w:sz w:val="24"/>
              </w:rPr>
            </w:pPr>
            <w:r>
              <w:rPr>
                <w:rFonts w:hint="eastAsia" w:ascii="宋体" w:hAnsi="宋体" w:cs="华文中宋"/>
                <w:kern w:val="0"/>
                <w:sz w:val="24"/>
              </w:rPr>
              <w:t>UPVC材质后级供水主管路</w:t>
            </w:r>
          </w:p>
          <w:p w14:paraId="1C5C5BF9">
            <w:pPr>
              <w:numPr>
                <w:ilvl w:val="0"/>
                <w:numId w:val="1"/>
              </w:numPr>
              <w:rPr>
                <w:rFonts w:ascii="宋体" w:hAnsi="宋体"/>
                <w:b/>
                <w:bCs/>
                <w:sz w:val="28"/>
                <w:szCs w:val="28"/>
              </w:rPr>
            </w:pPr>
            <w:r>
              <w:rPr>
                <w:rFonts w:hint="eastAsia" w:ascii="宋体" w:hAnsi="宋体"/>
                <w:b/>
                <w:bCs/>
                <w:sz w:val="28"/>
                <w:szCs w:val="28"/>
              </w:rPr>
              <w:t>设备性能要求：</w:t>
            </w:r>
          </w:p>
          <w:p w14:paraId="350818A5">
            <w:pPr>
              <w:numPr>
                <w:ilvl w:val="0"/>
                <w:numId w:val="4"/>
              </w:numPr>
              <w:tabs>
                <w:tab w:val="left" w:pos="420"/>
              </w:tabs>
              <w:spacing w:line="360" w:lineRule="auto"/>
              <w:rPr>
                <w:rFonts w:ascii="宋体" w:hAnsi="宋体" w:cs="华文中宋"/>
                <w:sz w:val="24"/>
              </w:rPr>
            </w:pPr>
            <w:r>
              <w:rPr>
                <w:rFonts w:hint="eastAsia" w:ascii="宋体" w:hAnsi="宋体" w:cs="华文中宋"/>
                <w:sz w:val="24"/>
              </w:rPr>
              <w:t>产水量：1600</w:t>
            </w:r>
            <w:r>
              <w:rPr>
                <w:rFonts w:hint="eastAsia" w:ascii="宋体" w:hAnsi="宋体" w:cs="华文中宋"/>
                <w:kern w:val="0"/>
                <w:sz w:val="24"/>
              </w:rPr>
              <w:t>L/h（25℃）</w:t>
            </w:r>
          </w:p>
          <w:p w14:paraId="1BDC67F6">
            <w:pPr>
              <w:numPr>
                <w:ilvl w:val="0"/>
                <w:numId w:val="4"/>
              </w:numPr>
              <w:tabs>
                <w:tab w:val="left" w:pos="420"/>
              </w:tabs>
              <w:spacing w:line="360" w:lineRule="auto"/>
              <w:rPr>
                <w:rFonts w:ascii="宋体" w:hAnsi="宋体" w:cs="华文中宋"/>
                <w:sz w:val="24"/>
              </w:rPr>
            </w:pPr>
            <w:r>
              <w:rPr>
                <w:rFonts w:hint="eastAsia" w:ascii="宋体" w:hAnsi="宋体" w:cs="华文中宋"/>
                <w:sz w:val="24"/>
              </w:rPr>
              <w:t>设备符合YY/T 0793.1-2022血液透析和相关治疗用水处理设备行业标准,产水水质符合YY 0793.2-2023血液透析及相关治疗用水标准。</w:t>
            </w:r>
          </w:p>
          <w:p w14:paraId="5A49E58C">
            <w:pPr>
              <w:numPr>
                <w:ilvl w:val="0"/>
                <w:numId w:val="4"/>
              </w:numPr>
              <w:tabs>
                <w:tab w:val="left" w:pos="420"/>
              </w:tabs>
              <w:spacing w:line="360" w:lineRule="auto"/>
              <w:rPr>
                <w:rFonts w:ascii="宋体" w:hAnsi="宋体" w:cs="华文中宋"/>
                <w:sz w:val="24"/>
              </w:rPr>
            </w:pPr>
            <w:r>
              <w:rPr>
                <w:rFonts w:hint="eastAsia" w:ascii="宋体" w:hAnsi="宋体" w:cs="华文中宋"/>
                <w:sz w:val="24"/>
              </w:rPr>
              <w:t>主机高压泵要求选用知名品牌，高压泵型号须与注册检验报告一致。</w:t>
            </w:r>
          </w:p>
          <w:p w14:paraId="2BC05AE8">
            <w:pPr>
              <w:numPr>
                <w:ilvl w:val="0"/>
                <w:numId w:val="4"/>
              </w:numPr>
              <w:tabs>
                <w:tab w:val="left" w:pos="420"/>
              </w:tabs>
              <w:spacing w:line="360" w:lineRule="auto"/>
              <w:rPr>
                <w:rFonts w:ascii="宋体" w:hAnsi="宋体" w:cs="华文中宋"/>
                <w:sz w:val="24"/>
              </w:rPr>
            </w:pPr>
            <w:r>
              <w:rPr>
                <w:rFonts w:hint="eastAsia" w:ascii="宋体" w:hAnsi="宋体" w:cs="华文中宋"/>
                <w:sz w:val="24"/>
              </w:rPr>
              <w:t>使用8040型号反渗透膜</w:t>
            </w:r>
            <w:r>
              <w:rPr>
                <w:rFonts w:hint="eastAsia" w:ascii="宋体" w:hAnsi="宋体" w:cs="华文中宋"/>
                <w:kern w:val="0"/>
                <w:sz w:val="24"/>
              </w:rPr>
              <w:t>3</w:t>
            </w:r>
            <w:r>
              <w:rPr>
                <w:rFonts w:hint="eastAsia" w:ascii="宋体" w:hAnsi="宋体" w:cs="华文中宋"/>
                <w:sz w:val="24"/>
              </w:rPr>
              <w:t>支。</w:t>
            </w:r>
          </w:p>
          <w:p w14:paraId="2E08E017">
            <w:pPr>
              <w:numPr>
                <w:ilvl w:val="0"/>
                <w:numId w:val="4"/>
              </w:numPr>
              <w:tabs>
                <w:tab w:val="left" w:pos="420"/>
              </w:tabs>
              <w:spacing w:line="360" w:lineRule="auto"/>
              <w:rPr>
                <w:rFonts w:ascii="宋体" w:hAnsi="宋体" w:cs="华文中宋"/>
                <w:sz w:val="24"/>
              </w:rPr>
            </w:pPr>
            <w:r>
              <w:rPr>
                <w:rFonts w:hint="eastAsia" w:ascii="宋体" w:hAnsi="宋体" w:cs="华文中宋"/>
                <w:sz w:val="24"/>
              </w:rPr>
              <w:t>自动化控制阀门采用知名品牌；罐体采用避光玻璃钢材质罐体，耐压150PSI，罐体之间具备旁通结构连接具备故障模式，可直接短接使用。</w:t>
            </w:r>
          </w:p>
          <w:p w14:paraId="456FCFFE">
            <w:pPr>
              <w:numPr>
                <w:ilvl w:val="0"/>
                <w:numId w:val="4"/>
              </w:numPr>
              <w:tabs>
                <w:tab w:val="left" w:pos="420"/>
              </w:tabs>
              <w:spacing w:line="360" w:lineRule="auto"/>
              <w:rPr>
                <w:rFonts w:ascii="宋体" w:hAnsi="宋体" w:cs="华文中宋"/>
                <w:sz w:val="24"/>
              </w:rPr>
            </w:pPr>
            <w:r>
              <w:rPr>
                <w:rFonts w:hint="eastAsia" w:ascii="宋体" w:hAnsi="宋体" w:cs="华文中宋"/>
                <w:sz w:val="24"/>
              </w:rPr>
              <w:t>多介质过滤器采用优质石英砂和锰砂混合填料；活性炭罐采用椰壳活性炭填料，碘吸附值大于1000mg/g;软化罐采用优质树脂填料。</w:t>
            </w:r>
          </w:p>
          <w:p w14:paraId="1DF32AD2">
            <w:pPr>
              <w:numPr>
                <w:ilvl w:val="0"/>
                <w:numId w:val="4"/>
              </w:numPr>
              <w:tabs>
                <w:tab w:val="left" w:pos="420"/>
              </w:tabs>
              <w:spacing w:line="360" w:lineRule="auto"/>
              <w:rPr>
                <w:rFonts w:ascii="宋体" w:hAnsi="宋体" w:cs="华文中宋"/>
                <w:sz w:val="24"/>
              </w:rPr>
            </w:pPr>
            <w:r>
              <w:rPr>
                <w:rFonts w:hint="eastAsia" w:ascii="宋体" w:hAnsi="宋体" w:cs="华文中宋"/>
                <w:color w:val="000000"/>
                <w:sz w:val="24"/>
              </w:rPr>
              <w:t>真彩高清触摸屏</w:t>
            </w:r>
            <w:r>
              <w:rPr>
                <w:rFonts w:hint="eastAsia" w:ascii="宋体" w:hAnsi="宋体" w:cs="宋体"/>
                <w:color w:val="000000"/>
                <w:sz w:val="24"/>
              </w:rPr>
              <w:t>≥</w:t>
            </w:r>
            <w:r>
              <w:rPr>
                <w:rFonts w:hint="eastAsia" w:ascii="宋体" w:hAnsi="宋体" w:cs="华文中宋"/>
                <w:color w:val="000000"/>
                <w:sz w:val="24"/>
              </w:rPr>
              <w:t>10英寸，工艺流程动态显示，可查看系统产水量。</w:t>
            </w:r>
          </w:p>
          <w:p w14:paraId="4E5A6B77">
            <w:pPr>
              <w:numPr>
                <w:ilvl w:val="0"/>
                <w:numId w:val="4"/>
              </w:numPr>
              <w:tabs>
                <w:tab w:val="left" w:pos="420"/>
              </w:tabs>
              <w:spacing w:line="360" w:lineRule="auto"/>
              <w:rPr>
                <w:rFonts w:ascii="宋体" w:hAnsi="宋体" w:cs="华文中宋"/>
                <w:sz w:val="24"/>
              </w:rPr>
            </w:pPr>
            <w:r>
              <w:rPr>
                <w:rFonts w:hint="eastAsia" w:ascii="宋体" w:hAnsi="宋体" w:cs="华文中宋"/>
                <w:sz w:val="24"/>
              </w:rPr>
              <w:t>具有全自动控制功能，根据系统设定的时间表，设备会自动启停和间隔运行，同时具有一键式强制关机功能，方便应对突发事故（需提供注册证及检测报告相关资料）。</w:t>
            </w:r>
          </w:p>
          <w:p w14:paraId="4D8DB88D">
            <w:pPr>
              <w:numPr>
                <w:ilvl w:val="0"/>
                <w:numId w:val="4"/>
              </w:numPr>
              <w:tabs>
                <w:tab w:val="left" w:pos="420"/>
              </w:tabs>
              <w:spacing w:line="360" w:lineRule="auto"/>
              <w:rPr>
                <w:rFonts w:ascii="宋体" w:hAnsi="宋体" w:cs="华文中宋"/>
                <w:sz w:val="24"/>
              </w:rPr>
            </w:pPr>
            <w:r>
              <w:rPr>
                <w:rFonts w:hint="eastAsia" w:ascii="宋体" w:hAnsi="宋体" w:cs="华文中宋"/>
                <w:sz w:val="24"/>
              </w:rPr>
              <w:t>具有运行数据检测、分析、记录功能，对电导、温度、流量等系统重要数据实时监测，能够定时存储并上传PC打印。</w:t>
            </w:r>
          </w:p>
          <w:p w14:paraId="44DFEED3">
            <w:pPr>
              <w:numPr>
                <w:ilvl w:val="0"/>
                <w:numId w:val="4"/>
              </w:numPr>
              <w:tabs>
                <w:tab w:val="left" w:pos="420"/>
              </w:tabs>
              <w:spacing w:line="360" w:lineRule="auto"/>
              <w:rPr>
                <w:rFonts w:ascii="宋体" w:hAnsi="宋体" w:cs="华文中宋"/>
                <w:sz w:val="24"/>
              </w:rPr>
            </w:pPr>
            <w:r>
              <w:rPr>
                <w:rFonts w:hint="eastAsia" w:ascii="宋体" w:hAnsi="宋体" w:cs="华文中宋"/>
                <w:color w:val="000000"/>
                <w:sz w:val="24"/>
              </w:rPr>
              <w:t>前级源水加压泵采用变频恒压供水装置</w:t>
            </w:r>
            <w:r>
              <w:rPr>
                <w:rFonts w:hint="eastAsia" w:ascii="宋体" w:hAnsi="宋体" w:cs="华文中宋"/>
                <w:sz w:val="24"/>
              </w:rPr>
              <w:t>，要求独立控制器控制，具有参数设定功能，并可显示运行情况、报警信息。</w:t>
            </w:r>
          </w:p>
          <w:p w14:paraId="431C7232">
            <w:pPr>
              <w:numPr>
                <w:ilvl w:val="0"/>
                <w:numId w:val="4"/>
              </w:numPr>
              <w:tabs>
                <w:tab w:val="left" w:pos="420"/>
              </w:tabs>
              <w:spacing w:line="360" w:lineRule="auto"/>
              <w:rPr>
                <w:rFonts w:ascii="宋体" w:hAnsi="宋体" w:cs="华文中宋"/>
                <w:sz w:val="24"/>
              </w:rPr>
            </w:pPr>
            <w:r>
              <w:rPr>
                <w:rFonts w:hint="eastAsia" w:ascii="宋体" w:hAnsi="宋体" w:cs="华文中宋"/>
                <w:sz w:val="24"/>
              </w:rPr>
              <w:t>设备配有温度控制系统，对主机进水进行连续的温度监测，避免水温过高造成膜组损坏及透析事故。环境温度低时自动对进水加温，保障设备产水量稳定。</w:t>
            </w:r>
          </w:p>
          <w:p w14:paraId="520BB336">
            <w:pPr>
              <w:numPr>
                <w:ilvl w:val="0"/>
                <w:numId w:val="4"/>
              </w:numPr>
              <w:tabs>
                <w:tab w:val="left" w:pos="420"/>
              </w:tabs>
              <w:spacing w:line="360" w:lineRule="auto"/>
              <w:rPr>
                <w:rFonts w:ascii="宋体" w:hAnsi="宋体" w:cs="华文中宋"/>
                <w:sz w:val="24"/>
              </w:rPr>
            </w:pPr>
            <w:r>
              <w:rPr>
                <w:rFonts w:hint="eastAsia" w:ascii="宋体" w:hAnsi="宋体" w:cs="华文中宋"/>
                <w:sz w:val="24"/>
              </w:rPr>
              <w:t>预处理控制：智能调控预处理再生时间，集成于主机触摸屏上进行设置，兼容于水处理的操作系统。避免预处理冲洗、再生与主机运行相冲突；</w:t>
            </w:r>
          </w:p>
          <w:p w14:paraId="06419165">
            <w:pPr>
              <w:numPr>
                <w:ilvl w:val="0"/>
                <w:numId w:val="4"/>
              </w:numPr>
              <w:tabs>
                <w:tab w:val="left" w:pos="420"/>
              </w:tabs>
              <w:spacing w:line="360" w:lineRule="auto"/>
              <w:rPr>
                <w:rFonts w:ascii="宋体" w:hAnsi="宋体" w:cs="华文中宋"/>
                <w:sz w:val="24"/>
              </w:rPr>
            </w:pPr>
            <w:r>
              <w:rPr>
                <w:rFonts w:hint="eastAsia" w:ascii="宋体" w:hAnsi="宋体" w:cs="华文中宋"/>
                <w:sz w:val="24"/>
              </w:rPr>
              <w:t>反渗透系统具有水处理间漏水在线检测功能，漏水自动切断水源，保证运行安全。</w:t>
            </w:r>
          </w:p>
          <w:p w14:paraId="0914FE53">
            <w:pPr>
              <w:numPr>
                <w:ilvl w:val="0"/>
                <w:numId w:val="4"/>
              </w:numPr>
              <w:tabs>
                <w:tab w:val="left" w:pos="420"/>
              </w:tabs>
              <w:spacing w:line="360" w:lineRule="auto"/>
              <w:rPr>
                <w:rFonts w:ascii="宋体" w:hAnsi="宋体" w:cs="华文中宋"/>
                <w:sz w:val="24"/>
              </w:rPr>
            </w:pPr>
            <w:r>
              <w:rPr>
                <w:rFonts w:hint="eastAsia" w:ascii="宋体" w:hAnsi="宋体" w:cs="华文中宋"/>
                <w:sz w:val="24"/>
              </w:rPr>
              <w:t>反渗透系统具有待机防渗漏在线检测功能，可有效防止无人值守时，设备及管路渗漏造成损失。</w:t>
            </w:r>
          </w:p>
          <w:p w14:paraId="7E6A328B">
            <w:pPr>
              <w:numPr>
                <w:ilvl w:val="0"/>
                <w:numId w:val="4"/>
              </w:numPr>
              <w:tabs>
                <w:tab w:val="left" w:pos="420"/>
              </w:tabs>
              <w:spacing w:line="360" w:lineRule="auto"/>
              <w:rPr>
                <w:rFonts w:ascii="宋体" w:hAnsi="宋体" w:cs="华文中宋"/>
                <w:sz w:val="24"/>
              </w:rPr>
            </w:pPr>
            <w:r>
              <w:rPr>
                <w:rFonts w:hint="eastAsia" w:ascii="宋体" w:hAnsi="宋体" w:cs="华文中宋"/>
                <w:color w:val="000000"/>
                <w:sz w:val="24"/>
              </w:rPr>
              <w:t>设备具有激活测试模式，可点动强制操作应急制水，并可点动泵阀等关键元件，检测关键元件的质量状态。</w:t>
            </w:r>
          </w:p>
          <w:p w14:paraId="58BBD96D">
            <w:pPr>
              <w:numPr>
                <w:ilvl w:val="0"/>
                <w:numId w:val="4"/>
              </w:numPr>
              <w:tabs>
                <w:tab w:val="left" w:pos="420"/>
              </w:tabs>
              <w:spacing w:line="360" w:lineRule="auto"/>
              <w:rPr>
                <w:rFonts w:ascii="宋体" w:hAnsi="宋体" w:cs="华文中宋"/>
                <w:sz w:val="24"/>
              </w:rPr>
            </w:pPr>
            <w:r>
              <w:rPr>
                <w:rFonts w:hint="eastAsia" w:ascii="宋体" w:hAnsi="宋体" w:cs="华文中宋"/>
                <w:color w:val="000000"/>
                <w:sz w:val="24"/>
              </w:rPr>
              <w:t>要具有营运数据维护分析系统，可对系统总产水量、总用水量、预处理滤罐处理水量以及反渗透膜组累积处理水量等进行记录，并与设置的元器件工作寿命及泵阀动作次数及运行时间相对比，提示对设备及时维护和元器件的更换，确保设备能够连续运转。</w:t>
            </w:r>
          </w:p>
          <w:p w14:paraId="645014AE">
            <w:pPr>
              <w:numPr>
                <w:ilvl w:val="0"/>
                <w:numId w:val="4"/>
              </w:numPr>
              <w:tabs>
                <w:tab w:val="left" w:pos="420"/>
              </w:tabs>
              <w:spacing w:line="360" w:lineRule="auto"/>
              <w:rPr>
                <w:rFonts w:ascii="宋体" w:hAnsi="宋体" w:cs="华文中宋"/>
                <w:sz w:val="24"/>
              </w:rPr>
            </w:pPr>
            <w:r>
              <w:rPr>
                <w:rFonts w:hint="eastAsia" w:ascii="宋体" w:hAnsi="宋体" w:cs="华文中宋"/>
                <w:color w:val="000000"/>
                <w:sz w:val="24"/>
              </w:rPr>
              <w:t>开关机冲洗功能，每天开机前自动冲洗反渗透膜，有效延长膜使用寿命。</w:t>
            </w:r>
          </w:p>
          <w:p w14:paraId="52317E7F">
            <w:pPr>
              <w:numPr>
                <w:ilvl w:val="0"/>
                <w:numId w:val="4"/>
              </w:numPr>
              <w:tabs>
                <w:tab w:val="left" w:pos="420"/>
              </w:tabs>
              <w:spacing w:line="360" w:lineRule="auto"/>
              <w:rPr>
                <w:rFonts w:ascii="宋体" w:hAnsi="宋体" w:cs="华文中宋"/>
                <w:sz w:val="24"/>
              </w:rPr>
            </w:pPr>
            <w:r>
              <w:rPr>
                <w:rFonts w:hint="eastAsia" w:ascii="宋体" w:hAnsi="宋体" w:cs="华文中宋"/>
                <w:color w:val="000000"/>
                <w:sz w:val="24"/>
              </w:rPr>
              <w:t>系统具有电气保护设置，对电源缺相、接地、电机过流或过载实施保护；整机符合医用电气设备GB9706.1-2020安全通用要求及YY9706.102-2021电磁兼容的相关要求，为操作人员提供更安全可靠的保护。</w:t>
            </w:r>
          </w:p>
          <w:p w14:paraId="139ED427">
            <w:pPr>
              <w:numPr>
                <w:ilvl w:val="0"/>
                <w:numId w:val="4"/>
              </w:numPr>
              <w:tabs>
                <w:tab w:val="left" w:pos="420"/>
              </w:tabs>
              <w:spacing w:line="360" w:lineRule="auto"/>
              <w:rPr>
                <w:rFonts w:ascii="宋体" w:hAnsi="宋体" w:cs="华文中宋"/>
                <w:sz w:val="24"/>
              </w:rPr>
            </w:pPr>
            <w:r>
              <w:rPr>
                <w:rFonts w:hint="eastAsia" w:ascii="宋体" w:hAnsi="宋体" w:cs="华文中宋"/>
                <w:color w:val="000000"/>
                <w:sz w:val="24"/>
              </w:rPr>
              <w:t>设备有化学消毒功能，系统可定期提示消毒，并自动记录存储消毒数据，消毒信息可追溯。</w:t>
            </w:r>
          </w:p>
          <w:p w14:paraId="17A27251">
            <w:pPr>
              <w:numPr>
                <w:ilvl w:val="0"/>
                <w:numId w:val="4"/>
              </w:numPr>
              <w:tabs>
                <w:tab w:val="left" w:pos="420"/>
              </w:tabs>
              <w:spacing w:line="360" w:lineRule="auto"/>
              <w:rPr>
                <w:rFonts w:ascii="宋体" w:hAnsi="宋体" w:cs="华文中宋"/>
                <w:sz w:val="24"/>
              </w:rPr>
            </w:pPr>
            <w:r>
              <w:rPr>
                <w:rFonts w:hint="eastAsia" w:ascii="宋体" w:hAnsi="宋体" w:cs="华文中宋"/>
                <w:color w:val="000000"/>
                <w:sz w:val="24"/>
              </w:rPr>
              <w:t>具有全自动的故障运行模式，故障一级和故障二级模式，可全自动按着双级运行时间表，执行制水、待机清洗等模式，无需操作人员另外调整。</w:t>
            </w:r>
          </w:p>
          <w:p w14:paraId="4CC6D0BE">
            <w:pPr>
              <w:numPr>
                <w:ilvl w:val="0"/>
                <w:numId w:val="4"/>
              </w:numPr>
              <w:tabs>
                <w:tab w:val="left" w:pos="420"/>
              </w:tabs>
              <w:spacing w:line="360" w:lineRule="auto"/>
              <w:rPr>
                <w:rFonts w:ascii="宋体" w:hAnsi="宋体" w:cs="宋体"/>
                <w:sz w:val="24"/>
              </w:rPr>
            </w:pPr>
            <w:r>
              <w:rPr>
                <w:rFonts w:hint="eastAsia" w:ascii="宋体" w:hAnsi="宋体" w:cs="华文中宋"/>
                <w:sz w:val="24"/>
              </w:rPr>
              <w:t>配有远程监控系统，选择品质稳定互联网服务器，可远程对设备实时监控。</w:t>
            </w:r>
          </w:p>
          <w:p w14:paraId="71B693FF">
            <w:pPr>
              <w:numPr>
                <w:ilvl w:val="0"/>
                <w:numId w:val="4"/>
              </w:numPr>
              <w:tabs>
                <w:tab w:val="left" w:pos="420"/>
              </w:tabs>
              <w:spacing w:line="360" w:lineRule="auto"/>
              <w:rPr>
                <w:rFonts w:ascii="宋体" w:hAnsi="宋体" w:cs="宋体"/>
                <w:sz w:val="24"/>
              </w:rPr>
            </w:pPr>
            <w:r>
              <w:rPr>
                <w:rFonts w:hint="eastAsia" w:ascii="宋体" w:hAnsi="宋体" w:cs="华文中宋"/>
                <w:sz w:val="24"/>
              </w:rPr>
              <w:t>具备声光报警功能，通过医用电气设备和电气系统报警信号测试系统YY9706.108-2021的检测。</w:t>
            </w:r>
          </w:p>
          <w:p w14:paraId="779DB893">
            <w:pPr>
              <w:numPr>
                <w:ilvl w:val="0"/>
                <w:numId w:val="4"/>
              </w:numPr>
              <w:tabs>
                <w:tab w:val="left" w:pos="420"/>
              </w:tabs>
              <w:spacing w:line="360" w:lineRule="auto"/>
              <w:rPr>
                <w:rFonts w:ascii="宋体" w:hAnsi="宋体" w:cs="宋体"/>
                <w:sz w:val="24"/>
              </w:rPr>
            </w:pPr>
            <w:r>
              <w:rPr>
                <w:rFonts w:hint="eastAsia" w:ascii="宋体" w:hAnsi="宋体" w:cs="宋体"/>
                <w:sz w:val="24"/>
              </w:rPr>
              <w:t>设备注册设计使用年限不少于15年。</w:t>
            </w:r>
          </w:p>
          <w:p w14:paraId="5CB65B2D">
            <w:pPr>
              <w:rPr>
                <w:rFonts w:ascii="宋体" w:hAnsi="宋体" w:cs="宋体"/>
                <w:sz w:val="24"/>
              </w:rPr>
            </w:pPr>
          </w:p>
        </w:tc>
      </w:tr>
      <w:tr w14:paraId="0D9E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389803CA">
            <w:pPr>
              <w:rPr>
                <w:rFonts w:ascii="宋体" w:hAnsi="宋体" w:cs="宋体"/>
                <w:sz w:val="24"/>
              </w:rPr>
            </w:pPr>
            <w:r>
              <w:rPr>
                <w:rFonts w:hint="eastAsia" w:ascii="宋体" w:hAnsi="宋体" w:cs="宋体"/>
                <w:sz w:val="24"/>
              </w:rPr>
              <w:t>5</w:t>
            </w:r>
          </w:p>
        </w:tc>
        <w:tc>
          <w:tcPr>
            <w:tcW w:w="1697" w:type="dxa"/>
            <w:vAlign w:val="center"/>
          </w:tcPr>
          <w:p w14:paraId="33E7872C">
            <w:pPr>
              <w:rPr>
                <w:rFonts w:ascii="宋体" w:hAnsi="宋体" w:cs="宋体"/>
                <w:b/>
                <w:bCs/>
                <w:sz w:val="23"/>
                <w:szCs w:val="23"/>
              </w:rPr>
            </w:pPr>
            <w:r>
              <w:rPr>
                <w:sz w:val="28"/>
              </w:rPr>
              <w:t>云净血透</w:t>
            </w:r>
            <w:r>
              <w:rPr>
                <w:rFonts w:hint="eastAsia"/>
                <w:sz w:val="28"/>
              </w:rPr>
              <w:t>AI质控平台</w:t>
            </w:r>
          </w:p>
        </w:tc>
        <w:tc>
          <w:tcPr>
            <w:tcW w:w="956" w:type="dxa"/>
            <w:vAlign w:val="center"/>
          </w:tcPr>
          <w:p w14:paraId="345467F8">
            <w:pPr>
              <w:rPr>
                <w:rFonts w:ascii="宋体" w:hAnsi="宋体" w:cs="宋体"/>
                <w:b/>
                <w:bCs/>
                <w:sz w:val="23"/>
                <w:szCs w:val="23"/>
              </w:rPr>
            </w:pPr>
            <w:r>
              <w:rPr>
                <w:rFonts w:hint="eastAsia"/>
                <w:sz w:val="28"/>
              </w:rPr>
              <w:t>1</w:t>
            </w:r>
          </w:p>
        </w:tc>
        <w:tc>
          <w:tcPr>
            <w:tcW w:w="879" w:type="dxa"/>
            <w:vAlign w:val="center"/>
          </w:tcPr>
          <w:p w14:paraId="452A96AB">
            <w:pPr>
              <w:rPr>
                <w:rFonts w:ascii="宋体" w:hAnsi="宋体" w:cs="宋体"/>
                <w:b/>
                <w:bCs/>
                <w:sz w:val="23"/>
                <w:szCs w:val="23"/>
              </w:rPr>
            </w:pPr>
            <w:r>
              <w:rPr>
                <w:sz w:val="28"/>
              </w:rPr>
              <w:t>套</w:t>
            </w:r>
          </w:p>
        </w:tc>
        <w:tc>
          <w:tcPr>
            <w:tcW w:w="5583" w:type="dxa"/>
            <w:vAlign w:val="center"/>
          </w:tcPr>
          <w:p w14:paraId="0D529721">
            <w:pPr>
              <w:rPr>
                <w:rFonts w:ascii="宋体" w:hAnsi="宋体" w:cs="宋体"/>
                <w:sz w:val="24"/>
              </w:rPr>
            </w:pPr>
            <w:r>
              <w:rPr>
                <w:rFonts w:hint="eastAsia" w:ascii="宋体" w:hAnsi="宋体" w:cs="宋体"/>
                <w:sz w:val="24"/>
              </w:rPr>
              <w:t>总体要求</w:t>
            </w:r>
          </w:p>
          <w:p w14:paraId="5AE87EC3">
            <w:pPr>
              <w:rPr>
                <w:rFonts w:ascii="宋体" w:hAnsi="宋体" w:cs="宋体"/>
                <w:sz w:val="24"/>
              </w:rPr>
            </w:pPr>
            <w:r>
              <w:rPr>
                <w:rFonts w:hint="eastAsia" w:ascii="宋体" w:hAnsi="宋体" w:cs="宋体"/>
                <w:sz w:val="24"/>
              </w:rPr>
              <w:t>★1.采用本地服务器构建</w:t>
            </w:r>
          </w:p>
          <w:p w14:paraId="353D35D3">
            <w:pPr>
              <w:rPr>
                <w:rFonts w:ascii="宋体" w:hAnsi="宋体" w:cs="宋体"/>
                <w:sz w:val="24"/>
              </w:rPr>
            </w:pPr>
            <w:r>
              <w:rPr>
                <w:rFonts w:hint="eastAsia" w:ascii="宋体" w:hAnsi="宋体" w:cs="宋体"/>
                <w:sz w:val="24"/>
              </w:rPr>
              <w:t>2.采用C\S和B\S混合架构，兼顾安全性与使用便利性，非单独C\S 或 B\S架构</w:t>
            </w:r>
          </w:p>
          <w:p w14:paraId="14490017">
            <w:pPr>
              <w:rPr>
                <w:rFonts w:ascii="宋体" w:hAnsi="宋体" w:cs="宋体"/>
                <w:sz w:val="24"/>
              </w:rPr>
            </w:pPr>
            <w:r>
              <w:rPr>
                <w:rFonts w:hint="eastAsia" w:ascii="宋体" w:hAnsi="宋体" w:cs="宋体"/>
                <w:sz w:val="24"/>
              </w:rPr>
              <w:t>3.客户端需支持Win7、Win10各个操作系统</w:t>
            </w:r>
          </w:p>
          <w:p w14:paraId="29B747FC">
            <w:pPr>
              <w:rPr>
                <w:rFonts w:ascii="宋体" w:hAnsi="宋体" w:cs="宋体"/>
                <w:sz w:val="24"/>
              </w:rPr>
            </w:pPr>
            <w:r>
              <w:rPr>
                <w:rFonts w:hint="eastAsia" w:ascii="宋体" w:hAnsi="宋体" w:cs="宋体"/>
                <w:sz w:val="24"/>
              </w:rPr>
              <w:t>4.平板端需同时支持Android 和 IOS系统</w:t>
            </w:r>
          </w:p>
          <w:p w14:paraId="0021938F">
            <w:pPr>
              <w:rPr>
                <w:rFonts w:ascii="宋体" w:hAnsi="宋体" w:cs="宋体"/>
                <w:b/>
                <w:bCs/>
                <w:sz w:val="24"/>
              </w:rPr>
            </w:pPr>
            <w:r>
              <w:rPr>
                <w:rFonts w:hint="eastAsia" w:ascii="宋体" w:hAnsi="宋体" w:cs="宋体"/>
                <w:b/>
                <w:bCs/>
                <w:sz w:val="24"/>
              </w:rPr>
              <w:t>具体性能及参数要求：</w:t>
            </w:r>
          </w:p>
          <w:p w14:paraId="5F9CE0C0">
            <w:pPr>
              <w:rPr>
                <w:rFonts w:ascii="宋体" w:hAnsi="宋体" w:cs="宋体"/>
                <w:sz w:val="24"/>
              </w:rPr>
            </w:pPr>
            <w:r>
              <w:rPr>
                <w:rFonts w:hint="eastAsia" w:ascii="宋体" w:hAnsi="宋体" w:cs="宋体"/>
                <w:b/>
                <w:bCs/>
                <w:sz w:val="24"/>
              </w:rPr>
              <w:t>大屏显示功能</w:t>
            </w:r>
          </w:p>
          <w:p w14:paraId="71932B47">
            <w:pPr>
              <w:rPr>
                <w:rFonts w:ascii="宋体" w:hAnsi="宋体" w:cs="宋体"/>
                <w:sz w:val="24"/>
              </w:rPr>
            </w:pPr>
            <w:r>
              <w:rPr>
                <w:rFonts w:hint="eastAsia" w:ascii="宋体" w:hAnsi="宋体" w:cs="宋体"/>
                <w:sz w:val="24"/>
              </w:rPr>
              <w:t>1.具备家属等待区大屏显示功能可以显示当前患者透析状态，预计下机时间、患者宣教等信息</w:t>
            </w:r>
          </w:p>
          <w:p w14:paraId="715CDC6C">
            <w:pPr>
              <w:rPr>
                <w:rFonts w:ascii="宋体" w:hAnsi="宋体" w:cs="宋体"/>
                <w:sz w:val="24"/>
              </w:rPr>
            </w:pPr>
            <w:r>
              <w:rPr>
                <w:rFonts w:hint="eastAsia" w:ascii="宋体" w:hAnsi="宋体" w:cs="宋体"/>
                <w:sz w:val="24"/>
              </w:rPr>
              <w:t>2.具备大屏幕显示功能，显示患者治疗状态</w:t>
            </w:r>
          </w:p>
          <w:p w14:paraId="46D92C87">
            <w:pPr>
              <w:rPr>
                <w:rFonts w:ascii="宋体" w:hAnsi="宋体" w:cs="宋体"/>
                <w:sz w:val="24"/>
              </w:rPr>
            </w:pPr>
            <w:r>
              <w:rPr>
                <w:rFonts w:hint="eastAsia" w:ascii="宋体" w:hAnsi="宋体" w:cs="宋体"/>
                <w:b/>
                <w:bCs/>
                <w:sz w:val="24"/>
              </w:rPr>
              <w:t>排班管理功能</w:t>
            </w:r>
          </w:p>
          <w:p w14:paraId="141DE1BD">
            <w:pPr>
              <w:rPr>
                <w:rFonts w:ascii="宋体" w:hAnsi="宋体" w:cs="宋体"/>
                <w:sz w:val="24"/>
              </w:rPr>
            </w:pPr>
            <w:r>
              <w:rPr>
                <w:rFonts w:hint="eastAsia" w:ascii="宋体" w:hAnsi="宋体" w:cs="宋体"/>
                <w:sz w:val="24"/>
              </w:rPr>
              <w:t>1.具备预约排班功能，能够对排班模板自动进行复制，并且随时可以编辑；排班模板可以进行查看，导入，导出excel格式和打印；只需要定义患者一周排几次，机器号，系统能自动排患者到相应位置</w:t>
            </w:r>
          </w:p>
          <w:p w14:paraId="37747D7D">
            <w:pPr>
              <w:rPr>
                <w:rFonts w:ascii="宋体" w:hAnsi="宋体" w:cs="宋体"/>
                <w:sz w:val="24"/>
              </w:rPr>
            </w:pPr>
            <w:r>
              <w:rPr>
                <w:rFonts w:hint="eastAsia" w:ascii="宋体" w:hAnsi="宋体" w:cs="宋体"/>
                <w:sz w:val="24"/>
              </w:rPr>
              <w:t>2.预约排班和排班模板界面，均支持拖拽式排班、能快速替换，预约排班和排班模板可以互相导入</w:t>
            </w:r>
          </w:p>
          <w:p w14:paraId="57D3D495">
            <w:pPr>
              <w:rPr>
                <w:rFonts w:ascii="宋体" w:hAnsi="宋体" w:cs="宋体"/>
                <w:sz w:val="24"/>
              </w:rPr>
            </w:pPr>
            <w:r>
              <w:rPr>
                <w:rFonts w:hint="eastAsia" w:ascii="宋体" w:hAnsi="宋体" w:cs="宋体"/>
                <w:sz w:val="24"/>
              </w:rPr>
              <w:t>3.具备智能排班功能，可对多个模板一次性进行排班后保存，无需反复切换界面，多次保存</w:t>
            </w:r>
          </w:p>
          <w:p w14:paraId="589610C0">
            <w:pPr>
              <w:rPr>
                <w:rFonts w:ascii="宋体" w:hAnsi="宋体" w:cs="宋体"/>
                <w:sz w:val="24"/>
              </w:rPr>
            </w:pPr>
            <w:r>
              <w:rPr>
                <w:rFonts w:hint="eastAsia" w:ascii="宋体" w:hAnsi="宋体" w:cs="宋体"/>
                <w:sz w:val="24"/>
              </w:rPr>
              <w:t>4.具备当班患者透析耗材和透析药品查看和打印功能、包括统计打印、针对患者的整体打印和标签打印</w:t>
            </w:r>
          </w:p>
          <w:p w14:paraId="4A68EA01">
            <w:pPr>
              <w:rPr>
                <w:rFonts w:ascii="宋体" w:hAnsi="宋体" w:cs="宋体"/>
                <w:sz w:val="24"/>
              </w:rPr>
            </w:pPr>
            <w:r>
              <w:rPr>
                <w:rFonts w:hint="eastAsia" w:ascii="宋体" w:hAnsi="宋体" w:cs="宋体"/>
                <w:sz w:val="24"/>
              </w:rPr>
              <w:t>5.可以在排班表上查看每个患者的透析方式和透析器，从而减轻护士工作量</w:t>
            </w:r>
          </w:p>
          <w:p w14:paraId="553BB589">
            <w:pPr>
              <w:rPr>
                <w:rFonts w:ascii="宋体" w:hAnsi="宋体" w:cs="宋体"/>
                <w:sz w:val="24"/>
              </w:rPr>
            </w:pPr>
            <w:r>
              <w:rPr>
                <w:rFonts w:hint="eastAsia" w:ascii="宋体" w:hAnsi="宋体" w:cs="宋体"/>
                <w:sz w:val="24"/>
              </w:rPr>
              <w:t>6.具备医护排班功能，可以对医生、护士、进修生进行排班；可以统计工作时间、休息时间等</w:t>
            </w:r>
          </w:p>
          <w:p w14:paraId="56863588">
            <w:pPr>
              <w:rPr>
                <w:rFonts w:ascii="宋体" w:hAnsi="宋体" w:cs="宋体"/>
                <w:sz w:val="24"/>
              </w:rPr>
            </w:pPr>
            <w:r>
              <w:rPr>
                <w:rFonts w:hint="eastAsia" w:ascii="宋体" w:hAnsi="宋体" w:cs="宋体"/>
                <w:sz w:val="24"/>
              </w:rPr>
              <w:t>7.具备透析预算功能，可以根据排班情况，自动列出未来自定义的一个时间段内患者的透析模式和透析次数</w:t>
            </w:r>
          </w:p>
          <w:p w14:paraId="0CC39B72">
            <w:pPr>
              <w:rPr>
                <w:rFonts w:ascii="宋体" w:hAnsi="宋体" w:cs="宋体"/>
                <w:sz w:val="24"/>
              </w:rPr>
            </w:pPr>
            <w:r>
              <w:rPr>
                <w:rFonts w:hint="eastAsia" w:ascii="宋体" w:hAnsi="宋体" w:cs="宋体"/>
                <w:sz w:val="24"/>
              </w:rPr>
              <w:t>8.可设置权限，对每个医生护士进行排班权限设置，包括是否可以进入排班功能，是否可以对排班模板进行修改</w:t>
            </w:r>
          </w:p>
          <w:p w14:paraId="0AFCE412">
            <w:pPr>
              <w:rPr>
                <w:rFonts w:ascii="宋体" w:hAnsi="宋体" w:cs="宋体"/>
                <w:sz w:val="24"/>
              </w:rPr>
            </w:pPr>
            <w:r>
              <w:rPr>
                <w:rFonts w:hint="eastAsia" w:ascii="宋体" w:hAnsi="宋体" w:cs="宋体"/>
                <w:sz w:val="24"/>
              </w:rPr>
              <w:t>★9.具备排班管理的智能审核功能，系统支持智能分析患者不同透析模式排班次数可能的异常，患者排班与透析方案的匹配度、患者排班分区、机器、患者传染病信息等综合评估的匹配合理性。</w:t>
            </w:r>
          </w:p>
          <w:p w14:paraId="435092F2">
            <w:pPr>
              <w:rPr>
                <w:rFonts w:ascii="宋体" w:hAnsi="宋体" w:cs="宋体"/>
                <w:b/>
                <w:bCs/>
                <w:sz w:val="24"/>
              </w:rPr>
            </w:pPr>
            <w:r>
              <w:rPr>
                <w:rFonts w:hint="eastAsia" w:ascii="宋体" w:hAnsi="宋体" w:cs="宋体"/>
                <w:b/>
                <w:bCs/>
                <w:sz w:val="24"/>
              </w:rPr>
              <w:t>透析管理功能</w:t>
            </w:r>
          </w:p>
          <w:p w14:paraId="5A4096FF">
            <w:pPr>
              <w:rPr>
                <w:rFonts w:ascii="宋体" w:hAnsi="宋体" w:cs="宋体"/>
                <w:sz w:val="24"/>
              </w:rPr>
            </w:pPr>
            <w:r>
              <w:rPr>
                <w:rFonts w:hint="eastAsia" w:ascii="宋体" w:hAnsi="宋体" w:cs="宋体"/>
                <w:sz w:val="24"/>
              </w:rPr>
              <w:t>1.具备开始透析、透析监测和记录、结束透析等基本透析流程功能,透析监测包括以下记录内容：记录时间、透析液流量、血流量、静脉压、跨膜压、钠浓度、温度、超滤率、实时超滤量、心跳、脉搏、血压、症状和处理等，</w:t>
            </w:r>
          </w:p>
          <w:p w14:paraId="0DBFFDA7">
            <w:pPr>
              <w:rPr>
                <w:rFonts w:ascii="宋体" w:hAnsi="宋体" w:cs="宋体"/>
                <w:sz w:val="24"/>
              </w:rPr>
            </w:pPr>
            <w:r>
              <w:rPr>
                <w:rFonts w:ascii="宋体" w:hAnsi="宋体" w:cs="宋体"/>
                <w:sz w:val="24"/>
              </w:rPr>
              <w:t>2</w:t>
            </w:r>
            <w:r>
              <w:rPr>
                <w:rFonts w:hint="eastAsia" w:ascii="宋体" w:hAnsi="宋体" w:cs="宋体"/>
                <w:sz w:val="24"/>
              </w:rPr>
              <w:t>.能够在每次透析后自动生成透析记录单，透析单格式有多种模板可选。</w:t>
            </w:r>
          </w:p>
          <w:p w14:paraId="236749A3">
            <w:pPr>
              <w:rPr>
                <w:rFonts w:ascii="宋体" w:hAnsi="宋体" w:cs="宋体"/>
                <w:sz w:val="24"/>
              </w:rPr>
            </w:pPr>
            <w:r>
              <w:rPr>
                <w:rFonts w:ascii="宋体" w:hAnsi="宋体" w:cs="宋体"/>
                <w:sz w:val="24"/>
              </w:rPr>
              <w:t>3</w:t>
            </w:r>
            <w:r>
              <w:rPr>
                <w:rFonts w:hint="eastAsia" w:ascii="宋体" w:hAnsi="宋体" w:cs="宋体"/>
                <w:sz w:val="24"/>
              </w:rPr>
              <w:t>.可以开具临时医嘱，长期医嘱，并可将长期医嘱推送到排班日期；具有医嘱模板，预设后方便今后快速开具医嘱</w:t>
            </w:r>
          </w:p>
          <w:p w14:paraId="6789BD09">
            <w:pPr>
              <w:rPr>
                <w:rFonts w:ascii="宋体" w:hAnsi="宋体" w:cs="宋体"/>
                <w:sz w:val="24"/>
              </w:rPr>
            </w:pPr>
            <w:r>
              <w:rPr>
                <w:rFonts w:ascii="宋体" w:hAnsi="宋体" w:cs="宋体"/>
                <w:sz w:val="24"/>
              </w:rPr>
              <w:t>4</w:t>
            </w:r>
            <w:r>
              <w:rPr>
                <w:rFonts w:hint="eastAsia" w:ascii="宋体" w:hAnsi="宋体" w:cs="宋体"/>
                <w:sz w:val="24"/>
              </w:rPr>
              <w:t>.所有的透析记录单可进行电子保存，并可按照实际需要批量打印当日透析单或选择日期批量打印历史透析单</w:t>
            </w:r>
          </w:p>
          <w:p w14:paraId="16CF4E5C">
            <w:pPr>
              <w:rPr>
                <w:rFonts w:ascii="宋体" w:hAnsi="宋体" w:cs="宋体"/>
                <w:b/>
                <w:bCs/>
                <w:sz w:val="24"/>
              </w:rPr>
            </w:pPr>
            <w:r>
              <w:rPr>
                <w:rFonts w:hint="eastAsia" w:ascii="宋体" w:hAnsi="宋体" w:cs="宋体"/>
                <w:b/>
                <w:bCs/>
                <w:sz w:val="24"/>
              </w:rPr>
              <w:t>患者管理功能</w:t>
            </w:r>
          </w:p>
          <w:p w14:paraId="2FFAF98A">
            <w:pPr>
              <w:rPr>
                <w:rFonts w:ascii="宋体" w:hAnsi="宋体" w:cs="宋体"/>
                <w:sz w:val="24"/>
              </w:rPr>
            </w:pPr>
            <w:r>
              <w:rPr>
                <w:rFonts w:hint="eastAsia" w:ascii="宋体" w:hAnsi="宋体" w:cs="宋体"/>
                <w:sz w:val="24"/>
              </w:rPr>
              <w:t>1.具备患者详细信息填写、编辑功能，为每一位透析病人建立唯一识别号,包括姓名、性别、出生日期、年龄等详细信息等</w:t>
            </w:r>
          </w:p>
          <w:p w14:paraId="646A6930">
            <w:pPr>
              <w:rPr>
                <w:rFonts w:ascii="宋体" w:hAnsi="宋体" w:cs="宋体"/>
                <w:sz w:val="24"/>
              </w:rPr>
            </w:pPr>
            <w:r>
              <w:rPr>
                <w:rFonts w:ascii="宋体" w:hAnsi="宋体" w:cs="宋体"/>
                <w:sz w:val="24"/>
              </w:rPr>
              <w:t>2</w:t>
            </w:r>
            <w:r>
              <w:rPr>
                <w:rFonts w:hint="eastAsia" w:ascii="宋体" w:hAnsi="宋体" w:cs="宋体"/>
                <w:sz w:val="24"/>
              </w:rPr>
              <w:t>.具备患者透析方式、透析处方和常用医嘱模板设置等功能，能显示在用和停用方案</w:t>
            </w:r>
          </w:p>
          <w:p w14:paraId="6D5D3B85">
            <w:pPr>
              <w:rPr>
                <w:rFonts w:ascii="宋体" w:hAnsi="宋体" w:cs="宋体"/>
                <w:sz w:val="24"/>
              </w:rPr>
            </w:pPr>
            <w:r>
              <w:rPr>
                <w:rFonts w:ascii="宋体" w:hAnsi="宋体" w:cs="宋体"/>
                <w:sz w:val="24"/>
              </w:rPr>
              <w:t>3</w:t>
            </w:r>
            <w:r>
              <w:rPr>
                <w:rFonts w:hint="eastAsia" w:ascii="宋体" w:hAnsi="宋体" w:cs="宋体"/>
                <w:sz w:val="24"/>
              </w:rPr>
              <w:t>.具备患者转归功能和记录</w:t>
            </w:r>
          </w:p>
          <w:p w14:paraId="686585EF">
            <w:pPr>
              <w:rPr>
                <w:rFonts w:ascii="宋体" w:hAnsi="宋体" w:cs="宋体"/>
                <w:sz w:val="24"/>
              </w:rPr>
            </w:pPr>
            <w:r>
              <w:rPr>
                <w:rFonts w:ascii="宋体" w:hAnsi="宋体" w:cs="宋体"/>
                <w:sz w:val="24"/>
              </w:rPr>
              <w:t>4</w:t>
            </w:r>
            <w:r>
              <w:rPr>
                <w:rFonts w:hint="eastAsia" w:ascii="宋体" w:hAnsi="宋体" w:cs="宋体"/>
                <w:sz w:val="24"/>
              </w:rPr>
              <w:t>.具备患者详细实验室检查、辅助检查信息查看、统计、分析、定期检验提醒功能</w:t>
            </w:r>
          </w:p>
          <w:p w14:paraId="3051C7F4">
            <w:pPr>
              <w:rPr>
                <w:rFonts w:ascii="宋体" w:hAnsi="宋体" w:cs="宋体"/>
                <w:sz w:val="24"/>
              </w:rPr>
            </w:pPr>
            <w:r>
              <w:rPr>
                <w:rFonts w:ascii="宋体" w:hAnsi="宋体" w:cs="宋体"/>
                <w:sz w:val="24"/>
              </w:rPr>
              <w:t>5</w:t>
            </w:r>
            <w:r>
              <w:rPr>
                <w:rFonts w:hint="eastAsia" w:ascii="宋体" w:hAnsi="宋体" w:cs="宋体"/>
                <w:sz w:val="24"/>
              </w:rPr>
              <w:t>.可以筛选日期时间段，展示指定日期的透析记录列表，至少应包含患者透析日期、班次、机号、体重、血压、血管通路、超滤总量、透析器型号、抗凝剂使用、凝血情况等信息</w:t>
            </w:r>
          </w:p>
          <w:p w14:paraId="7CE09A4C">
            <w:pPr>
              <w:rPr>
                <w:rFonts w:ascii="宋体" w:hAnsi="宋体" w:cs="宋体"/>
                <w:sz w:val="24"/>
              </w:rPr>
            </w:pPr>
            <w:r>
              <w:rPr>
                <w:rFonts w:ascii="宋体" w:hAnsi="宋体" w:cs="宋体"/>
                <w:sz w:val="24"/>
              </w:rPr>
              <w:t>6</w:t>
            </w:r>
            <w:r>
              <w:rPr>
                <w:rFonts w:hint="eastAsia" w:ascii="宋体" w:hAnsi="宋体" w:cs="宋体"/>
                <w:sz w:val="24"/>
              </w:rPr>
              <w:t>.具有病情记录功能，至少应包含病史、体格检查、病程记录、手术记录、复诊记录、死亡记录等功能模块，其中病史、病程记录应提供模板载入功能</w:t>
            </w:r>
          </w:p>
          <w:p w14:paraId="0560E0A0">
            <w:pPr>
              <w:rPr>
                <w:rFonts w:ascii="宋体" w:hAnsi="宋体" w:cs="宋体"/>
                <w:sz w:val="24"/>
              </w:rPr>
            </w:pPr>
            <w:r>
              <w:rPr>
                <w:rFonts w:ascii="宋体" w:hAnsi="宋体" w:cs="宋体"/>
                <w:sz w:val="24"/>
              </w:rPr>
              <w:t>7</w:t>
            </w:r>
            <w:r>
              <w:rPr>
                <w:rFonts w:hint="eastAsia" w:ascii="宋体" w:hAnsi="宋体" w:cs="宋体"/>
                <w:sz w:val="24"/>
              </w:rPr>
              <w:t>.具有完善的评估工具，包括跌倒评估、小儿跌倒评估、压疮风险评估、OH压疮评估、RASS及疼痛评估、营养状况评估、约束告知单、心理评估、瘙痒评估、Glasgow昏迷评分和肌力评估表等</w:t>
            </w:r>
          </w:p>
          <w:p w14:paraId="602BF1D4">
            <w:pPr>
              <w:rPr>
                <w:rFonts w:ascii="宋体" w:hAnsi="宋体" w:cs="宋体"/>
                <w:sz w:val="24"/>
              </w:rPr>
            </w:pPr>
            <w:r>
              <w:rPr>
                <w:rFonts w:hint="eastAsia" w:ascii="宋体" w:hAnsi="宋体" w:cs="宋体"/>
                <w:sz w:val="24"/>
              </w:rPr>
              <w:t>8.具有文书管理功能，可以上传各类知情同意书模板，自动载入患者基本信息后可打印。签字完成后，可以通过平板拍照方式记录</w:t>
            </w:r>
          </w:p>
          <w:p w14:paraId="6D861735">
            <w:pPr>
              <w:rPr>
                <w:rFonts w:ascii="宋体" w:hAnsi="宋体" w:cs="宋体"/>
                <w:b/>
                <w:bCs/>
                <w:sz w:val="24"/>
              </w:rPr>
            </w:pPr>
            <w:r>
              <w:rPr>
                <w:rFonts w:hint="eastAsia" w:ascii="宋体" w:hAnsi="宋体" w:cs="宋体"/>
                <w:b/>
                <w:bCs/>
                <w:sz w:val="24"/>
              </w:rPr>
              <w:t>耗材管理、药品管理功能</w:t>
            </w:r>
          </w:p>
          <w:p w14:paraId="005B6928">
            <w:pPr>
              <w:rPr>
                <w:rFonts w:ascii="宋体" w:hAnsi="宋体" w:cs="宋体"/>
                <w:sz w:val="24"/>
              </w:rPr>
            </w:pPr>
            <w:r>
              <w:rPr>
                <w:rFonts w:hint="eastAsia" w:ascii="宋体" w:hAnsi="宋体" w:cs="宋体"/>
                <w:sz w:val="24"/>
              </w:rPr>
              <w:t>1.具备所有血透室耗材记录功能，包括透析器、血滤器、灌流器、管路等等，并且可以查看和打印详细历史记录</w:t>
            </w:r>
          </w:p>
          <w:p w14:paraId="712740FE">
            <w:pPr>
              <w:rPr>
                <w:rFonts w:ascii="宋体" w:hAnsi="宋体" w:cs="宋体"/>
                <w:sz w:val="24"/>
              </w:rPr>
            </w:pPr>
            <w:r>
              <w:rPr>
                <w:rFonts w:hint="eastAsia" w:ascii="宋体" w:hAnsi="宋体" w:cs="宋体"/>
                <w:sz w:val="24"/>
              </w:rPr>
              <w:t>2.常用耗材如透析器、血滤器等可以与透析流程关联，实现自动消耗，无须人工出库</w:t>
            </w:r>
          </w:p>
          <w:p w14:paraId="52202EAE">
            <w:pPr>
              <w:rPr>
                <w:rFonts w:ascii="宋体" w:hAnsi="宋体" w:cs="宋体"/>
                <w:sz w:val="24"/>
              </w:rPr>
            </w:pPr>
            <w:r>
              <w:rPr>
                <w:rFonts w:hint="eastAsia" w:ascii="宋体" w:hAnsi="宋体" w:cs="宋体"/>
                <w:sz w:val="24"/>
              </w:rPr>
              <w:t>3.具备耗材库存预警和有效期到期预警功能</w:t>
            </w:r>
          </w:p>
          <w:p w14:paraId="70692D45">
            <w:pPr>
              <w:rPr>
                <w:rFonts w:ascii="宋体" w:hAnsi="宋体" w:cs="宋体"/>
                <w:sz w:val="24"/>
              </w:rPr>
            </w:pPr>
            <w:r>
              <w:rPr>
                <w:rFonts w:hint="eastAsia" w:ascii="宋体" w:hAnsi="宋体" w:cs="宋体"/>
                <w:sz w:val="24"/>
              </w:rPr>
              <w:t>4.具有自备药管理功能，能统计自备药用量、剩余数量，并且可设置库存预警功能</w:t>
            </w:r>
          </w:p>
          <w:p w14:paraId="5A3B039B">
            <w:pPr>
              <w:rPr>
                <w:rFonts w:ascii="宋体" w:hAnsi="宋体" w:cs="宋体"/>
                <w:sz w:val="24"/>
              </w:rPr>
            </w:pPr>
            <w:r>
              <w:rPr>
                <w:rFonts w:hint="eastAsia" w:ascii="宋体" w:hAnsi="宋体" w:cs="宋体"/>
                <w:sz w:val="24"/>
              </w:rPr>
              <w:t>5.自备药的使用可以和透析过程关联，实现自动消耗，无须人工出库</w:t>
            </w:r>
          </w:p>
          <w:p w14:paraId="48785D0C">
            <w:pPr>
              <w:rPr>
                <w:rFonts w:ascii="宋体" w:hAnsi="宋体" w:cs="宋体"/>
                <w:sz w:val="24"/>
              </w:rPr>
            </w:pPr>
            <w:r>
              <w:rPr>
                <w:rFonts w:hint="eastAsia" w:ascii="宋体" w:hAnsi="宋体" w:cs="宋体"/>
                <w:sz w:val="24"/>
              </w:rPr>
              <w:t>6.具有患者费用管理，可以设置不同透析模式的费用，患者每次透析完成后自动产生费用记录，并记录于患者的费用余额中，进行统计汇总。</w:t>
            </w:r>
          </w:p>
          <w:p w14:paraId="3E42547F">
            <w:pPr>
              <w:rPr>
                <w:rFonts w:ascii="宋体" w:hAnsi="宋体" w:cs="宋体"/>
                <w:sz w:val="24"/>
              </w:rPr>
            </w:pPr>
            <w:r>
              <w:rPr>
                <w:rFonts w:hint="eastAsia" w:ascii="宋体" w:hAnsi="宋体" w:cs="宋体"/>
                <w:sz w:val="24"/>
              </w:rPr>
              <w:t>7.耗材出库可以设置套餐，根据透析方式选择耗材出库套餐，无需逐项进行出库</w:t>
            </w:r>
          </w:p>
          <w:p w14:paraId="53AB169B">
            <w:pPr>
              <w:rPr>
                <w:rFonts w:ascii="宋体" w:hAnsi="宋体" w:cs="宋体"/>
                <w:b/>
                <w:bCs/>
                <w:sz w:val="24"/>
              </w:rPr>
            </w:pPr>
            <w:r>
              <w:rPr>
                <w:rFonts w:hint="eastAsia" w:ascii="宋体" w:hAnsi="宋体" w:cs="宋体"/>
                <w:b/>
                <w:bCs/>
                <w:sz w:val="24"/>
              </w:rPr>
              <w:t>科室质控分析功能</w:t>
            </w:r>
          </w:p>
          <w:p w14:paraId="1E793D6D">
            <w:pPr>
              <w:rPr>
                <w:rFonts w:ascii="宋体" w:hAnsi="宋体" w:cs="宋体"/>
                <w:sz w:val="24"/>
              </w:rPr>
            </w:pPr>
            <w:r>
              <w:rPr>
                <w:rFonts w:hint="eastAsia" w:ascii="宋体" w:hAnsi="宋体" w:cs="宋体"/>
                <w:sz w:val="24"/>
              </w:rPr>
              <w:t>1.具备患者基本信息的统计分类，包括血管通路类、转归统计等</w:t>
            </w:r>
          </w:p>
          <w:p w14:paraId="506E27A4">
            <w:pPr>
              <w:rPr>
                <w:rFonts w:ascii="宋体" w:hAnsi="宋体" w:cs="宋体"/>
                <w:sz w:val="24"/>
              </w:rPr>
            </w:pPr>
            <w:r>
              <w:rPr>
                <w:rFonts w:hint="eastAsia" w:ascii="宋体" w:hAnsi="宋体" w:cs="宋体"/>
                <w:sz w:val="24"/>
              </w:rPr>
              <w:t>2.对于治疗项目HD，HDF，HP等类型的相关统计分析</w:t>
            </w:r>
          </w:p>
          <w:p w14:paraId="2405C451">
            <w:pPr>
              <w:rPr>
                <w:rFonts w:ascii="宋体" w:hAnsi="宋体" w:cs="宋体"/>
                <w:sz w:val="24"/>
              </w:rPr>
            </w:pPr>
            <w:r>
              <w:rPr>
                <w:rFonts w:hint="eastAsia" w:ascii="宋体" w:hAnsi="宋体" w:cs="宋体"/>
                <w:sz w:val="24"/>
              </w:rPr>
              <w:t>3.具备各类实验室检查项目的统计分析功能，如血常规对比分析、支持各类质控达标的过程监测，查询达标率和完成率</w:t>
            </w:r>
          </w:p>
          <w:p w14:paraId="3ECF6D4C">
            <w:pPr>
              <w:rPr>
                <w:rFonts w:ascii="宋体" w:hAnsi="宋体" w:cs="宋体"/>
                <w:sz w:val="24"/>
              </w:rPr>
            </w:pPr>
            <w:r>
              <w:rPr>
                <w:rFonts w:hint="eastAsia" w:ascii="宋体" w:hAnsi="宋体" w:cs="宋体"/>
                <w:sz w:val="24"/>
              </w:rPr>
              <w:t>4.具备科室工作量统计分析，能查询每个工作人员的工作量</w:t>
            </w:r>
          </w:p>
          <w:p w14:paraId="4ED8824B">
            <w:pPr>
              <w:rPr>
                <w:rFonts w:ascii="宋体" w:hAnsi="宋体" w:cs="宋体"/>
                <w:sz w:val="24"/>
              </w:rPr>
            </w:pPr>
            <w:r>
              <w:rPr>
                <w:rFonts w:hint="eastAsia" w:ascii="宋体" w:hAnsi="宋体" w:cs="宋体"/>
                <w:sz w:val="24"/>
              </w:rPr>
              <w:t>★5.具备决策分析模块，可以对患者进行贫血管理，自动将血红蛋白在不同区间的患者进行分类显示，区间范围段为≤59、60-69、70-79、80-89、90-99、100-109、110-119、120-129、130-139、≥140十个分段，并标记出近期变化趋势，可显示曲线图，显示最近四次检查结果。医生在查看后还可以进行标记状态，患者状态有待处理、不处理、已处理及存疑；从而方便快速调整患者用药方案；</w:t>
            </w:r>
          </w:p>
          <w:p w14:paraId="67266BDC">
            <w:pPr>
              <w:rPr>
                <w:rFonts w:ascii="宋体" w:hAnsi="宋体" w:cs="宋体"/>
                <w:sz w:val="24"/>
              </w:rPr>
            </w:pPr>
            <w:r>
              <w:rPr>
                <w:rFonts w:hint="eastAsia" w:ascii="宋体" w:hAnsi="宋体" w:cs="宋体"/>
                <w:sz w:val="24"/>
              </w:rPr>
              <w:t>6.可以对患者进行容量管理，自动将患者的平均超滤率进行分类显示，区间范围段为≤4.9、5-9.9、10-12.9、13-19.9、20-29.9、≥30六个分段，从低到高依次展示，并标记出近期变化趋势，可显示曲线图，显示近十次透析体重变化及近十次超滤率趋势图。从而快速发现哪些患者的容量管理有问题，医生在查看后还可以进行标记状态，患者状态有待处理、不处理、已处理及存疑；给出针对性治疗方案；</w:t>
            </w:r>
          </w:p>
          <w:p w14:paraId="0C251A3A">
            <w:pPr>
              <w:rPr>
                <w:rFonts w:ascii="宋体" w:hAnsi="宋体" w:cs="宋体"/>
                <w:sz w:val="24"/>
              </w:rPr>
            </w:pPr>
            <w:r>
              <w:rPr>
                <w:rFonts w:hint="eastAsia" w:ascii="宋体" w:hAnsi="宋体" w:cs="宋体"/>
                <w:sz w:val="24"/>
              </w:rPr>
              <w:t>7.可以对患者进行营养分析，根据白蛋白的范围对患者进行归类，区间范围段为≤14、15-24、25-34、35-44、≥45五个分段，从低到高依次展示，并标记最近十次的白蛋白变化趋势，给出针对性治疗方案；查看后还可以对患者进行一键标记处理记录，患者状态有待处理、不处理、已处理及存疑；</w:t>
            </w:r>
          </w:p>
          <w:p w14:paraId="057102B6">
            <w:pPr>
              <w:rPr>
                <w:rFonts w:ascii="宋体" w:hAnsi="宋体" w:cs="宋体"/>
                <w:sz w:val="24"/>
              </w:rPr>
            </w:pPr>
            <w:r>
              <w:rPr>
                <w:rFonts w:hint="eastAsia" w:ascii="宋体" w:hAnsi="宋体" w:cs="宋体"/>
                <w:sz w:val="24"/>
              </w:rPr>
              <w:t>8.可以对骨矿物质进行自动筛选，根据甲状旁腺激素的数值，自动对患者进行分类，区间范围段为≤99、100-149、150-199、200-249、250-299、300-349、≥350七个分段，从低到高依次展示，并显示最近十次的检查结果变化趋势，方便医生快速处理不达标患者，并可一键标记处理结果，患者状态有待处理、不处理、已处理及存疑；</w:t>
            </w:r>
          </w:p>
          <w:p w14:paraId="00CD6CCC">
            <w:pPr>
              <w:rPr>
                <w:rFonts w:ascii="宋体" w:hAnsi="宋体" w:cs="宋体"/>
                <w:sz w:val="24"/>
              </w:rPr>
            </w:pPr>
            <w:r>
              <w:rPr>
                <w:rFonts w:hint="eastAsia" w:ascii="宋体" w:hAnsi="宋体" w:cs="宋体"/>
                <w:sz w:val="24"/>
              </w:rPr>
              <w:t>9.具备透析质量管理报告，可以自动统计科室容量管理、贫血管理、透析充分性管理、营养管理、矿物质管理等多方便的结果质量，提供包括结果人数、中位数、平均值、入院超90天等各项指标的汇总分析</w:t>
            </w:r>
          </w:p>
          <w:p w14:paraId="10A6C322">
            <w:pPr>
              <w:rPr>
                <w:rFonts w:ascii="宋体" w:hAnsi="宋体" w:cs="宋体"/>
                <w:sz w:val="24"/>
              </w:rPr>
            </w:pPr>
            <w:r>
              <w:rPr>
                <w:rFonts w:hint="eastAsia" w:ascii="宋体" w:hAnsi="宋体" w:cs="宋体"/>
                <w:sz w:val="24"/>
              </w:rPr>
              <w:t>★10.质控KPI数据统计（SOP）。显示设定的质控KPI统计数据，新入透析患者传染病检验完成率；维持性透析患者检传染病检验完成率；维持性透析患者传染病发病率；HBV转阳率；HCV转阳率；HIV转阳率；梅毒转阳率；乙型肝炎和丙型肝炎发病率；KTV和URR完成率；KTV和URR控制率；β2微球蛋白完成率；患者体重增长分析；动静脉内瘘长期生存率；血常规完成率；铁五项完成率；电解质完成率；IPTH完成率；肝功能完成率；炎症指标完成率；血脂完成率；肾性贫血控制率；CKD-MBD控制率；血清白蛋白控制率；患者高血压控制率。可显示已使用次数，并可对关注的项目进行收藏。</w:t>
            </w:r>
          </w:p>
          <w:p w14:paraId="3446EFA1">
            <w:pPr>
              <w:rPr>
                <w:rFonts w:ascii="宋体" w:hAnsi="宋体" w:cs="宋体"/>
                <w:b/>
                <w:bCs/>
                <w:sz w:val="24"/>
              </w:rPr>
            </w:pPr>
            <w:r>
              <w:rPr>
                <w:rFonts w:hint="eastAsia" w:ascii="宋体" w:hAnsi="宋体" w:cs="宋体"/>
                <w:b/>
                <w:bCs/>
                <w:sz w:val="24"/>
              </w:rPr>
              <w:t>平板端功能</w:t>
            </w:r>
          </w:p>
          <w:p w14:paraId="39064B6E">
            <w:pPr>
              <w:rPr>
                <w:rFonts w:ascii="宋体" w:hAnsi="宋体" w:cs="宋体"/>
                <w:sz w:val="24"/>
              </w:rPr>
            </w:pPr>
            <w:r>
              <w:rPr>
                <w:rFonts w:hint="eastAsia" w:ascii="宋体" w:hAnsi="宋体" w:cs="宋体"/>
                <w:sz w:val="24"/>
              </w:rPr>
              <w:t>1.平板端可直观显示当前班次和区域患者，方便护士随时进行透前评估和透后评估，监测记录，症状和处理记录，医嘱执行等，并且随时可调整干体重</w:t>
            </w:r>
          </w:p>
          <w:p w14:paraId="5C35A74A">
            <w:pPr>
              <w:rPr>
                <w:rFonts w:ascii="宋体" w:hAnsi="宋体" w:cs="宋体"/>
                <w:sz w:val="24"/>
              </w:rPr>
            </w:pPr>
            <w:r>
              <w:rPr>
                <w:rFonts w:hint="eastAsia" w:ascii="宋体" w:hAnsi="宋体" w:cs="宋体"/>
                <w:sz w:val="24"/>
              </w:rPr>
              <w:t>2.平板端护士所需要记录的患者症状和处理、透后凝血情况、内漏或导管情况、透后症状、并发症、透析后宣教等均提供选项功能，无须打字录入，特殊情况下可在需要编辑文字</w:t>
            </w:r>
          </w:p>
          <w:p w14:paraId="110CC7AC">
            <w:pPr>
              <w:rPr>
                <w:rFonts w:ascii="宋体" w:hAnsi="宋体" w:cs="宋体"/>
                <w:sz w:val="24"/>
              </w:rPr>
            </w:pPr>
            <w:r>
              <w:rPr>
                <w:rFonts w:hint="eastAsia" w:ascii="宋体" w:hAnsi="宋体" w:cs="宋体"/>
                <w:sz w:val="24"/>
              </w:rPr>
              <w:t>3.平板端可以查看最近患者的透析详细记录，在日历上即可直观显示历史透析日期和时间、透析模式；并可直观看到已透析和未透析的区别；通过点击平板指定界面，可以快速查看患者近期的超滤变化曲线，体重变化曲线等</w:t>
            </w:r>
          </w:p>
          <w:p w14:paraId="3BB37F13">
            <w:pPr>
              <w:rPr>
                <w:rFonts w:ascii="宋体" w:hAnsi="宋体" w:cs="宋体"/>
                <w:sz w:val="24"/>
              </w:rPr>
            </w:pPr>
            <w:r>
              <w:rPr>
                <w:rFonts w:hint="eastAsia" w:ascii="宋体" w:hAnsi="宋体" w:cs="宋体"/>
                <w:sz w:val="24"/>
              </w:rPr>
              <w:t>4.平板端可以查看检验结果、病程记录等医疗结果</w:t>
            </w:r>
          </w:p>
          <w:p w14:paraId="4D54ADD8">
            <w:pPr>
              <w:rPr>
                <w:rFonts w:ascii="宋体" w:hAnsi="宋体" w:cs="宋体"/>
                <w:sz w:val="24"/>
              </w:rPr>
            </w:pPr>
            <w:r>
              <w:rPr>
                <w:rFonts w:hint="eastAsia" w:ascii="宋体" w:hAnsi="宋体" w:cs="宋体"/>
                <w:sz w:val="24"/>
              </w:rPr>
              <w:t>5.平板端支持医护人员设置电子签名，也可以让患者在治疗后签名并保存到透析单中，平板端支持修改个人密码</w:t>
            </w:r>
          </w:p>
          <w:p w14:paraId="446763D5">
            <w:pPr>
              <w:rPr>
                <w:rFonts w:ascii="宋体" w:hAnsi="宋体" w:cs="宋体"/>
                <w:sz w:val="24"/>
              </w:rPr>
            </w:pPr>
            <w:r>
              <w:rPr>
                <w:rFonts w:hint="eastAsia" w:ascii="宋体" w:hAnsi="宋体" w:cs="宋体"/>
                <w:sz w:val="24"/>
              </w:rPr>
              <w:t>6.平板端可查看医护人员排班情况，了解个人排班时间</w:t>
            </w:r>
          </w:p>
          <w:p w14:paraId="0CCF1AFB">
            <w:pPr>
              <w:rPr>
                <w:rFonts w:ascii="宋体" w:hAnsi="宋体" w:cs="宋体"/>
                <w:sz w:val="24"/>
              </w:rPr>
            </w:pPr>
            <w:r>
              <w:rPr>
                <w:rFonts w:hint="eastAsia" w:ascii="宋体" w:hAnsi="宋体" w:cs="宋体"/>
                <w:sz w:val="24"/>
              </w:rPr>
              <w:t>7.平板端可对患者进行各项评估，并与电脑同步</w:t>
            </w:r>
          </w:p>
          <w:p w14:paraId="4F43D082">
            <w:pPr>
              <w:rPr>
                <w:rFonts w:ascii="宋体" w:hAnsi="宋体" w:cs="宋体"/>
                <w:sz w:val="24"/>
              </w:rPr>
            </w:pPr>
            <w:r>
              <w:rPr>
                <w:rFonts w:hint="eastAsia" w:ascii="宋体" w:hAnsi="宋体" w:cs="宋体"/>
                <w:sz w:val="24"/>
              </w:rPr>
              <w:t>8.平板端支持查看患者的完整透析单，进行预览；还可以查看患者病历情况：可以快速浏览每一次透析记录，无需逐次打开透析记录，可对体重变化情况、血压情况、透析中症状情况、医嘱内容进行对比分析查看</w:t>
            </w:r>
          </w:p>
          <w:p w14:paraId="65230862">
            <w:pPr>
              <w:rPr>
                <w:rFonts w:ascii="宋体" w:hAnsi="宋体" w:cs="宋体"/>
                <w:sz w:val="24"/>
              </w:rPr>
            </w:pPr>
            <w:r>
              <w:rPr>
                <w:rFonts w:hint="eastAsia" w:ascii="宋体" w:hAnsi="宋体" w:cs="宋体"/>
                <w:sz w:val="24"/>
              </w:rPr>
              <w:t>9.平板端具备健康教育功能，护士可对患者进行健康教育，系统自动展示教育内容，教育完成后患者可以进行签名后保存，并在系统中形成一条健康教育记录。</w:t>
            </w:r>
          </w:p>
          <w:p w14:paraId="6521BAB1">
            <w:pPr>
              <w:rPr>
                <w:rFonts w:ascii="宋体" w:hAnsi="宋体" w:cs="宋体"/>
                <w:sz w:val="24"/>
              </w:rPr>
            </w:pPr>
            <w:r>
              <w:rPr>
                <w:rFonts w:hint="eastAsia" w:ascii="宋体" w:hAnsi="宋体" w:cs="宋体"/>
                <w:sz w:val="24"/>
              </w:rPr>
              <w:t>10.平板端可以快速查看操作日志，可查看修改处方、修改透前评估、执行医嘱、删除医嘱、修改双人核对、修改监测记录、删除监测记录、修改透后评估、修改治疗小结及调整机号等内容，了解关键操作是于几点几分，由哪个医生、护士完成，操作的哪个患者，从而方便进行追踪</w:t>
            </w:r>
          </w:p>
          <w:p w14:paraId="294F2A34">
            <w:pPr>
              <w:rPr>
                <w:rFonts w:ascii="宋体" w:hAnsi="宋体" w:cs="宋体"/>
                <w:sz w:val="24"/>
              </w:rPr>
            </w:pPr>
            <w:r>
              <w:rPr>
                <w:rFonts w:hint="eastAsia" w:ascii="宋体" w:hAnsi="宋体" w:cs="宋体"/>
                <w:sz w:val="24"/>
              </w:rPr>
              <w:t>★11.平板端具备决策分析功能，可以对贫血进行管理、患者容量进行管理，将患者血红蛋白进行快速分类，并标记指标上升或下降趋势，还可以显示曲线图，添加标记信息；可对平均超滤率进行分类显示，标记上升和下降趋势，显示曲线图，并添加标记信息；可对白蛋白进行分类显示，标记上升和下降趋势，显示曲线图，并添加标记信息；可对甲状旁腺激素进行分类显示，标记上升和下降趋势，显示曲线图，并添加标记信息</w:t>
            </w:r>
          </w:p>
          <w:p w14:paraId="71995C6C">
            <w:pPr>
              <w:rPr>
                <w:rFonts w:ascii="宋体" w:hAnsi="宋体" w:cs="宋体"/>
                <w:b/>
                <w:bCs/>
                <w:sz w:val="24"/>
              </w:rPr>
            </w:pPr>
            <w:r>
              <w:rPr>
                <w:rFonts w:hint="eastAsia" w:ascii="宋体" w:hAnsi="宋体" w:cs="宋体"/>
                <w:b/>
                <w:bCs/>
                <w:sz w:val="24"/>
              </w:rPr>
              <w:t>设备管理功能</w:t>
            </w:r>
          </w:p>
          <w:p w14:paraId="59B9DCDE">
            <w:pPr>
              <w:rPr>
                <w:rFonts w:ascii="宋体" w:hAnsi="宋体" w:cs="宋体"/>
                <w:sz w:val="24"/>
              </w:rPr>
            </w:pPr>
            <w:r>
              <w:rPr>
                <w:rFonts w:hint="eastAsia" w:ascii="宋体" w:hAnsi="宋体" w:cs="宋体"/>
                <w:sz w:val="24"/>
              </w:rPr>
              <w:t>1.具有对血透机进行日常维护和登记功能</w:t>
            </w:r>
          </w:p>
          <w:p w14:paraId="7A89034F">
            <w:pPr>
              <w:rPr>
                <w:rFonts w:ascii="宋体" w:hAnsi="宋体" w:cs="宋体"/>
                <w:sz w:val="24"/>
              </w:rPr>
            </w:pPr>
            <w:r>
              <w:rPr>
                <w:rFonts w:hint="eastAsia" w:ascii="宋体" w:hAnsi="宋体" w:cs="宋体"/>
                <w:sz w:val="24"/>
              </w:rPr>
              <w:t>2.透析机在使用后能够根据预设的消毒方式，自动产生使用记录，记录内需包括使用患者，时间，消毒情况，维修记录情况等，且可以随时查询历史记录，并可打印</w:t>
            </w:r>
          </w:p>
          <w:p w14:paraId="276216AB">
            <w:pPr>
              <w:rPr>
                <w:rFonts w:ascii="宋体" w:hAnsi="宋体" w:cs="宋体"/>
                <w:sz w:val="24"/>
              </w:rPr>
            </w:pPr>
            <w:r>
              <w:rPr>
                <w:rFonts w:hint="eastAsia" w:ascii="宋体" w:hAnsi="宋体" w:cs="宋体"/>
                <w:b/>
                <w:bCs/>
                <w:sz w:val="24"/>
              </w:rPr>
              <w:t>患者健康教育功能</w:t>
            </w:r>
          </w:p>
          <w:p w14:paraId="6E657C77">
            <w:pPr>
              <w:rPr>
                <w:rFonts w:ascii="宋体" w:hAnsi="宋体" w:cs="宋体"/>
                <w:sz w:val="24"/>
              </w:rPr>
            </w:pPr>
            <w:r>
              <w:rPr>
                <w:rFonts w:hint="eastAsia" w:ascii="宋体" w:hAnsi="宋体" w:cs="宋体"/>
                <w:sz w:val="24"/>
              </w:rPr>
              <w:t>1.可以指定护士负责相应患者的健康教育，并且系统可以指导护士在特定时间对患者做特定的健康教育</w:t>
            </w:r>
          </w:p>
          <w:p w14:paraId="7C4ABB9B">
            <w:pPr>
              <w:rPr>
                <w:rFonts w:ascii="宋体" w:hAnsi="宋体" w:cs="宋体"/>
                <w:sz w:val="24"/>
              </w:rPr>
            </w:pPr>
            <w:r>
              <w:rPr>
                <w:rFonts w:hint="eastAsia" w:ascii="宋体" w:hAnsi="宋体" w:cs="宋体"/>
                <w:sz w:val="24"/>
              </w:rPr>
              <w:t>2.可以设定新患者教育内容、重点教育内容、月度教育内容，供护士对患者进行规范化教育</w:t>
            </w:r>
          </w:p>
          <w:p w14:paraId="53C3C361">
            <w:pPr>
              <w:rPr>
                <w:rFonts w:ascii="宋体" w:hAnsi="宋体" w:cs="宋体"/>
                <w:sz w:val="24"/>
              </w:rPr>
            </w:pPr>
            <w:r>
              <w:rPr>
                <w:rFonts w:hint="eastAsia" w:ascii="宋体" w:hAnsi="宋体" w:cs="宋体"/>
                <w:sz w:val="24"/>
              </w:rPr>
              <w:t>3.可以对健康教育做统计，并进行测试</w:t>
            </w:r>
          </w:p>
          <w:p w14:paraId="5B76C064">
            <w:pPr>
              <w:rPr>
                <w:rFonts w:ascii="宋体" w:hAnsi="宋体" w:cs="宋体"/>
                <w:sz w:val="24"/>
              </w:rPr>
            </w:pPr>
            <w:r>
              <w:rPr>
                <w:rFonts w:hint="eastAsia" w:ascii="宋体" w:hAnsi="宋体" w:cs="宋体"/>
                <w:sz w:val="24"/>
              </w:rPr>
              <w:t>4.在电脑端和平板端均可完成</w:t>
            </w:r>
          </w:p>
          <w:p w14:paraId="49395B0E">
            <w:pPr>
              <w:rPr>
                <w:rFonts w:ascii="宋体" w:hAnsi="宋体" w:cs="宋体"/>
                <w:sz w:val="24"/>
              </w:rPr>
            </w:pPr>
            <w:r>
              <w:rPr>
                <w:rFonts w:hint="eastAsia" w:ascii="宋体" w:hAnsi="宋体" w:cs="宋体"/>
                <w:sz w:val="24"/>
              </w:rPr>
              <w:t>5.可以对患者教育记录进行统计查询，并可打印记录</w:t>
            </w:r>
          </w:p>
          <w:p w14:paraId="56821D2D">
            <w:pPr>
              <w:rPr>
                <w:rFonts w:ascii="宋体" w:hAnsi="宋体" w:cs="宋体"/>
                <w:sz w:val="24"/>
              </w:rPr>
            </w:pPr>
            <w:r>
              <w:rPr>
                <w:rFonts w:hint="eastAsia" w:ascii="宋体" w:hAnsi="宋体" w:cs="宋体"/>
                <w:b/>
                <w:bCs/>
                <w:sz w:val="24"/>
              </w:rPr>
              <w:t>感控管理功能</w:t>
            </w:r>
          </w:p>
          <w:p w14:paraId="0A2C8C5E">
            <w:pPr>
              <w:rPr>
                <w:rFonts w:ascii="宋体" w:hAnsi="宋体" w:cs="宋体"/>
                <w:sz w:val="24"/>
              </w:rPr>
            </w:pPr>
            <w:r>
              <w:rPr>
                <w:rFonts w:hint="eastAsia" w:ascii="宋体" w:hAnsi="宋体" w:cs="宋体"/>
                <w:sz w:val="24"/>
              </w:rPr>
              <w:t>1.具有单独的感控管理模块，非简单的感染管理页面</w:t>
            </w:r>
          </w:p>
          <w:p w14:paraId="21A25C19">
            <w:pPr>
              <w:rPr>
                <w:rFonts w:ascii="宋体" w:hAnsi="宋体" w:cs="宋体"/>
                <w:sz w:val="24"/>
              </w:rPr>
            </w:pPr>
            <w:r>
              <w:rPr>
                <w:rFonts w:hint="eastAsia" w:ascii="宋体" w:hAnsi="宋体" w:cs="宋体"/>
                <w:sz w:val="24"/>
              </w:rPr>
              <w:t>2.平板上具有各类感控检查表登记项目，至少包括：手卫生检查表、透析导管皮肤出口护理、透析导管连接操作、透析导管断开操作、内瘘或人工血管穿刺、内瘘拔针等项目</w:t>
            </w:r>
          </w:p>
          <w:p w14:paraId="1C67A7BE">
            <w:pPr>
              <w:rPr>
                <w:rFonts w:ascii="宋体" w:hAnsi="宋体" w:cs="宋体"/>
                <w:sz w:val="24"/>
              </w:rPr>
            </w:pPr>
            <w:r>
              <w:rPr>
                <w:rFonts w:hint="eastAsia" w:ascii="宋体" w:hAnsi="宋体" w:cs="宋体"/>
                <w:sz w:val="24"/>
              </w:rPr>
              <w:t>3.检查过程中系统会自动进行计时，记录检查时间长度、检查时项目会自动载入，检查者只需点击选择正确或错误，无需手动填写检查结果可以在电脑模块中汇总打印</w:t>
            </w:r>
          </w:p>
          <w:p w14:paraId="1F683BBF">
            <w:pPr>
              <w:rPr>
                <w:rFonts w:ascii="宋体" w:hAnsi="宋体" w:cs="宋体"/>
                <w:sz w:val="24"/>
              </w:rPr>
            </w:pPr>
            <w:r>
              <w:rPr>
                <w:rFonts w:hint="eastAsia" w:ascii="宋体" w:hAnsi="宋体" w:cs="宋体"/>
                <w:sz w:val="24"/>
              </w:rPr>
              <w:t>4.具备各项感控制度查询与学习，系统内置常规感控管理制度，也可以手动添加</w:t>
            </w:r>
          </w:p>
          <w:p w14:paraId="3EE1BD3F">
            <w:pPr>
              <w:rPr>
                <w:rFonts w:ascii="宋体" w:hAnsi="宋体" w:cs="宋体"/>
                <w:sz w:val="24"/>
              </w:rPr>
            </w:pPr>
            <w:r>
              <w:rPr>
                <w:rFonts w:hint="eastAsia" w:ascii="宋体" w:hAnsi="宋体" w:cs="宋体"/>
                <w:sz w:val="24"/>
              </w:rPr>
              <w:t>5.可以记录感控培训，并可以在系统内登记</w:t>
            </w:r>
          </w:p>
          <w:p w14:paraId="312B1D60">
            <w:pPr>
              <w:rPr>
                <w:rFonts w:ascii="宋体" w:hAnsi="宋体" w:cs="宋体"/>
                <w:b/>
                <w:bCs/>
                <w:sz w:val="24"/>
              </w:rPr>
            </w:pPr>
            <w:r>
              <w:rPr>
                <w:rFonts w:hint="eastAsia" w:ascii="宋体" w:hAnsi="宋体" w:cs="宋体"/>
                <w:b/>
                <w:bCs/>
                <w:sz w:val="24"/>
              </w:rPr>
              <w:t>★12、系统对接</w:t>
            </w:r>
          </w:p>
          <w:p w14:paraId="350E1AAE">
            <w:pPr>
              <w:rPr>
                <w:rFonts w:ascii="宋体" w:hAnsi="宋体" w:cs="宋体"/>
                <w:sz w:val="24"/>
              </w:rPr>
            </w:pPr>
            <w:r>
              <w:rPr>
                <w:rFonts w:hint="eastAsia" w:ascii="宋体" w:hAnsi="宋体" w:cs="宋体"/>
                <w:sz w:val="24"/>
              </w:rPr>
              <w:t>可和医院Lis系统对接，对检验结果进行单项抓取，无需手动录入;</w:t>
            </w:r>
          </w:p>
          <w:p w14:paraId="66F68548">
            <w:pPr>
              <w:rPr>
                <w:rFonts w:ascii="宋体" w:hAnsi="宋体" w:cs="宋体"/>
              </w:rPr>
            </w:pPr>
            <w:r>
              <w:rPr>
                <w:rFonts w:hint="eastAsia" w:ascii="宋体" w:hAnsi="宋体" w:cs="宋体"/>
                <w:sz w:val="24"/>
              </w:rPr>
              <w:t>可和医院His系统基本信息对接，对患者基本信息进行单项抓取，无需手动录入；</w:t>
            </w:r>
          </w:p>
          <w:p w14:paraId="1F8C1CDF">
            <w:pPr>
              <w:rPr>
                <w:rFonts w:ascii="宋体" w:hAnsi="宋体" w:cs="宋体"/>
                <w:sz w:val="24"/>
              </w:rPr>
            </w:pPr>
            <w:r>
              <w:rPr>
                <w:rFonts w:hint="eastAsia" w:ascii="宋体" w:hAnsi="宋体" w:cs="宋体"/>
                <w:b/>
                <w:bCs/>
                <w:sz w:val="24"/>
              </w:rPr>
              <w:t>13、血管通路管理功能</w:t>
            </w:r>
          </w:p>
          <w:p w14:paraId="5B4475DA">
            <w:pPr>
              <w:rPr>
                <w:rFonts w:ascii="宋体" w:hAnsi="宋体" w:cs="宋体"/>
                <w:sz w:val="24"/>
              </w:rPr>
            </w:pPr>
            <w:r>
              <w:rPr>
                <w:rFonts w:hint="eastAsia" w:ascii="宋体" w:hAnsi="宋体" w:cs="宋体"/>
                <w:sz w:val="24"/>
              </w:rPr>
              <w:t>1.穿刺位点标记功能：系统支持平板拍摄上传患者真实通路实照，可以对穿刺位点进行从1开始的数字编号，并可以选择各类标记信息，为下次穿刺提供指引。界面上可以直观查看历次穿刺信息及异常情况</w:t>
            </w:r>
          </w:p>
          <w:p w14:paraId="3AD3A10C">
            <w:pPr>
              <w:rPr>
                <w:rFonts w:ascii="宋体" w:hAnsi="宋体" w:cs="宋体"/>
                <w:sz w:val="24"/>
              </w:rPr>
            </w:pPr>
            <w:r>
              <w:rPr>
                <w:rFonts w:hint="eastAsia" w:ascii="宋体" w:hAnsi="宋体" w:cs="宋体"/>
                <w:sz w:val="24"/>
              </w:rPr>
              <w:t>2.具有血管通路时钟刻度指引功能，用于扣眼法穿刺的引导，可以在血管通路图上进行标记时钟刻度为进针方向，用A端/V端箭头表示</w:t>
            </w:r>
          </w:p>
          <w:p w14:paraId="3C7C8078">
            <w:pPr>
              <w:rPr>
                <w:rFonts w:ascii="宋体" w:hAnsi="宋体" w:cs="宋体"/>
                <w:sz w:val="24"/>
              </w:rPr>
            </w:pPr>
            <w:r>
              <w:rPr>
                <w:rFonts w:hint="eastAsia" w:ascii="宋体" w:hAnsi="宋体" w:cs="宋体"/>
                <w:sz w:val="24"/>
              </w:rPr>
              <w:t>3.具备通路评估功能，穿刺管理功能、导管管理功能、并发症管理功能</w:t>
            </w:r>
          </w:p>
          <w:p w14:paraId="5D91FADB">
            <w:pPr>
              <w:rPr>
                <w:rFonts w:ascii="宋体" w:hAnsi="宋体" w:cs="宋体"/>
                <w:sz w:val="24"/>
              </w:rPr>
            </w:pPr>
            <w:r>
              <w:rPr>
                <w:rFonts w:hint="eastAsia" w:ascii="宋体" w:hAnsi="宋体" w:cs="宋体"/>
                <w:sz w:val="24"/>
              </w:rPr>
              <w:t>4.通路发生的并发症，日常记录可通过模板快速选择，并可进行统计分析</w:t>
            </w:r>
          </w:p>
          <w:p w14:paraId="796D5992">
            <w:pPr>
              <w:rPr>
                <w:rFonts w:cs="仿宋"/>
                <w:b/>
                <w:bCs/>
                <w:sz w:val="24"/>
              </w:rPr>
            </w:pPr>
            <w:r>
              <w:rPr>
                <w:rFonts w:hint="eastAsia" w:ascii="宋体" w:hAnsi="宋体" w:cs="宋体"/>
                <w:b/>
                <w:bCs/>
                <w:sz w:val="24"/>
              </w:rPr>
              <w:t>14、</w:t>
            </w:r>
            <w:bookmarkStart w:id="54" w:name="OLE_LINK1"/>
            <w:r>
              <w:rPr>
                <w:rFonts w:hint="eastAsia" w:ascii="宋体" w:hAnsi="宋体" w:cs="宋体"/>
                <w:b/>
                <w:bCs/>
                <w:sz w:val="24"/>
              </w:rPr>
              <w:t>★</w:t>
            </w:r>
            <w:bookmarkEnd w:id="54"/>
            <w:r>
              <w:rPr>
                <w:rFonts w:hint="eastAsia" w:cs="仿宋"/>
                <w:b/>
                <w:bCs/>
                <w:sz w:val="24"/>
              </w:rPr>
              <w:t>人体成分检测</w:t>
            </w:r>
          </w:p>
          <w:p w14:paraId="40010AE6">
            <w:pPr>
              <w:rPr>
                <w:rFonts w:ascii="宋体" w:hAnsi="宋体" w:cs="宋体"/>
                <w:sz w:val="24"/>
              </w:rPr>
            </w:pPr>
            <w:r>
              <w:rPr>
                <w:rFonts w:hint="eastAsia" w:ascii="宋体" w:hAnsi="宋体" w:cs="宋体"/>
                <w:sz w:val="24"/>
              </w:rPr>
              <w:t>支持使用系统配套人体成分分析仪结合透析系统智能分析患者历史的检测记录，智能分析与干体重调整相关的因素，比如：检测时间、身高、体重、身体总水分、细胞外水、细胞外水分比率、推荐目标体重、系统计算过多水分、设定干体重、身体质量指数（BMI）等，智能判断干体重是否需要调整，还可查看水分管理报告及营养评估报告给医生提供辅助参考。</w:t>
            </w:r>
          </w:p>
          <w:p w14:paraId="7E7F000B">
            <w:pPr>
              <w:rPr>
                <w:rFonts w:ascii="宋体" w:hAnsi="宋体" w:cs="宋体"/>
                <w:b/>
                <w:bCs/>
                <w:sz w:val="24"/>
              </w:rPr>
            </w:pPr>
            <w:r>
              <w:rPr>
                <w:rFonts w:hint="eastAsia" w:ascii="宋体" w:hAnsi="宋体" w:cs="宋体"/>
                <w:b/>
                <w:bCs/>
                <w:sz w:val="24"/>
              </w:rPr>
              <w:t>15、透析单智能审核</w:t>
            </w:r>
          </w:p>
          <w:p w14:paraId="35573CBE">
            <w:pPr>
              <w:rPr>
                <w:rFonts w:ascii="宋体" w:hAnsi="宋体" w:cs="宋体"/>
                <w:sz w:val="24"/>
              </w:rPr>
            </w:pPr>
            <w:r>
              <w:rPr>
                <w:rFonts w:hint="eastAsia" w:ascii="宋体" w:hAnsi="宋体" w:cs="宋体"/>
                <w:sz w:val="24"/>
              </w:rPr>
              <w:t>系统支持智能分析透析记录单进行质控分析，智能纠错、治疗相关指标值可能异常的预警提醒</w:t>
            </w:r>
          </w:p>
          <w:p w14:paraId="416D33D8">
            <w:pPr>
              <w:rPr>
                <w:rFonts w:ascii="宋体" w:hAnsi="宋体" w:cs="宋体"/>
                <w:sz w:val="24"/>
              </w:rPr>
            </w:pPr>
            <w:r>
              <w:rPr>
                <w:rFonts w:hint="eastAsia" w:ascii="宋体" w:hAnsi="宋体" w:cs="宋体"/>
                <w:b/>
                <w:bCs/>
                <w:sz w:val="24"/>
              </w:rPr>
              <w:t>16、阶段小结智能生成</w:t>
            </w:r>
          </w:p>
          <w:p w14:paraId="47646962">
            <w:pPr>
              <w:rPr>
                <w:rFonts w:ascii="宋体" w:hAnsi="宋体" w:cs="宋体"/>
                <w:sz w:val="24"/>
              </w:rPr>
            </w:pPr>
            <w:r>
              <w:rPr>
                <w:rFonts w:hint="eastAsia" w:ascii="宋体" w:hAnsi="宋体" w:cs="宋体"/>
                <w:sz w:val="24"/>
              </w:rPr>
              <w:t>针对指定时间内的患者医嘱、检验检查、透析记录、病程记录、病史、诊断等临床数据，自动进行阶段性数据统计，生成阶段性统计报告，同时自动对指定时间的医嘱、检验结果等问题进行分析，生成小结总评价，并提出建议，同时支持使用人员对生成的结果进行修改。</w:t>
            </w:r>
          </w:p>
          <w:p w14:paraId="21C24303">
            <w:pPr>
              <w:rPr>
                <w:rFonts w:ascii="宋体" w:hAnsi="宋体" w:cs="宋体"/>
                <w:sz w:val="24"/>
              </w:rPr>
            </w:pPr>
            <w:r>
              <w:rPr>
                <w:rFonts w:hint="eastAsia" w:ascii="宋体" w:hAnsi="宋体" w:cs="宋体"/>
                <w:b/>
                <w:bCs/>
                <w:sz w:val="24"/>
              </w:rPr>
              <w:t>17、医疗大模型应用场景</w:t>
            </w:r>
          </w:p>
          <w:p w14:paraId="0042587B">
            <w:pPr>
              <w:rPr>
                <w:rFonts w:ascii="宋体" w:hAnsi="宋体" w:cs="宋体"/>
                <w:sz w:val="24"/>
              </w:rPr>
            </w:pPr>
            <w:r>
              <w:rPr>
                <w:rFonts w:hint="eastAsia" w:ascii="宋体" w:hAnsi="宋体" w:cs="宋体"/>
                <w:sz w:val="24"/>
              </w:rPr>
              <w:t>1.患者病情整体评估：对患者病情进行评价，并列出该评价的依据；对患者的核心质控进行分析，分析存在的问题和不达标原因，并分析指标趋势；诊断缺失的列出补充诊断参考和提供诊断依据；指出该患者存在的异常病情并分析可能的原因；对治疗方案进行多方位评价；对可能发生的并发症做预测，并列出该预测和预后评价的分析过程和依据，同时给出相应的预防措施；</w:t>
            </w:r>
          </w:p>
          <w:p w14:paraId="62ECCD32">
            <w:pPr>
              <w:rPr>
                <w:rFonts w:ascii="宋体" w:hAnsi="宋体" w:cs="宋体"/>
                <w:sz w:val="24"/>
              </w:rPr>
            </w:pPr>
            <w:r>
              <w:rPr>
                <w:rFonts w:hint="eastAsia" w:ascii="宋体" w:hAnsi="宋体" w:cs="宋体"/>
                <w:sz w:val="24"/>
              </w:rPr>
              <w:t>2.并发症分析和风险评估：对已有的并发症诊断如不全面列出缺失的诊断和诊断依据；并发症如没有针对性治疗的列出治疗不足处、建议参考和依据；评估用药是否符合该并发症诊断的用药需求，给出合理的用药建议参考和依据；对可能发生的并发症做预测并给出依据；同时给出相应的预防措施；</w:t>
            </w:r>
          </w:p>
          <w:p w14:paraId="7DF0349A">
            <w:pPr>
              <w:rPr>
                <w:rFonts w:ascii="宋体" w:hAnsi="宋体" w:cs="宋体"/>
                <w:sz w:val="24"/>
              </w:rPr>
            </w:pPr>
            <w:r>
              <w:rPr>
                <w:rFonts w:hint="eastAsia" w:ascii="宋体" w:hAnsi="宋体" w:cs="宋体"/>
                <w:sz w:val="24"/>
              </w:rPr>
              <w:t>3.医嘱辅助分析：对医嘱的完整性进行分析，指出医嘱未涵盖的并发症和对应的医嘱缺失问题；对医嘱的实性性进行分析，指出实时性相关的事件和问题；对医嘱的用药合理性进行分析，指出不合理的医嘱名称和不合理原因；对医嘱的用药不良反应进行分析，指出不良反应类型、汲及的药物和存在的风险；对医嘱的调整和新增提出建议；指出医嘱调整后没有反馈疗效的医嘱并给出疗效评估意见；</w:t>
            </w:r>
          </w:p>
          <w:p w14:paraId="6BF75E67">
            <w:pPr>
              <w:rPr>
                <w:rFonts w:ascii="宋体" w:hAnsi="宋体" w:cs="宋体"/>
                <w:sz w:val="24"/>
              </w:rPr>
            </w:pPr>
            <w:r>
              <w:rPr>
                <w:rFonts w:hint="eastAsia" w:ascii="宋体" w:hAnsi="宋体" w:cs="宋体"/>
                <w:sz w:val="24"/>
              </w:rPr>
              <w:t>4.营养评估：评估该患者的营养状态分级；给出营养不良的可能原因分析，并给出评估依据；给出药物治疗参考、膳食营养支持的治疗方案和预防方案。</w:t>
            </w:r>
          </w:p>
          <w:p w14:paraId="2BA5F2C0">
            <w:pPr>
              <w:rPr>
                <w:rFonts w:ascii="宋体" w:hAnsi="宋体" w:cs="宋体"/>
                <w:sz w:val="24"/>
              </w:rPr>
            </w:pPr>
            <w:r>
              <w:rPr>
                <w:rFonts w:hint="eastAsia" w:ascii="宋体" w:hAnsi="宋体" w:cs="宋体"/>
                <w:sz w:val="24"/>
              </w:rPr>
              <w:t>5.透析处方评估：对透析处方的合理性进行整体评估，并指出问题和提供依据；对透析充分性进行整体分析，并提示分析依据；对单次透析处方参数进行分析，并指出问题和提供依据；对透析整体方案提供优化建议；对下次透析处方优化提供优化建议；</w:t>
            </w:r>
          </w:p>
          <w:p w14:paraId="75B8B2A8">
            <w:pPr>
              <w:rPr>
                <w:rFonts w:ascii="宋体" w:hAnsi="宋体" w:cs="宋体"/>
                <w:sz w:val="24"/>
              </w:rPr>
            </w:pPr>
            <w:r>
              <w:rPr>
                <w:rFonts w:hint="eastAsia" w:ascii="宋体" w:hAnsi="宋体" w:cs="宋体"/>
                <w:sz w:val="24"/>
              </w:rPr>
              <w:t>6.病程记录规范性分析：对病程记录的真实性进行分析，指出错误和矛盾之处；对病程记录的专业性进行分析，指出不合理描述；对病程记录的完整性进行分析，指出未记录的情况和给出修改意见；对病程记录的及时性进行分析，指出未及时记录的问题；</w:t>
            </w:r>
          </w:p>
          <w:p w14:paraId="62C37EB0">
            <w:pPr>
              <w:rPr>
                <w:rFonts w:ascii="宋体" w:hAnsi="宋体" w:cs="宋体"/>
                <w:sz w:val="24"/>
              </w:rPr>
            </w:pPr>
            <w:r>
              <w:rPr>
                <w:rFonts w:hint="eastAsia" w:ascii="宋体" w:hAnsi="宋体" w:cs="宋体"/>
                <w:b/>
                <w:bCs/>
                <w:sz w:val="24"/>
              </w:rPr>
              <w:t>护理大模型应用场景</w:t>
            </w:r>
          </w:p>
          <w:p w14:paraId="43AE3170">
            <w:pPr>
              <w:rPr>
                <w:rFonts w:ascii="宋体" w:hAnsi="宋体" w:cs="宋体"/>
                <w:sz w:val="24"/>
              </w:rPr>
            </w:pPr>
            <w:r>
              <w:rPr>
                <w:rFonts w:hint="eastAsia" w:ascii="宋体" w:hAnsi="宋体" w:cs="宋体"/>
                <w:sz w:val="24"/>
              </w:rPr>
              <w:t>1.</w:t>
            </w:r>
            <w:r>
              <w:rPr>
                <w:rFonts w:ascii="宋体" w:hAnsi="宋体" w:cs="宋体"/>
                <w:sz w:val="24"/>
              </w:rPr>
              <w:t>患者病情护理评估</w:t>
            </w:r>
            <w:r>
              <w:rPr>
                <w:rFonts w:hint="eastAsia" w:ascii="宋体" w:hAnsi="宋体" w:cs="宋体"/>
                <w:sz w:val="24"/>
              </w:rPr>
              <w:t>：对患者病情进行评价，并列出该评价的依据；该患者存在的异常病情并分析可能的原因；患者的依从性分析；预见性护理：给出该患者的护理诊断和护理措施的建议；</w:t>
            </w:r>
          </w:p>
          <w:p w14:paraId="5A423E6C">
            <w:pPr>
              <w:rPr>
                <w:rFonts w:ascii="宋体" w:hAnsi="宋体" w:cs="宋体"/>
                <w:sz w:val="24"/>
              </w:rPr>
            </w:pPr>
            <w:r>
              <w:rPr>
                <w:rFonts w:hint="eastAsia" w:ascii="宋体" w:hAnsi="宋体" w:cs="宋体"/>
                <w:sz w:val="24"/>
              </w:rPr>
              <w:t>2.并发症风险护理分析：对长期并发症和急性并发症进行风险评估并给出依据；</w:t>
            </w:r>
          </w:p>
          <w:p w14:paraId="79345783">
            <w:pPr>
              <w:rPr>
                <w:rFonts w:ascii="宋体" w:hAnsi="宋体" w:cs="宋体"/>
                <w:sz w:val="24"/>
              </w:rPr>
            </w:pPr>
            <w:r>
              <w:rPr>
                <w:rFonts w:hint="eastAsia" w:ascii="宋体" w:hAnsi="宋体" w:cs="宋体"/>
                <w:sz w:val="24"/>
              </w:rPr>
              <w:t>3.护理营养评估：依据血清白蛋白水平评估该患者的营养状态分级；给出营养不良的可能原因分析；给出膳食营养支持的治疗方案和用药、透析方面的改进建议，或生活护理和膳食营养支持预防措施的建议；</w:t>
            </w:r>
          </w:p>
          <w:p w14:paraId="3D6D9F87">
            <w:pPr>
              <w:rPr>
                <w:rFonts w:ascii="宋体" w:hAnsi="宋体" w:cs="宋体"/>
                <w:sz w:val="24"/>
              </w:rPr>
            </w:pPr>
            <w:r>
              <w:rPr>
                <w:rFonts w:hint="eastAsia" w:ascii="宋体" w:hAnsi="宋体" w:cs="宋体"/>
                <w:sz w:val="24"/>
              </w:rPr>
              <w:t>4.护理质量分析：列出核心质控指标和不达标提示存在的问题；对达标的核心指标给出详细的原因分析和护理建议；</w:t>
            </w:r>
          </w:p>
          <w:p w14:paraId="0BB5263A">
            <w:pPr>
              <w:rPr>
                <w:rFonts w:ascii="宋体" w:hAnsi="宋体" w:cs="宋体"/>
                <w:sz w:val="24"/>
              </w:rPr>
            </w:pPr>
            <w:r>
              <w:rPr>
                <w:rFonts w:hint="eastAsia" w:ascii="宋体" w:hAnsi="宋体" w:cs="宋体"/>
                <w:sz w:val="24"/>
              </w:rPr>
              <w:t>5.感染风险护理评估：给出感染风险等级并给出相应的依据；给出针对感染风险的预防建议；</w:t>
            </w:r>
          </w:p>
          <w:p w14:paraId="1DC84832">
            <w:pPr>
              <w:rPr>
                <w:rFonts w:ascii="宋体" w:hAnsi="宋体" w:cs="宋体"/>
                <w:sz w:val="24"/>
              </w:rPr>
            </w:pPr>
            <w:r>
              <w:rPr>
                <w:rFonts w:hint="eastAsia" w:ascii="宋体" w:hAnsi="宋体" w:cs="宋体"/>
                <w:sz w:val="24"/>
              </w:rPr>
              <w:t>6.护理健康教育：汇总患者近期异常情况，并给出可能的原因分析；针对患者的异常情况和患者用药情况给出个性化宣教内容；</w:t>
            </w:r>
          </w:p>
          <w:p w14:paraId="740C0F44">
            <w:pPr>
              <w:rPr>
                <w:rFonts w:ascii="宋体" w:hAnsi="宋体" w:cs="宋体"/>
                <w:b/>
                <w:bCs/>
                <w:sz w:val="24"/>
              </w:rPr>
            </w:pPr>
            <w:r>
              <w:rPr>
                <w:rFonts w:hint="eastAsia" w:ascii="宋体" w:hAnsi="宋体" w:cs="宋体"/>
                <w:b/>
                <w:bCs/>
                <w:sz w:val="24"/>
              </w:rPr>
              <w:t>系统服务</w:t>
            </w:r>
          </w:p>
          <w:p w14:paraId="4DDDCE14">
            <w:pPr>
              <w:rPr>
                <w:rFonts w:ascii="宋体" w:hAnsi="宋体" w:cs="宋体"/>
                <w:sz w:val="24"/>
              </w:rPr>
            </w:pPr>
            <w:r>
              <w:rPr>
                <w:rFonts w:hint="eastAsia" w:ascii="宋体" w:hAnsi="宋体" w:cs="宋体"/>
                <w:sz w:val="24"/>
              </w:rPr>
              <w:t>1.软件部分含1年免费维护，硬件保修1年</w:t>
            </w:r>
          </w:p>
          <w:p w14:paraId="29AC7478">
            <w:pPr>
              <w:rPr>
                <w:rFonts w:ascii="宋体" w:hAnsi="宋体" w:cs="宋体"/>
                <w:sz w:val="24"/>
              </w:rPr>
            </w:pPr>
            <w:r>
              <w:rPr>
                <w:rFonts w:hint="eastAsia" w:ascii="宋体" w:hAnsi="宋体" w:cs="宋体"/>
                <w:sz w:val="24"/>
              </w:rPr>
              <w:t>2.服务期内提供定期升级服务，保证更新及时性，使用户客户端软件始终为最新版本</w:t>
            </w:r>
          </w:p>
          <w:p w14:paraId="167ACF19">
            <w:pPr>
              <w:widowControl/>
              <w:spacing w:line="360" w:lineRule="auto"/>
              <w:rPr>
                <w:rFonts w:ascii="宋体" w:hAnsi="宋体" w:cs="宋体"/>
                <w:b/>
                <w:bCs/>
                <w:sz w:val="23"/>
                <w:szCs w:val="23"/>
              </w:rPr>
            </w:pPr>
            <w:r>
              <w:rPr>
                <w:rFonts w:hint="eastAsia" w:ascii="宋体" w:hAnsi="宋体" w:cs="宋体"/>
                <w:sz w:val="24"/>
              </w:rPr>
              <w:t>3.软件出现使用问题时，应提供实时在线服务，20分钟内响应，常规问题24小时内解决；如疑难问题，派工程师提供现场维修服务</w:t>
            </w:r>
          </w:p>
        </w:tc>
      </w:tr>
      <w:tr w14:paraId="232F4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8" w:hRule="atLeast"/>
        </w:trPr>
        <w:tc>
          <w:tcPr>
            <w:tcW w:w="776" w:type="dxa"/>
            <w:vAlign w:val="center"/>
          </w:tcPr>
          <w:p w14:paraId="6B351222">
            <w:pPr>
              <w:rPr>
                <w:rFonts w:ascii="宋体" w:hAnsi="宋体" w:cs="宋体"/>
                <w:sz w:val="24"/>
              </w:rPr>
            </w:pPr>
            <w:r>
              <w:rPr>
                <w:rFonts w:hint="eastAsia" w:ascii="宋体" w:hAnsi="宋体" w:cs="宋体"/>
                <w:sz w:val="24"/>
              </w:rPr>
              <w:t>6</w:t>
            </w:r>
          </w:p>
        </w:tc>
        <w:tc>
          <w:tcPr>
            <w:tcW w:w="1697" w:type="dxa"/>
            <w:vAlign w:val="center"/>
          </w:tcPr>
          <w:p w14:paraId="6A8D48AF">
            <w:pPr>
              <w:rPr>
                <w:rFonts w:ascii="宋体" w:hAnsi="宋体" w:cs="宋体"/>
                <w:b/>
                <w:bCs/>
                <w:sz w:val="23"/>
                <w:szCs w:val="23"/>
              </w:rPr>
            </w:pPr>
            <w:r>
              <w:rPr>
                <w:sz w:val="28"/>
              </w:rPr>
              <w:t>台式消毒机</w:t>
            </w:r>
          </w:p>
        </w:tc>
        <w:tc>
          <w:tcPr>
            <w:tcW w:w="956" w:type="dxa"/>
            <w:vAlign w:val="center"/>
          </w:tcPr>
          <w:p w14:paraId="72AC1E1B">
            <w:pPr>
              <w:rPr>
                <w:rFonts w:ascii="宋体" w:hAnsi="宋体" w:cs="宋体"/>
                <w:b/>
                <w:bCs/>
                <w:sz w:val="23"/>
                <w:szCs w:val="23"/>
              </w:rPr>
            </w:pPr>
            <w:r>
              <w:rPr>
                <w:rFonts w:hint="eastAsia"/>
                <w:sz w:val="28"/>
              </w:rPr>
              <w:t>4</w:t>
            </w:r>
          </w:p>
        </w:tc>
        <w:tc>
          <w:tcPr>
            <w:tcW w:w="879" w:type="dxa"/>
            <w:vAlign w:val="center"/>
          </w:tcPr>
          <w:p w14:paraId="430C6521">
            <w:pPr>
              <w:rPr>
                <w:rFonts w:ascii="宋体" w:hAnsi="宋体" w:cs="宋体"/>
                <w:b/>
                <w:bCs/>
                <w:sz w:val="23"/>
                <w:szCs w:val="23"/>
              </w:rPr>
            </w:pPr>
            <w:r>
              <w:rPr>
                <w:sz w:val="28"/>
              </w:rPr>
              <w:t>台</w:t>
            </w:r>
          </w:p>
        </w:tc>
        <w:tc>
          <w:tcPr>
            <w:tcW w:w="5583" w:type="dxa"/>
            <w:vAlign w:val="center"/>
          </w:tcPr>
          <w:p w14:paraId="0F9267A5">
            <w:pPr>
              <w:tabs>
                <w:tab w:val="left" w:pos="425"/>
              </w:tabs>
              <w:spacing w:line="312" w:lineRule="auto"/>
              <w:rPr>
                <w:rFonts w:cs="宋体"/>
              </w:rPr>
            </w:pPr>
            <w:r>
              <w:rPr>
                <w:rFonts w:hint="eastAsia" w:cs="宋体"/>
              </w:rPr>
              <w:t>外形：移动式</w:t>
            </w:r>
          </w:p>
          <w:p w14:paraId="6296FD8F">
            <w:pPr>
              <w:autoSpaceDE w:val="0"/>
              <w:autoSpaceDN w:val="0"/>
              <w:spacing w:line="300" w:lineRule="exact"/>
              <w:rPr>
                <w:rFonts w:ascii="宋体" w:hAnsi="宋体" w:cs="宋体"/>
              </w:rPr>
            </w:pPr>
            <w:r>
              <w:rPr>
                <w:rFonts w:hint="eastAsia" w:cs="宋体"/>
              </w:rPr>
              <w:t>外型尺寸：</w:t>
            </w:r>
            <w:r>
              <w:rPr>
                <w:rFonts w:ascii="宋体" w:hAnsi="宋体" w:cs="宋体"/>
              </w:rPr>
              <w:t>520×450×</w:t>
            </w:r>
            <w:r>
              <w:rPr>
                <w:rFonts w:hint="eastAsia" w:ascii="宋体" w:hAnsi="宋体" w:cs="宋体"/>
              </w:rPr>
              <w:t>180</w:t>
            </w:r>
            <w:r>
              <w:rPr>
                <w:rFonts w:hint="eastAsia" w:cs="宋体"/>
              </w:rPr>
              <w:t>（</w:t>
            </w:r>
            <w:r>
              <w:rPr>
                <w:rFonts w:cs="宋体"/>
              </w:rPr>
              <w:t>mm</w:t>
            </w:r>
            <w:r>
              <w:rPr>
                <w:rFonts w:hint="eastAsia" w:cs="宋体"/>
              </w:rPr>
              <w:t>）</w:t>
            </w:r>
          </w:p>
          <w:p w14:paraId="2CEB9F62">
            <w:pPr>
              <w:tabs>
                <w:tab w:val="left" w:pos="425"/>
              </w:tabs>
              <w:spacing w:line="312" w:lineRule="auto"/>
              <w:rPr>
                <w:rFonts w:cs="宋体"/>
              </w:rPr>
            </w:pPr>
            <w:r>
              <w:rPr>
                <w:rFonts w:hint="eastAsia" w:cs="宋体"/>
              </w:rPr>
              <w:t>重量：</w:t>
            </w:r>
            <w:r>
              <w:rPr>
                <w:rFonts w:hint="eastAsia" w:ascii="宋体" w:hAnsi="宋体" w:cs="宋体"/>
              </w:rPr>
              <w:t>65</w:t>
            </w:r>
            <w:r>
              <w:rPr>
                <w:rFonts w:hint="eastAsia" w:cs="宋体"/>
              </w:rPr>
              <w:t>k</w:t>
            </w:r>
            <w:r>
              <w:rPr>
                <w:rFonts w:cs="宋体"/>
              </w:rPr>
              <w:t>g</w:t>
            </w:r>
          </w:p>
          <w:p w14:paraId="1BCB479F">
            <w:pPr>
              <w:tabs>
                <w:tab w:val="left" w:pos="425"/>
              </w:tabs>
              <w:spacing w:line="312" w:lineRule="auto"/>
              <w:rPr>
                <w:rFonts w:cs="宋体"/>
              </w:rPr>
            </w:pPr>
            <w:r>
              <w:rPr>
                <w:rFonts w:hint="eastAsia" w:cs="宋体"/>
              </w:rPr>
              <w:t>技术参数：</w:t>
            </w:r>
          </w:p>
          <w:p w14:paraId="68E2BB3F">
            <w:pPr>
              <w:tabs>
                <w:tab w:val="left" w:pos="425"/>
              </w:tabs>
              <w:spacing w:line="312" w:lineRule="auto"/>
              <w:rPr>
                <w:rFonts w:cs="宋体"/>
              </w:rPr>
            </w:pPr>
            <w:r>
              <w:rPr>
                <w:rFonts w:hint="eastAsia" w:cs="宋体"/>
              </w:rPr>
              <w:t>消毒方法：等离子体</w:t>
            </w:r>
          </w:p>
          <w:p w14:paraId="515894E5">
            <w:pPr>
              <w:tabs>
                <w:tab w:val="left" w:pos="425"/>
              </w:tabs>
              <w:spacing w:line="312" w:lineRule="auto"/>
            </w:pPr>
            <w:r>
              <w:rPr>
                <w:rFonts w:hint="eastAsia" w:cs="宋体"/>
              </w:rPr>
              <w:t>最大适用体积：</w:t>
            </w:r>
            <w:r>
              <w:rPr>
                <w:rFonts w:hint="eastAsia"/>
              </w:rPr>
              <w:t>150</w:t>
            </w:r>
            <w:r>
              <w:t>m</w:t>
            </w:r>
            <w:r>
              <w:rPr>
                <w:vertAlign w:val="superscript"/>
              </w:rPr>
              <w:t>3</w:t>
            </w:r>
          </w:p>
          <w:p w14:paraId="1724F938">
            <w:pPr>
              <w:tabs>
                <w:tab w:val="left" w:pos="425"/>
              </w:tabs>
              <w:spacing w:line="312" w:lineRule="auto"/>
            </w:pPr>
            <w:r>
              <w:rPr>
                <w:rFonts w:hint="eastAsia" w:cs="宋体"/>
              </w:rPr>
              <w:t>额定循环风量：</w:t>
            </w:r>
            <w:r>
              <w:rPr>
                <w:rFonts w:hint="eastAsia"/>
              </w:rPr>
              <w:t>1500</w:t>
            </w:r>
            <w:r>
              <w:t>m</w:t>
            </w:r>
            <w:r>
              <w:rPr>
                <w:vertAlign w:val="superscript"/>
              </w:rPr>
              <w:t>3</w:t>
            </w:r>
            <w:r>
              <w:t>/h</w:t>
            </w:r>
          </w:p>
          <w:p w14:paraId="396ADCCB">
            <w:pPr>
              <w:tabs>
                <w:tab w:val="left" w:pos="425"/>
              </w:tabs>
              <w:spacing w:line="312" w:lineRule="auto"/>
            </w:pPr>
            <w:r>
              <w:rPr>
                <w:rFonts w:hint="eastAsia" w:cs="宋体"/>
              </w:rPr>
              <w:t>噪声：≤</w:t>
            </w:r>
            <w:r>
              <w:t>5</w:t>
            </w:r>
            <w:r>
              <w:rPr>
                <w:rFonts w:hint="eastAsia"/>
              </w:rPr>
              <w:t>5</w:t>
            </w:r>
            <w:r>
              <w:t>dB(A)</w:t>
            </w:r>
          </w:p>
          <w:p w14:paraId="07702EF8">
            <w:pPr>
              <w:tabs>
                <w:tab w:val="left" w:pos="425"/>
              </w:tabs>
              <w:spacing w:line="312" w:lineRule="auto"/>
            </w:pPr>
            <w:r>
              <w:rPr>
                <w:rFonts w:hint="eastAsia" w:cs="宋体"/>
              </w:rPr>
              <w:t>负离子浓度：≥</w:t>
            </w:r>
            <w:r>
              <w:t>6</w:t>
            </w:r>
            <w:r>
              <w:rPr>
                <w:rFonts w:hint="eastAsia" w:cs="宋体"/>
              </w:rPr>
              <w:t>×</w:t>
            </w:r>
            <w:r>
              <w:t>10</w:t>
            </w:r>
            <w:r>
              <w:rPr>
                <w:vertAlign w:val="superscript"/>
              </w:rPr>
              <w:t xml:space="preserve">6  </w:t>
            </w:r>
            <w:r>
              <w:rPr>
                <w:rFonts w:hint="eastAsia" w:cs="宋体"/>
              </w:rPr>
              <w:t>个</w:t>
            </w:r>
            <w:r>
              <w:t>/cm</w:t>
            </w:r>
            <w:r>
              <w:rPr>
                <w:vertAlign w:val="superscript"/>
              </w:rPr>
              <w:t>3</w:t>
            </w:r>
          </w:p>
          <w:p w14:paraId="5E2D9B5B">
            <w:pPr>
              <w:tabs>
                <w:tab w:val="left" w:pos="425"/>
              </w:tabs>
              <w:spacing w:line="312" w:lineRule="auto"/>
            </w:pPr>
            <w:r>
              <w:rPr>
                <w:rFonts w:hint="eastAsia" w:cs="宋体"/>
              </w:rPr>
              <w:t>等离子密度：4.1×10</w:t>
            </w:r>
            <w:r>
              <w:rPr>
                <w:rFonts w:hint="eastAsia" w:cs="宋体"/>
                <w:vertAlign w:val="superscript"/>
              </w:rPr>
              <w:t>18</w:t>
            </w:r>
            <w:r>
              <w:rPr>
                <w:rFonts w:hint="eastAsia" w:cs="宋体"/>
              </w:rPr>
              <w:t>m</w:t>
            </w:r>
            <w:r>
              <w:rPr>
                <w:rFonts w:hint="eastAsia" w:cs="宋体"/>
                <w:vertAlign w:val="superscript"/>
              </w:rPr>
              <w:t xml:space="preserve">-3     </w:t>
            </w:r>
            <w:r>
              <w:rPr>
                <w:rFonts w:hint="eastAsia" w:cs="宋体"/>
              </w:rPr>
              <w:t>等离子体场强度：</w:t>
            </w:r>
            <w:r>
              <w:rPr>
                <w:rFonts w:hint="eastAsia"/>
              </w:rPr>
              <w:t>8</w:t>
            </w:r>
            <w:r>
              <w:t xml:space="preserve"> kV</w:t>
            </w:r>
            <w:r>
              <w:rPr>
                <w:rFonts w:hint="eastAsia" w:ascii="宋体" w:hAnsi="宋体"/>
              </w:rPr>
              <w:t>±</w:t>
            </w:r>
            <w:r>
              <w:t>0.3 kV</w:t>
            </w:r>
          </w:p>
          <w:p w14:paraId="1F3C3D83">
            <w:pPr>
              <w:tabs>
                <w:tab w:val="left" w:pos="425"/>
              </w:tabs>
              <w:spacing w:line="312" w:lineRule="auto"/>
            </w:pPr>
            <w:r>
              <w:rPr>
                <w:rFonts w:hint="eastAsia"/>
              </w:rPr>
              <w:t>开机消毒60min对</w:t>
            </w:r>
            <w:r>
              <w:t>0.5</w:t>
            </w:r>
            <w:r>
              <w:rPr>
                <w:rFonts w:hint="eastAsia"/>
              </w:rPr>
              <w:t>μ</w:t>
            </w:r>
            <w:r>
              <w:t>m</w:t>
            </w:r>
            <w:r>
              <w:rPr>
                <w:rFonts w:hint="eastAsia"/>
              </w:rPr>
              <w:t>颗粒物去除率＞99.99</w:t>
            </w:r>
            <w:r>
              <w:t xml:space="preserve">% </w:t>
            </w:r>
            <w:r>
              <w:rPr>
                <w:rFonts w:hint="eastAsia"/>
              </w:rPr>
              <w:t>（提供国家认可的第三方检测报告）</w:t>
            </w:r>
          </w:p>
          <w:p w14:paraId="5A69A55E">
            <w:pPr>
              <w:tabs>
                <w:tab w:val="left" w:pos="425"/>
              </w:tabs>
              <w:spacing w:line="312" w:lineRule="auto"/>
            </w:pPr>
            <w:r>
              <w:rPr>
                <w:rFonts w:hint="eastAsia" w:ascii="宋体" w:hAnsi="宋体" w:cs="宋体"/>
                <w:b/>
                <w:bCs/>
                <w:sz w:val="24"/>
              </w:rPr>
              <w:t>★</w:t>
            </w:r>
            <w:r>
              <w:rPr>
                <w:rFonts w:hint="eastAsia" w:cs="宋体"/>
              </w:rPr>
              <w:t>等离子体发生器防 水等级符合 ：GB/T4208-2017  IPX2</w:t>
            </w:r>
            <w:r>
              <w:rPr>
                <w:rFonts w:hint="eastAsia"/>
              </w:rPr>
              <w:t>（提供国家认可的第三方检测报告）等离子体发生器高温 检测符合 ：GB/T2423 .2-2008严酷等级 ：60℃ 、检 测时间2h（需提供国家认可的第三方CMA检测报告）</w:t>
            </w:r>
          </w:p>
          <w:p w14:paraId="28E05F5F">
            <w:pPr>
              <w:tabs>
                <w:tab w:val="left" w:pos="425"/>
              </w:tabs>
              <w:spacing w:line="312" w:lineRule="auto"/>
              <w:rPr>
                <w:rFonts w:cs="宋体"/>
              </w:rPr>
            </w:pPr>
            <w:r>
              <w:rPr>
                <w:rFonts w:hint="eastAsia" w:cs="宋体"/>
              </w:rPr>
              <w:t>等离子发生器寿命、高压电源50000h（提供质量研究所检测报告）</w:t>
            </w:r>
          </w:p>
          <w:p w14:paraId="53260A4D">
            <w:pPr>
              <w:tabs>
                <w:tab w:val="left" w:pos="425"/>
              </w:tabs>
              <w:spacing w:line="312" w:lineRule="auto"/>
              <w:rPr>
                <w:rFonts w:cs="宋体"/>
              </w:rPr>
            </w:pPr>
            <w:r>
              <w:rPr>
                <w:rFonts w:hint="eastAsia" w:cs="宋体"/>
              </w:rPr>
              <w:t>开机消毒60min对白色葡萄球菌的杀灭率≥</w:t>
            </w:r>
            <w:r>
              <w:rPr>
                <w:rFonts w:cs="宋体"/>
              </w:rPr>
              <w:t>99.9</w:t>
            </w:r>
            <w:r>
              <w:rPr>
                <w:rFonts w:hint="eastAsia" w:cs="宋体"/>
              </w:rPr>
              <w:t>0</w:t>
            </w:r>
            <w:r>
              <w:rPr>
                <w:rFonts w:cs="宋体"/>
              </w:rPr>
              <w:t xml:space="preserve">% </w:t>
            </w:r>
            <w:r>
              <w:rPr>
                <w:rFonts w:hint="eastAsia" w:cs="宋体"/>
              </w:rPr>
              <w:t>（提供国家认可的第三方检测报告）</w:t>
            </w:r>
          </w:p>
          <w:p w14:paraId="0D9F7EB3">
            <w:pPr>
              <w:tabs>
                <w:tab w:val="left" w:pos="425"/>
              </w:tabs>
              <w:spacing w:line="312" w:lineRule="auto"/>
            </w:pPr>
            <w:r>
              <w:rPr>
                <w:rFonts w:hint="eastAsia"/>
              </w:rPr>
              <w:t>在150m³的空间内，开机消毒60min对自然菌平均消亡率≥</w:t>
            </w:r>
            <w:r>
              <w:t>9</w:t>
            </w:r>
            <w:r>
              <w:rPr>
                <w:rFonts w:hint="eastAsia"/>
              </w:rPr>
              <w:t>0</w:t>
            </w:r>
            <w:r>
              <w:t>.</w:t>
            </w:r>
            <w:r>
              <w:rPr>
                <w:rFonts w:hint="eastAsia"/>
              </w:rPr>
              <w:t>00</w:t>
            </w:r>
            <w:r>
              <w:t>%</w:t>
            </w:r>
            <w:r>
              <w:rPr>
                <w:rFonts w:hint="eastAsia"/>
              </w:rPr>
              <w:t>（提供国家认可的第三方检测报告）</w:t>
            </w:r>
          </w:p>
          <w:p w14:paraId="7A326C1A">
            <w:pPr>
              <w:tabs>
                <w:tab w:val="left" w:pos="425"/>
              </w:tabs>
              <w:spacing w:line="312" w:lineRule="auto"/>
            </w:pPr>
            <w:r>
              <w:rPr>
                <w:rFonts w:hint="eastAsia"/>
              </w:rPr>
              <w:t>开机时空气中臭氧浓度＜0.003㎎/m³（提供国家认可的第三方检测报告）</w:t>
            </w:r>
          </w:p>
          <w:p w14:paraId="0BC7F7C0">
            <w:pPr>
              <w:tabs>
                <w:tab w:val="left" w:pos="425"/>
              </w:tabs>
              <w:spacing w:line="312" w:lineRule="auto"/>
              <w:rPr>
                <w:rFonts w:cs="宋体"/>
              </w:rPr>
            </w:pPr>
            <w:r>
              <w:rPr>
                <w:rFonts w:hint="eastAsia" w:cs="宋体"/>
              </w:rPr>
              <w:t>性能参数：</w:t>
            </w:r>
          </w:p>
          <w:p w14:paraId="169AB866">
            <w:pPr>
              <w:tabs>
                <w:tab w:val="left" w:pos="425"/>
              </w:tabs>
              <w:spacing w:line="312" w:lineRule="auto"/>
              <w:rPr>
                <w:rFonts w:cs="宋体"/>
              </w:rPr>
            </w:pPr>
            <w:r>
              <w:rPr>
                <w:rFonts w:hint="eastAsia" w:cs="宋体"/>
              </w:rPr>
              <w:t>可在有人状态下运行，且对人体没有任何伤害。</w:t>
            </w:r>
          </w:p>
          <w:p w14:paraId="3569B1FD">
            <w:pPr>
              <w:tabs>
                <w:tab w:val="left" w:pos="425"/>
              </w:tabs>
              <w:spacing w:line="312" w:lineRule="auto"/>
              <w:rPr>
                <w:rFonts w:cs="宋体"/>
              </w:rPr>
            </w:pPr>
            <w:r>
              <w:rPr>
                <w:rFonts w:hint="eastAsia" w:cs="宋体"/>
              </w:rPr>
              <w:t>外壳采用优质镀锌钢板，防老化防自燃，下进风顶部上出风结构。</w:t>
            </w:r>
          </w:p>
          <w:p w14:paraId="43A8140C">
            <w:pPr>
              <w:tabs>
                <w:tab w:val="left" w:pos="425"/>
              </w:tabs>
              <w:spacing w:line="312" w:lineRule="auto"/>
              <w:rPr>
                <w:rFonts w:cs="宋体"/>
              </w:rPr>
            </w:pPr>
            <w:r>
              <w:rPr>
                <w:rFonts w:hint="eastAsia" w:cs="宋体"/>
              </w:rPr>
              <w:t>采用新型两段式等离子体电场，杀菌效率高，积尘效果好。</w:t>
            </w:r>
          </w:p>
          <w:p w14:paraId="67F03EF0">
            <w:pPr>
              <w:tabs>
                <w:tab w:val="left" w:pos="425"/>
              </w:tabs>
              <w:spacing w:line="312" w:lineRule="auto"/>
              <w:rPr>
                <w:rFonts w:cs="宋体"/>
              </w:rPr>
            </w:pPr>
            <w:r>
              <w:rPr>
                <w:rFonts w:hint="eastAsia" w:cs="宋体"/>
              </w:rPr>
              <w:t>选用复合过滤器，有效去除室内PM2.5以及微小细菌。</w:t>
            </w:r>
          </w:p>
          <w:p w14:paraId="2B150936">
            <w:pPr>
              <w:tabs>
                <w:tab w:val="left" w:pos="425"/>
              </w:tabs>
              <w:spacing w:line="312" w:lineRule="auto"/>
              <w:rPr>
                <w:rFonts w:cs="宋体"/>
              </w:rPr>
            </w:pPr>
            <w:r>
              <w:rPr>
                <w:rFonts w:hint="eastAsia" w:cs="宋体"/>
              </w:rPr>
              <w:t>选用优质活性炭分子过滤器，可有效去除有机气体和异味。</w:t>
            </w:r>
          </w:p>
          <w:p w14:paraId="47D6F89E">
            <w:pPr>
              <w:tabs>
                <w:tab w:val="left" w:pos="425"/>
              </w:tabs>
              <w:spacing w:line="312" w:lineRule="auto"/>
              <w:rPr>
                <w:rFonts w:cs="宋体"/>
              </w:rPr>
            </w:pPr>
            <w:r>
              <w:rPr>
                <w:rFonts w:hint="eastAsia" w:cs="宋体"/>
              </w:rPr>
              <w:t>风量三挡</w:t>
            </w:r>
            <w:r>
              <w:rPr>
                <w:rFonts w:cs="宋体"/>
              </w:rPr>
              <w:t>可调</w:t>
            </w:r>
            <w:r>
              <w:rPr>
                <w:rFonts w:hint="eastAsia" w:cs="宋体"/>
              </w:rPr>
              <w:t>，配有磁性</w:t>
            </w:r>
            <w:r>
              <w:rPr>
                <w:rFonts w:cs="宋体"/>
              </w:rPr>
              <w:t>遥控</w:t>
            </w:r>
            <w:r>
              <w:rPr>
                <w:rFonts w:hint="eastAsia" w:cs="宋体"/>
              </w:rPr>
              <w:t>器，可吸附于机身或金属物体表面。</w:t>
            </w:r>
          </w:p>
          <w:p w14:paraId="6EAD5984">
            <w:pPr>
              <w:tabs>
                <w:tab w:val="left" w:pos="425"/>
              </w:tabs>
              <w:spacing w:line="312" w:lineRule="auto"/>
              <w:rPr>
                <w:rFonts w:cs="宋体"/>
              </w:rPr>
            </w:pPr>
            <w:r>
              <w:rPr>
                <w:rFonts w:hint="eastAsia" w:cs="宋体"/>
              </w:rPr>
              <w:t>配有手动、预约模式，满足用户更多使用需求。</w:t>
            </w:r>
          </w:p>
          <w:p w14:paraId="56F08DFE">
            <w:pPr>
              <w:tabs>
                <w:tab w:val="left" w:pos="425"/>
              </w:tabs>
              <w:spacing w:line="312" w:lineRule="auto"/>
              <w:rPr>
                <w:rFonts w:cs="宋体"/>
              </w:rPr>
            </w:pPr>
            <w:r>
              <w:rPr>
                <w:rFonts w:hint="eastAsia" w:cs="宋体"/>
              </w:rPr>
              <w:t>增强消毒功能，可紧急处理室内感染问题。负氧离子功能，清新空气。</w:t>
            </w:r>
          </w:p>
          <w:p w14:paraId="1B9574C5">
            <w:pPr>
              <w:tabs>
                <w:tab w:val="left" w:pos="425"/>
              </w:tabs>
              <w:spacing w:line="312" w:lineRule="auto"/>
              <w:rPr>
                <w:rFonts w:cs="宋体"/>
              </w:rPr>
            </w:pPr>
            <w:r>
              <w:rPr>
                <w:rFonts w:hint="eastAsia" w:ascii="宋体" w:hAnsi="宋体" w:cs="宋体"/>
                <w:b/>
                <w:bCs/>
                <w:sz w:val="24"/>
              </w:rPr>
              <w:t>★</w:t>
            </w:r>
            <w:r>
              <w:rPr>
                <w:rFonts w:hint="eastAsia" w:cs="宋体"/>
              </w:rPr>
              <w:t>预约模式可实现9时段预约开关机且每时段30-180分钟可调。（提供实物图）</w:t>
            </w:r>
          </w:p>
          <w:p w14:paraId="528E7838">
            <w:pPr>
              <w:tabs>
                <w:tab w:val="left" w:pos="425"/>
              </w:tabs>
              <w:spacing w:line="312" w:lineRule="auto"/>
              <w:rPr>
                <w:rFonts w:cs="宋体"/>
              </w:rPr>
            </w:pPr>
            <w:r>
              <w:rPr>
                <w:rFonts w:cs="宋体"/>
              </w:rPr>
              <w:t>模块化设计，方便用户维护保养</w:t>
            </w:r>
            <w:r>
              <w:rPr>
                <w:rFonts w:hint="eastAsia" w:cs="宋体"/>
              </w:rPr>
              <w:t>。</w:t>
            </w:r>
          </w:p>
          <w:p w14:paraId="4D29C53A">
            <w:pPr>
              <w:tabs>
                <w:tab w:val="left" w:pos="425"/>
              </w:tabs>
              <w:spacing w:line="312" w:lineRule="auto"/>
              <w:rPr>
                <w:rFonts w:cs="宋体"/>
              </w:rPr>
            </w:pPr>
            <w:r>
              <w:rPr>
                <w:rFonts w:hint="eastAsia" w:cs="宋体"/>
              </w:rPr>
              <w:t>工作时间</w:t>
            </w:r>
            <w:r>
              <w:rPr>
                <w:rFonts w:cs="宋体"/>
              </w:rPr>
              <w:t>自动累计</w:t>
            </w:r>
            <w:r>
              <w:rPr>
                <w:rFonts w:hint="eastAsia" w:cs="宋体"/>
              </w:rPr>
              <w:t>功能，清洗维护自动提醒功能。</w:t>
            </w:r>
          </w:p>
          <w:p w14:paraId="771CAC82">
            <w:pPr>
              <w:tabs>
                <w:tab w:val="left" w:pos="425"/>
              </w:tabs>
              <w:spacing w:line="312" w:lineRule="auto"/>
              <w:rPr>
                <w:rFonts w:cs="宋体"/>
              </w:rPr>
            </w:pPr>
            <w:r>
              <w:rPr>
                <w:rFonts w:hint="eastAsia" w:cs="宋体"/>
              </w:rPr>
              <w:t>液晶中文显示屏，远红外线遥控，一键锁定</w:t>
            </w:r>
            <w:r>
              <w:rPr>
                <w:rFonts w:cs="宋体"/>
              </w:rPr>
              <w:t>功能，防止误操作。</w:t>
            </w:r>
          </w:p>
          <w:p w14:paraId="397BDD2F">
            <w:pPr>
              <w:tabs>
                <w:tab w:val="left" w:pos="425"/>
              </w:tabs>
              <w:spacing w:line="312" w:lineRule="auto"/>
            </w:pPr>
            <w:r>
              <w:rPr>
                <w:rFonts w:hint="eastAsia" w:cs="宋体"/>
              </w:rPr>
              <w:t>等离子体</w:t>
            </w:r>
            <w:r>
              <w:rPr>
                <w:rFonts w:cs="宋体"/>
              </w:rPr>
              <w:t>杀菌净化模块故障报警</w:t>
            </w:r>
            <w:r>
              <w:rPr>
                <w:rFonts w:hint="eastAsia" w:cs="宋体"/>
              </w:rPr>
              <w:t>、风机、温湿度、通讯故障报警功能。</w:t>
            </w:r>
          </w:p>
          <w:p w14:paraId="268AB7FD">
            <w:pPr>
              <w:tabs>
                <w:tab w:val="left" w:pos="425"/>
              </w:tabs>
              <w:spacing w:line="312" w:lineRule="auto"/>
              <w:rPr>
                <w:rFonts w:cs="宋体"/>
              </w:rPr>
            </w:pPr>
            <w:r>
              <w:rPr>
                <w:rFonts w:hint="eastAsia" w:cs="宋体"/>
              </w:rPr>
              <w:t>电气参数：</w:t>
            </w:r>
          </w:p>
          <w:p w14:paraId="37C26DDC">
            <w:pPr>
              <w:tabs>
                <w:tab w:val="left" w:pos="425"/>
              </w:tabs>
              <w:spacing w:line="312" w:lineRule="auto"/>
            </w:pPr>
            <w:r>
              <w:rPr>
                <w:rFonts w:hint="eastAsia" w:cs="宋体"/>
              </w:rPr>
              <w:t>输入功率：≤</w:t>
            </w:r>
            <w:r>
              <w:rPr>
                <w:rFonts w:hint="eastAsia"/>
              </w:rPr>
              <w:t>150</w:t>
            </w:r>
            <w:r>
              <w:t>W</w:t>
            </w:r>
            <w:r>
              <w:rPr>
                <w:rFonts w:hint="eastAsia"/>
              </w:rPr>
              <w:t xml:space="preserve">    电源：</w:t>
            </w:r>
            <w:r>
              <w:t>AC 220V  50Hz</w:t>
            </w:r>
          </w:p>
          <w:p w14:paraId="63E3C92D">
            <w:pPr>
              <w:tabs>
                <w:tab w:val="left" w:pos="425"/>
              </w:tabs>
              <w:spacing w:line="312" w:lineRule="auto"/>
              <w:rPr>
                <w:rFonts w:cs="宋体"/>
              </w:rPr>
            </w:pPr>
            <w:r>
              <w:rPr>
                <w:rFonts w:hint="eastAsia" w:cs="宋体"/>
              </w:rPr>
              <w:t>企业及产品资质：</w:t>
            </w:r>
          </w:p>
          <w:p w14:paraId="0F7F0126">
            <w:pPr>
              <w:widowControl/>
              <w:spacing w:line="360" w:lineRule="auto"/>
              <w:rPr>
                <w:rFonts w:ascii="宋体" w:hAnsi="宋体" w:cs="宋体"/>
                <w:b/>
                <w:bCs/>
                <w:sz w:val="23"/>
                <w:szCs w:val="23"/>
              </w:rPr>
            </w:pPr>
            <w:r>
              <w:rPr>
                <w:rFonts w:hint="eastAsia" w:cs="宋体"/>
              </w:rPr>
              <w:t>具有消毒产品生产卫生许可证及消毒产品卫生安全评价报告，ISO9001/ISO4001/ISO45001管理体系证书，产品外观专利证书、CE证书，</w:t>
            </w:r>
          </w:p>
        </w:tc>
      </w:tr>
      <w:tr w14:paraId="4B20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B9F32F6">
            <w:pPr>
              <w:rPr>
                <w:rFonts w:ascii="宋体" w:hAnsi="宋体" w:cs="宋体"/>
                <w:sz w:val="24"/>
              </w:rPr>
            </w:pPr>
            <w:r>
              <w:rPr>
                <w:rFonts w:hint="eastAsia" w:ascii="宋体" w:hAnsi="宋体" w:cs="宋体"/>
                <w:sz w:val="24"/>
              </w:rPr>
              <w:t>7</w:t>
            </w:r>
          </w:p>
        </w:tc>
        <w:tc>
          <w:tcPr>
            <w:tcW w:w="1697" w:type="dxa"/>
            <w:vAlign w:val="center"/>
          </w:tcPr>
          <w:p w14:paraId="76AFBB50">
            <w:pPr>
              <w:rPr>
                <w:rFonts w:ascii="宋体" w:hAnsi="宋体" w:cs="宋体"/>
                <w:b/>
                <w:bCs/>
                <w:sz w:val="23"/>
                <w:szCs w:val="23"/>
              </w:rPr>
            </w:pPr>
            <w:r>
              <w:rPr>
                <w:sz w:val="28"/>
              </w:rPr>
              <w:t>台式血压计</w:t>
            </w:r>
          </w:p>
        </w:tc>
        <w:tc>
          <w:tcPr>
            <w:tcW w:w="956" w:type="dxa"/>
            <w:vAlign w:val="center"/>
          </w:tcPr>
          <w:p w14:paraId="1EFBEA4C">
            <w:pPr>
              <w:rPr>
                <w:rFonts w:ascii="宋体" w:hAnsi="宋体" w:cs="宋体"/>
                <w:b/>
                <w:bCs/>
                <w:sz w:val="23"/>
                <w:szCs w:val="23"/>
              </w:rPr>
            </w:pPr>
            <w:r>
              <w:rPr>
                <w:rFonts w:hint="eastAsia"/>
                <w:sz w:val="28"/>
              </w:rPr>
              <w:t>1</w:t>
            </w:r>
          </w:p>
        </w:tc>
        <w:tc>
          <w:tcPr>
            <w:tcW w:w="879" w:type="dxa"/>
            <w:vAlign w:val="center"/>
          </w:tcPr>
          <w:p w14:paraId="70C12DAB">
            <w:pPr>
              <w:jc w:val="center"/>
              <w:rPr>
                <w:rFonts w:ascii="宋体" w:hAnsi="宋体" w:cs="宋体"/>
                <w:b/>
                <w:bCs/>
                <w:sz w:val="23"/>
                <w:szCs w:val="23"/>
              </w:rPr>
            </w:pPr>
            <w:r>
              <w:rPr>
                <w:sz w:val="28"/>
              </w:rPr>
              <w:t>台</w:t>
            </w:r>
          </w:p>
        </w:tc>
        <w:tc>
          <w:tcPr>
            <w:tcW w:w="5583" w:type="dxa"/>
            <w:vAlign w:val="center"/>
          </w:tcPr>
          <w:p w14:paraId="7C41E04C">
            <w:pPr>
              <w:widowControl/>
              <w:rPr>
                <w:rFonts w:ascii="宋体" w:hAnsi="宋体" w:cs="宋体"/>
                <w:szCs w:val="21"/>
              </w:rPr>
            </w:pPr>
            <w:r>
              <w:rPr>
                <w:rFonts w:hint="eastAsia" w:ascii="宋体" w:hAnsi="宋体" w:cs="宋体"/>
                <w:color w:val="000000"/>
                <w:kern w:val="0"/>
                <w:szCs w:val="21"/>
              </w:rPr>
              <w:t>测量范围：血压≥0-300mmhg；脉搏≥30-200拍/min</w:t>
            </w:r>
          </w:p>
          <w:p w14:paraId="6F5556C5">
            <w:pPr>
              <w:widowControl/>
              <w:rPr>
                <w:rFonts w:ascii="宋体" w:hAnsi="宋体" w:cs="宋体"/>
                <w:szCs w:val="21"/>
              </w:rPr>
            </w:pPr>
            <w:r>
              <w:rPr>
                <w:rFonts w:ascii="宋体" w:hAnsi="宋体" w:cs="宋体"/>
                <w:szCs w:val="21"/>
              </w:rPr>
              <w:t>具备人脸识别功能</w:t>
            </w:r>
            <w:r>
              <w:rPr>
                <w:rFonts w:hint="eastAsia" w:ascii="宋体" w:hAnsi="宋体" w:cs="宋体"/>
                <w:szCs w:val="21"/>
              </w:rPr>
              <w:t>（</w:t>
            </w:r>
            <w:r>
              <w:rPr>
                <w:rFonts w:ascii="宋体" w:hAnsi="宋体" w:cs="宋体"/>
                <w:szCs w:val="21"/>
              </w:rPr>
              <w:t>内置摄像头</w:t>
            </w:r>
            <w:r>
              <w:rPr>
                <w:rFonts w:hint="eastAsia" w:ascii="宋体" w:hAnsi="宋体" w:cs="宋体"/>
                <w:szCs w:val="21"/>
              </w:rPr>
              <w:t>）、I</w:t>
            </w:r>
            <w:r>
              <w:rPr>
                <w:rFonts w:ascii="宋体" w:hAnsi="宋体" w:cs="宋体"/>
                <w:szCs w:val="21"/>
              </w:rPr>
              <w:t>C</w:t>
            </w:r>
            <w:r>
              <w:rPr>
                <w:rFonts w:hint="eastAsia" w:ascii="宋体" w:hAnsi="宋体" w:cs="宋体"/>
                <w:szCs w:val="21"/>
              </w:rPr>
              <w:t>卡</w:t>
            </w:r>
            <w:r>
              <w:rPr>
                <w:rFonts w:ascii="宋体" w:hAnsi="宋体" w:cs="宋体"/>
                <w:szCs w:val="21"/>
              </w:rPr>
              <w:t>扫描</w:t>
            </w:r>
            <w:r>
              <w:rPr>
                <w:rFonts w:hint="eastAsia" w:ascii="宋体" w:hAnsi="宋体" w:cs="宋体"/>
                <w:szCs w:val="21"/>
              </w:rPr>
              <w:t>且与台式血压计是</w:t>
            </w:r>
            <w:r>
              <w:rPr>
                <w:rFonts w:hint="eastAsia" w:ascii="宋体" w:hAnsi="宋体"/>
                <w:szCs w:val="21"/>
              </w:rPr>
              <w:t>一体集成</w:t>
            </w:r>
            <w:r>
              <w:rPr>
                <w:rFonts w:hint="eastAsia" w:ascii="宋体" w:hAnsi="宋体" w:cs="宋体"/>
                <w:szCs w:val="21"/>
              </w:rPr>
              <w:t>；</w:t>
            </w:r>
          </w:p>
          <w:p w14:paraId="724FA7F0">
            <w:pPr>
              <w:widowControl/>
              <w:rPr>
                <w:szCs w:val="21"/>
              </w:rPr>
            </w:pPr>
            <w:r>
              <w:rPr>
                <w:rFonts w:hint="eastAsia" w:ascii="宋体" w:hAnsi="宋体" w:cs="宋体"/>
                <w:szCs w:val="21"/>
              </w:rPr>
              <w:t>接诊设备部分：</w:t>
            </w:r>
          </w:p>
          <w:p w14:paraId="4B9B0966">
            <w:pPr>
              <w:widowControl/>
              <w:rPr>
                <w:rFonts w:ascii="宋体" w:hAnsi="宋体" w:cs="宋体"/>
                <w:szCs w:val="21"/>
              </w:rPr>
            </w:pPr>
            <w:r>
              <w:rPr>
                <w:rFonts w:ascii="宋体" w:hAnsi="宋体" w:cs="宋体"/>
                <w:szCs w:val="21"/>
              </w:rPr>
              <w:t>摄像头参数要求：≥200万像素，</w:t>
            </w:r>
          </w:p>
          <w:p w14:paraId="2B5A63D5">
            <w:pPr>
              <w:widowControl/>
              <w:rPr>
                <w:rFonts w:ascii="宋体" w:hAnsi="宋体" w:cs="宋体"/>
                <w:szCs w:val="21"/>
              </w:rPr>
            </w:pPr>
            <w:r>
              <w:rPr>
                <w:rFonts w:ascii="宋体" w:hAnsi="宋体" w:cs="宋体"/>
                <w:szCs w:val="21"/>
              </w:rPr>
              <w:t>接诊机屏幕尺寸：</w:t>
            </w:r>
            <w:r>
              <w:rPr>
                <w:rFonts w:hint="eastAsia" w:ascii="宋体" w:hAnsi="宋体" w:cs="宋体"/>
                <w:szCs w:val="21"/>
              </w:rPr>
              <w:t>10.1</w:t>
            </w:r>
            <w:r>
              <w:rPr>
                <w:rFonts w:ascii="宋体" w:hAnsi="宋体" w:cs="宋体"/>
                <w:szCs w:val="21"/>
              </w:rPr>
              <w:t>寸，</w:t>
            </w:r>
          </w:p>
          <w:p w14:paraId="0E3D051F">
            <w:pPr>
              <w:widowControl/>
              <w:rPr>
                <w:rFonts w:ascii="宋体" w:hAnsi="宋体" w:cs="宋体"/>
                <w:szCs w:val="21"/>
              </w:rPr>
            </w:pPr>
            <w:r>
              <w:rPr>
                <w:rFonts w:ascii="宋体" w:hAnsi="宋体" w:cs="宋体"/>
                <w:szCs w:val="21"/>
              </w:rPr>
              <w:t>网络支持：以太网、支持WiFi</w:t>
            </w:r>
          </w:p>
          <w:p w14:paraId="0DDD9768">
            <w:pPr>
              <w:widowControl/>
              <w:rPr>
                <w:rFonts w:ascii="宋体" w:hAnsi="宋体" w:cs="宋体"/>
                <w:szCs w:val="21"/>
              </w:rPr>
            </w:pPr>
            <w:r>
              <w:rPr>
                <w:rFonts w:ascii="宋体" w:hAnsi="宋体" w:cs="宋体"/>
                <w:szCs w:val="21"/>
              </w:rPr>
              <w:t>内存：≥4G，</w:t>
            </w:r>
          </w:p>
          <w:p w14:paraId="5CA2AC4F">
            <w:pPr>
              <w:widowControl/>
              <w:rPr>
                <w:rFonts w:ascii="宋体" w:hAnsi="宋体" w:cs="宋体"/>
                <w:szCs w:val="21"/>
              </w:rPr>
            </w:pPr>
            <w:r>
              <w:rPr>
                <w:rFonts w:ascii="宋体" w:hAnsi="宋体" w:cs="宋体"/>
                <w:szCs w:val="21"/>
              </w:rPr>
              <w:t>存储：≥</w:t>
            </w:r>
            <w:r>
              <w:rPr>
                <w:rFonts w:hint="eastAsia" w:ascii="宋体" w:hAnsi="宋体" w:cs="宋体"/>
                <w:szCs w:val="21"/>
              </w:rPr>
              <w:t>32</w:t>
            </w:r>
            <w:r>
              <w:rPr>
                <w:rFonts w:ascii="宋体" w:hAnsi="宋体" w:cs="宋体"/>
                <w:szCs w:val="21"/>
              </w:rPr>
              <w:t>G，</w:t>
            </w:r>
          </w:p>
          <w:p w14:paraId="0C2B36E1">
            <w:pPr>
              <w:widowControl/>
              <w:rPr>
                <w:rFonts w:ascii="宋体" w:hAnsi="宋体" w:cs="宋体"/>
                <w:szCs w:val="21"/>
              </w:rPr>
            </w:pPr>
            <w:r>
              <w:rPr>
                <w:rFonts w:ascii="宋体" w:hAnsi="宋体"/>
                <w:szCs w:val="21"/>
              </w:rPr>
              <w:t>操作系统：</w:t>
            </w:r>
            <w:r>
              <w:rPr>
                <w:rFonts w:ascii="宋体" w:hAnsi="宋体" w:cs="宋体"/>
                <w:szCs w:val="21"/>
              </w:rPr>
              <w:t>Android</w:t>
            </w:r>
            <w:r>
              <w:rPr>
                <w:rFonts w:hint="eastAsia" w:ascii="宋体" w:hAnsi="宋体" w:cs="宋体"/>
                <w:szCs w:val="21"/>
              </w:rPr>
              <w:t>9.0及以上</w:t>
            </w:r>
          </w:p>
          <w:p w14:paraId="6C2FF586">
            <w:pPr>
              <w:widowControl/>
              <w:rPr>
                <w:rFonts w:ascii="宋体" w:hAnsi="宋体" w:cs="宋体"/>
                <w:szCs w:val="21"/>
              </w:rPr>
            </w:pPr>
            <w:r>
              <w:rPr>
                <w:rFonts w:ascii="宋体" w:hAnsi="宋体" w:cs="宋体"/>
                <w:szCs w:val="21"/>
              </w:rPr>
              <w:t>采用电容式触摸屏，</w:t>
            </w:r>
          </w:p>
          <w:p w14:paraId="258B70EC">
            <w:pPr>
              <w:widowControl/>
              <w:rPr>
                <w:rFonts w:ascii="宋体" w:hAnsi="宋体" w:cs="宋体"/>
                <w:szCs w:val="21"/>
              </w:rPr>
            </w:pPr>
            <w:r>
              <w:rPr>
                <w:rFonts w:ascii="宋体" w:hAnsi="宋体" w:cs="宋体"/>
                <w:szCs w:val="21"/>
              </w:rPr>
              <w:t>显示分辨率：≥1</w:t>
            </w:r>
            <w:r>
              <w:rPr>
                <w:rFonts w:hint="eastAsia" w:ascii="宋体" w:hAnsi="宋体" w:cs="宋体"/>
                <w:szCs w:val="21"/>
              </w:rPr>
              <w:t>280</w:t>
            </w:r>
            <w:r>
              <w:rPr>
                <w:rFonts w:ascii="宋体" w:hAnsi="宋体" w:cs="宋体"/>
                <w:szCs w:val="21"/>
              </w:rPr>
              <w:t>*8</w:t>
            </w:r>
            <w:r>
              <w:rPr>
                <w:rFonts w:hint="eastAsia" w:ascii="宋体" w:hAnsi="宋体" w:cs="宋体"/>
                <w:szCs w:val="21"/>
              </w:rPr>
              <w:t>0</w:t>
            </w:r>
            <w:r>
              <w:rPr>
                <w:rFonts w:ascii="宋体" w:hAnsi="宋体" w:cs="宋体"/>
                <w:szCs w:val="21"/>
              </w:rPr>
              <w:t>0</w:t>
            </w:r>
          </w:p>
          <w:p w14:paraId="04CCE33A">
            <w:pPr>
              <w:widowControl/>
              <w:rPr>
                <w:szCs w:val="21"/>
              </w:rPr>
            </w:pPr>
            <w:r>
              <w:rPr>
                <w:rFonts w:hint="eastAsia"/>
                <w:szCs w:val="21"/>
              </w:rPr>
              <w:t>感应模块：测温探头</w:t>
            </w:r>
          </w:p>
          <w:p w14:paraId="5550E66E">
            <w:pPr>
              <w:pStyle w:val="7"/>
              <w:rPr>
                <w:sz w:val="21"/>
                <w:szCs w:val="21"/>
              </w:rPr>
            </w:pPr>
            <w:r>
              <w:rPr>
                <w:rFonts w:hint="eastAsia"/>
                <w:sz w:val="21"/>
                <w:szCs w:val="21"/>
              </w:rPr>
              <w:t>台式血压计部分</w:t>
            </w:r>
          </w:p>
          <w:p w14:paraId="003F3040">
            <w:pPr>
              <w:pStyle w:val="7"/>
              <w:rPr>
                <w:rFonts w:hAnsi="宋体" w:cs="宋体"/>
                <w:color w:val="000000"/>
                <w:sz w:val="21"/>
                <w:szCs w:val="21"/>
              </w:rPr>
            </w:pPr>
            <w:r>
              <w:rPr>
                <w:rFonts w:hint="eastAsia" w:hAnsi="宋体" w:cs="宋体"/>
                <w:color w:val="000000"/>
                <w:sz w:val="21"/>
                <w:szCs w:val="21"/>
              </w:rPr>
              <w:t>测量原理：示波法或脉搏波法</w:t>
            </w:r>
          </w:p>
          <w:p w14:paraId="0DCFD538">
            <w:pPr>
              <w:rPr>
                <w:rFonts w:ascii="宋体" w:hAnsi="宋体" w:cs="宋体"/>
                <w:color w:val="000000"/>
                <w:kern w:val="0"/>
                <w:szCs w:val="21"/>
              </w:rPr>
            </w:pPr>
            <w:r>
              <w:rPr>
                <w:rFonts w:hint="eastAsia" w:ascii="宋体" w:hAnsi="宋体" w:cs="宋体"/>
                <w:color w:val="000000"/>
                <w:kern w:val="0"/>
                <w:szCs w:val="21"/>
              </w:rPr>
              <w:t>显示：LCD数字显示，反转测量结果，方便体检</w:t>
            </w:r>
          </w:p>
          <w:p w14:paraId="43FA050C">
            <w:pPr>
              <w:rPr>
                <w:rFonts w:ascii="宋体" w:hAnsi="宋体" w:cs="宋体"/>
                <w:b/>
                <w:bCs/>
                <w:sz w:val="23"/>
                <w:szCs w:val="23"/>
              </w:rPr>
            </w:pPr>
            <w:r>
              <w:rPr>
                <w:rFonts w:hint="eastAsia" w:ascii="宋体" w:hAnsi="宋体" w:cs="宋体"/>
                <w:color w:val="000000"/>
                <w:kern w:val="0"/>
                <w:szCs w:val="21"/>
              </w:rPr>
              <w:t>测量位置：左右臂</w:t>
            </w:r>
          </w:p>
        </w:tc>
      </w:tr>
    </w:tbl>
    <w:p w14:paraId="19446B1E">
      <w:pPr>
        <w:pStyle w:val="3"/>
        <w:ind w:firstLine="0"/>
        <w:jc w:val="center"/>
        <w:rPr>
          <w:rFonts w:hint="eastAsia" w:ascii="宋体" w:hAnsi="宋体" w:eastAsia="宋体" w:cs="宋体"/>
          <w:color w:val="000000" w:themeColor="text1"/>
          <w:highlight w:val="none"/>
          <w14:textFill>
            <w14:solidFill>
              <w14:schemeClr w14:val="tx1"/>
            </w14:solidFill>
          </w14:textFill>
        </w:rPr>
        <w:sectPr>
          <w:pgSz w:w="11906" w:h="16838"/>
          <w:pgMar w:top="1389" w:right="1440" w:bottom="1440" w:left="1389" w:header="851" w:footer="992" w:gutter="0"/>
          <w:cols w:space="720" w:num="1"/>
          <w:docGrid w:linePitch="312" w:charSpace="0"/>
        </w:sectPr>
      </w:pPr>
    </w:p>
    <w:p w14:paraId="6E69514F">
      <w:pPr>
        <w:pStyle w:val="3"/>
        <w:ind w:firstLine="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w:t>
      </w:r>
      <w:bookmarkStart w:id="55" w:name="_Hlt240110027"/>
      <w:bookmarkEnd w:id="55"/>
      <w:r>
        <w:rPr>
          <w:rFonts w:hint="eastAsia" w:ascii="宋体" w:hAnsi="宋体" w:eastAsia="宋体" w:cs="宋体"/>
          <w:color w:val="000000" w:themeColor="text1"/>
          <w:highlight w:val="none"/>
          <w14:textFill>
            <w14:solidFill>
              <w14:schemeClr w14:val="tx1"/>
            </w14:solidFill>
          </w14:textFill>
        </w:rPr>
        <w:t>四章 评标办法</w:t>
      </w:r>
      <w:bookmarkEnd w:id="52"/>
      <w:bookmarkEnd w:id="53"/>
    </w:p>
    <w:p w14:paraId="7C69707F">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000000" w:themeColor="text1"/>
          <w:sz w:val="24"/>
          <w:highlight w:val="none"/>
          <w14:textFill>
            <w14:solidFill>
              <w14:schemeClr w14:val="tx1"/>
            </w14:solidFill>
          </w14:textFill>
        </w:rPr>
      </w:pPr>
      <w:bookmarkStart w:id="56" w:name="_Toc10750_WPSOffice_Level2"/>
      <w:bookmarkStart w:id="57" w:name="_Toc31922_WPSOffice_Level2"/>
      <w:r>
        <w:rPr>
          <w:rFonts w:hint="eastAsia" w:ascii="宋体" w:hAnsi="宋体" w:cs="宋体"/>
          <w:b/>
          <w:color w:val="000000" w:themeColor="text1"/>
          <w:sz w:val="24"/>
          <w:highlight w:val="none"/>
          <w14:textFill>
            <w14:solidFill>
              <w14:schemeClr w14:val="tx1"/>
            </w14:solidFill>
          </w14:textFill>
        </w:rPr>
        <w:t>一．总  则</w:t>
      </w:r>
      <w:bookmarkEnd w:id="56"/>
    </w:p>
    <w:p w14:paraId="345A3DD1">
      <w:pPr>
        <w:adjustRightInd w:val="0"/>
        <w:snapToGrid w:val="0"/>
        <w:spacing w:line="360" w:lineRule="auto"/>
        <w:ind w:right="-10" w:firstLine="422" w:firstLineChars="175"/>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第一条 </w:t>
      </w:r>
      <w:r>
        <w:rPr>
          <w:rFonts w:hint="eastAsia" w:ascii="宋体" w:hAnsi="宋体" w:cs="宋体"/>
          <w:color w:val="000000" w:themeColor="text1"/>
          <w:sz w:val="24"/>
          <w:highlight w:val="none"/>
          <w14:textFill>
            <w14:solidFill>
              <w14:schemeClr w14:val="tx1"/>
            </w14:solidFill>
          </w14:textFill>
        </w:rPr>
        <w:t>为了做好</w:t>
      </w:r>
      <w:r>
        <w:rPr>
          <w:rFonts w:hint="eastAsia" w:ascii="宋体" w:hAnsi="宋体" w:eastAsia="宋体" w:cs="宋体"/>
          <w:color w:val="000000" w:themeColor="text1"/>
          <w:sz w:val="24"/>
          <w:highlight w:val="none"/>
          <w14:textFill>
            <w14:solidFill>
              <w14:schemeClr w14:val="tx1"/>
            </w14:solidFill>
          </w14:textFill>
        </w:rPr>
        <w:t>本项目（项目编号:</w:t>
      </w:r>
      <w:r>
        <w:rPr>
          <w:rFonts w:hint="eastAsia" w:ascii="宋体" w:hAnsi="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）的招标评</w:t>
      </w:r>
      <w:r>
        <w:rPr>
          <w:rFonts w:hint="eastAsia" w:ascii="宋体" w:hAnsi="宋体" w:cs="宋体"/>
          <w:color w:val="000000" w:themeColor="text1"/>
          <w:sz w:val="24"/>
          <w:highlight w:val="none"/>
          <w14:textFill>
            <w14:solidFill>
              <w14:schemeClr w14:val="tx1"/>
            </w14:solidFill>
          </w14:textFill>
        </w:rPr>
        <w:t>标工作，保证项目评审工作的正常有序进行，维护采购人、投标人的合法权益，依据《中华人民共和国政府采购法》及其它相关法律法规，本着公开、公平、公正的原则，制定评标办法。</w:t>
      </w:r>
    </w:p>
    <w:p w14:paraId="664C9581">
      <w:pPr>
        <w:adjustRightInd w:val="0"/>
        <w:snapToGrid w:val="0"/>
        <w:spacing w:line="360" w:lineRule="auto"/>
        <w:ind w:right="-10" w:firstLine="422" w:firstLineChars="17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第二条 </w:t>
      </w:r>
      <w:r>
        <w:rPr>
          <w:rFonts w:hint="eastAsia" w:ascii="宋体" w:hAnsi="宋体" w:cs="宋体"/>
          <w:color w:val="000000" w:themeColor="text1"/>
          <w:sz w:val="24"/>
          <w:highlight w:val="none"/>
          <w14:textFill>
            <w14:solidFill>
              <w14:schemeClr w14:val="tx1"/>
            </w14:solidFill>
          </w14:textFill>
        </w:rPr>
        <w:t>本次项目评标采用</w:t>
      </w:r>
      <w:r>
        <w:rPr>
          <w:rFonts w:hint="eastAsia" w:ascii="宋体" w:hAnsi="宋体" w:eastAsia="宋体" w:cs="宋体"/>
          <w:color w:val="000000" w:themeColor="text1"/>
          <w:sz w:val="24"/>
          <w:highlight w:val="none"/>
          <w14:textFill>
            <w14:solidFill>
              <w14:schemeClr w14:val="tx1"/>
            </w14:solidFill>
          </w14:textFill>
        </w:rPr>
        <w:t>综合评分法作</w:t>
      </w:r>
      <w:r>
        <w:rPr>
          <w:rFonts w:hint="eastAsia" w:ascii="宋体" w:hAnsi="宋体" w:cs="宋体"/>
          <w:color w:val="000000" w:themeColor="text1"/>
          <w:sz w:val="24"/>
          <w:highlight w:val="none"/>
          <w14:textFill>
            <w14:solidFill>
              <w14:schemeClr w14:val="tx1"/>
            </w14:solidFill>
          </w14:textFill>
        </w:rPr>
        <w:t>为对投标人标书的比较方法。</w:t>
      </w:r>
    </w:p>
    <w:p w14:paraId="1B651D9C">
      <w:pPr>
        <w:adjustRightInd w:val="0"/>
        <w:snapToGrid w:val="0"/>
        <w:spacing w:line="360" w:lineRule="auto"/>
        <w:ind w:left="-61" w:leftChars="-29"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第三条 </w:t>
      </w:r>
      <w:r>
        <w:rPr>
          <w:rFonts w:hint="eastAsia" w:ascii="宋体" w:hAnsi="宋体" w:cs="宋体"/>
          <w:color w:val="000000" w:themeColor="text1"/>
          <w:sz w:val="24"/>
          <w:highlight w:val="none"/>
          <w14:textFill>
            <w14:solidFill>
              <w14:schemeClr w14:val="tx1"/>
            </w14:solidFill>
          </w14:textFill>
        </w:rPr>
        <w:t>按照《中华人民共和国政府采购法》及其相关规定组成评标委员会负责本项目的评审工作。评标委员会</w:t>
      </w:r>
      <w:r>
        <w:rPr>
          <w:rFonts w:hint="eastAsia" w:ascii="宋体" w:hAnsi="宋体" w:cs="宋体"/>
          <w:color w:val="000000" w:themeColor="text1"/>
          <w:sz w:val="24"/>
          <w:szCs w:val="22"/>
          <w:highlight w:val="none"/>
          <w14:textFill>
            <w14:solidFill>
              <w14:schemeClr w14:val="tx1"/>
            </w14:solidFill>
          </w14:textFill>
        </w:rPr>
        <w:t>在政府采购专家库中随机抽取。</w:t>
      </w:r>
    </w:p>
    <w:p w14:paraId="308A78C6">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第四条 </w:t>
      </w:r>
      <w:r>
        <w:rPr>
          <w:rFonts w:hint="eastAsia" w:ascii="宋体" w:hAnsi="宋体" w:cs="宋体"/>
          <w:color w:val="000000" w:themeColor="text1"/>
          <w:sz w:val="24"/>
          <w:highlight w:val="none"/>
          <w14:textFill>
            <w14:solidFill>
              <w14:schemeClr w14:val="tx1"/>
            </w14:solidFill>
          </w14:textFill>
        </w:rPr>
        <w:t>评委会按照“客观公正，实事求是”的原则，评价参加本次招标的投标人所提供的产品价格、性能、质量、服务及对招标文件的符合性及响应性。</w:t>
      </w:r>
    </w:p>
    <w:p w14:paraId="758FCFA6">
      <w:pPr>
        <w:adjustRightInd w:val="0"/>
        <w:snapToGrid w:val="0"/>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二．评标程序及评审细则</w:t>
      </w:r>
      <w:bookmarkEnd w:id="57"/>
    </w:p>
    <w:p w14:paraId="5C155154">
      <w:pPr>
        <w:adjustRightInd w:val="0"/>
        <w:snapToGrid w:val="0"/>
        <w:spacing w:line="360" w:lineRule="auto"/>
        <w:ind w:right="-10" w:firstLine="422"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第五条</w:t>
      </w:r>
      <w:r>
        <w:rPr>
          <w:rFonts w:hint="eastAsia" w:ascii="宋体" w:hAnsi="宋体" w:cs="宋体"/>
          <w:bCs/>
          <w:color w:val="000000" w:themeColor="text1"/>
          <w:sz w:val="24"/>
          <w:highlight w:val="none"/>
          <w14:textFill>
            <w14:solidFill>
              <w14:schemeClr w14:val="tx1"/>
            </w14:solidFill>
          </w14:textFill>
        </w:rPr>
        <w:t xml:space="preserve"> 评标工作于开标后进行。评委会应认真研究招标文件，至少应了解和熟悉以下内容：</w:t>
      </w:r>
    </w:p>
    <w:p w14:paraId="6C3D798F">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（一）招标的目标；</w:t>
      </w:r>
    </w:p>
    <w:p w14:paraId="3658B970">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（二）招标项目的范围和性质；</w:t>
      </w:r>
    </w:p>
    <w:p w14:paraId="752AC3EA">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（三）招标文件中规定的主要技术要求、标准和商务条款；</w:t>
      </w:r>
    </w:p>
    <w:p w14:paraId="3A404489">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（四）招标文件规定的评标标准、评标方法和在评标过程中考虑的相关因素。</w:t>
      </w:r>
    </w:p>
    <w:p w14:paraId="77389AFD">
      <w:pPr>
        <w:adjustRightInd w:val="0"/>
        <w:snapToGrid w:val="0"/>
        <w:spacing w:line="360" w:lineRule="auto"/>
        <w:ind w:right="-10" w:firstLine="422"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第六条</w:t>
      </w:r>
      <w:r>
        <w:rPr>
          <w:rFonts w:hint="eastAsia" w:ascii="宋体" w:hAnsi="宋体" w:cs="宋体"/>
          <w:bCs/>
          <w:color w:val="000000" w:themeColor="text1"/>
          <w:sz w:val="24"/>
          <w:highlight w:val="none"/>
          <w14:textFill>
            <w14:solidFill>
              <w14:schemeClr w14:val="tx1"/>
            </w14:solidFill>
          </w14:textFill>
        </w:rPr>
        <w:t xml:space="preserve"> 有效投标应符合以下原则：</w:t>
      </w:r>
    </w:p>
    <w:p w14:paraId="3F4DA2D6">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（一）满足招标文件的实质性要求；</w:t>
      </w:r>
    </w:p>
    <w:p w14:paraId="3C7081D5">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（二）无重大偏离、保留或采购人不能接受的附加条件；</w:t>
      </w:r>
    </w:p>
    <w:p w14:paraId="3EBFCDFA">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（三）通过投标符合性审查；</w:t>
      </w:r>
    </w:p>
    <w:p w14:paraId="172C48AF">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（四）评委会依据招标文件认定的其他原则；</w:t>
      </w:r>
    </w:p>
    <w:p w14:paraId="438F7DC6">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（五）商务偏差表或技术偏差表数据不存在弄虚作假现象；</w:t>
      </w:r>
    </w:p>
    <w:p w14:paraId="5D075E9E">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（六）投标人报价未超过采购人的采购预算；</w:t>
      </w:r>
    </w:p>
    <w:p w14:paraId="3372B5C5">
      <w:pPr>
        <w:adjustRightInd w:val="0"/>
        <w:snapToGrid w:val="0"/>
        <w:spacing w:line="360" w:lineRule="auto"/>
        <w:ind w:right="-10" w:firstLine="482" w:firstLineChars="200"/>
        <w:rPr>
          <w:rFonts w:hint="eastAsia" w:ascii="宋体" w:hAnsi="宋体" w:cs="宋体"/>
          <w:bCs/>
          <w:color w:val="000000" w:themeColor="text1"/>
          <w:sz w:val="24"/>
          <w:szCs w:val="22"/>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第七条 </w:t>
      </w:r>
      <w:r>
        <w:rPr>
          <w:rFonts w:hint="eastAsia" w:ascii="宋体" w:hAnsi="宋体" w:cs="宋体"/>
          <w:color w:val="000000" w:themeColor="text1"/>
          <w:sz w:val="24"/>
          <w:highlight w:val="none"/>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highlight w:val="none"/>
          <w14:textFill>
            <w14:solidFill>
              <w14:schemeClr w14:val="tx1"/>
            </w14:solidFill>
          </w14:textFill>
        </w:rPr>
        <w:t>综合得分从高到低的顺序评出中标候选人。</w:t>
      </w:r>
    </w:p>
    <w:p w14:paraId="0533A777">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第八条 </w:t>
      </w:r>
      <w:r>
        <w:rPr>
          <w:rFonts w:hint="eastAsia" w:ascii="宋体" w:hAnsi="宋体" w:cs="宋体"/>
          <w:color w:val="000000" w:themeColor="text1"/>
          <w:sz w:val="24"/>
          <w:highlight w:val="none"/>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4DBFEF6B">
      <w:pPr>
        <w:adjustRightInd w:val="0"/>
        <w:snapToGrid w:val="0"/>
        <w:spacing w:line="360" w:lineRule="auto"/>
        <w:ind w:right="-10" w:firstLine="482" w:firstLineChars="200"/>
        <w:rPr>
          <w:rFonts w:hint="eastAsia" w:ascii="宋体" w:hAnsi="宋体" w:cs="宋体"/>
          <w:color w:val="000000" w:themeColor="text1"/>
          <w:sz w:val="24"/>
          <w:szCs w:val="20"/>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第九条</w:t>
      </w:r>
      <w:r>
        <w:rPr>
          <w:rFonts w:hint="eastAsia" w:ascii="宋体" w:hAnsi="宋体" w:cs="宋体"/>
          <w:color w:val="000000" w:themeColor="text1"/>
          <w:sz w:val="24"/>
          <w:highlight w:val="none"/>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55A67303">
      <w:pPr>
        <w:pStyle w:val="15"/>
        <w:rPr>
          <w:rFonts w:hint="eastAsia"/>
          <w:color w:val="000000" w:themeColor="text1"/>
          <w:highlight w:val="none"/>
          <w14:textFill>
            <w14:solidFill>
              <w14:schemeClr w14:val="tx1"/>
            </w14:solidFill>
          </w14:textFill>
        </w:rPr>
      </w:pPr>
    </w:p>
    <w:tbl>
      <w:tblPr>
        <w:tblStyle w:val="21"/>
        <w:tblW w:w="89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133"/>
        <w:gridCol w:w="2503"/>
        <w:gridCol w:w="771"/>
        <w:gridCol w:w="2736"/>
      </w:tblGrid>
      <w:tr w14:paraId="038A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8900" w:type="dxa"/>
            <w:gridSpan w:val="5"/>
            <w:noWrap w:val="0"/>
            <w:vAlign w:val="center"/>
          </w:tcPr>
          <w:p w14:paraId="781ECC29">
            <w:pPr>
              <w:pStyle w:val="31"/>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highlight w:val="none"/>
                <w:lang w:val="en-US" w:eastAsia="zh-CN"/>
                <w14:textFill>
                  <w14:solidFill>
                    <w14:schemeClr w14:val="tx1"/>
                  </w14:solidFill>
                </w14:textFill>
              </w:rPr>
            </w:pPr>
            <w:r>
              <w:rPr>
                <w:rFonts w:hint="eastAsia" w:ascii="宋体" w:hAnsi="宋体" w:cs="宋体"/>
                <w:b/>
                <w:color w:val="000000" w:themeColor="text1"/>
                <w:kern w:val="2"/>
                <w:highlight w:val="none"/>
                <w:lang w:val="en-US" w:eastAsia="zh-CN"/>
                <w14:textFill>
                  <w14:solidFill>
                    <w14:schemeClr w14:val="tx1"/>
                  </w14:solidFill>
                </w14:textFill>
              </w:rPr>
              <w:t>项目符合性审查表</w:t>
            </w:r>
          </w:p>
        </w:tc>
      </w:tr>
      <w:tr w14:paraId="636B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trPr>
        <w:tc>
          <w:tcPr>
            <w:tcW w:w="757" w:type="dxa"/>
            <w:tcBorders>
              <w:bottom w:val="single" w:color="auto" w:sz="4" w:space="0"/>
            </w:tcBorders>
            <w:noWrap w:val="0"/>
            <w:vAlign w:val="center"/>
          </w:tcPr>
          <w:p w14:paraId="0C76AE5F">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133" w:type="dxa"/>
            <w:tcBorders>
              <w:bottom w:val="single" w:color="auto" w:sz="4" w:space="0"/>
            </w:tcBorders>
            <w:noWrap w:val="0"/>
            <w:vAlign w:val="center"/>
          </w:tcPr>
          <w:p w14:paraId="5F0C0340">
            <w:pPr>
              <w:pStyle w:val="31"/>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highlight w:val="none"/>
                <w:lang w:val="en-US" w:eastAsia="zh-CN"/>
                <w14:textFill>
                  <w14:solidFill>
                    <w14:schemeClr w14:val="tx1"/>
                  </w14:solidFill>
                </w14:textFill>
              </w:rPr>
            </w:pPr>
            <w:r>
              <w:rPr>
                <w:rFonts w:hint="eastAsia" w:ascii="宋体" w:hAnsi="宋体" w:cs="宋体"/>
                <w:color w:val="000000" w:themeColor="text1"/>
                <w:kern w:val="2"/>
                <w:szCs w:val="24"/>
                <w:highlight w:val="none"/>
                <w:lang w:val="en-US" w:eastAsia="zh-CN"/>
                <w14:textFill>
                  <w14:solidFill>
                    <w14:schemeClr w14:val="tx1"/>
                  </w14:solidFill>
                </w14:textFill>
              </w:rPr>
              <w:t>指标名称</w:t>
            </w:r>
          </w:p>
        </w:tc>
        <w:tc>
          <w:tcPr>
            <w:tcW w:w="2503" w:type="dxa"/>
            <w:tcBorders>
              <w:bottom w:val="single" w:color="auto" w:sz="4" w:space="0"/>
            </w:tcBorders>
            <w:noWrap w:val="0"/>
            <w:vAlign w:val="center"/>
          </w:tcPr>
          <w:p w14:paraId="39BB59DF">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771" w:type="dxa"/>
            <w:tcBorders>
              <w:bottom w:val="single" w:color="auto" w:sz="4" w:space="0"/>
            </w:tcBorders>
            <w:noWrap w:val="0"/>
            <w:vAlign w:val="center"/>
          </w:tcPr>
          <w:p w14:paraId="76483939">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097BBD24">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736" w:type="dxa"/>
            <w:tcBorders>
              <w:bottom w:val="single" w:color="auto" w:sz="4" w:space="0"/>
            </w:tcBorders>
            <w:noWrap w:val="0"/>
            <w:vAlign w:val="center"/>
          </w:tcPr>
          <w:p w14:paraId="7F4015F6">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34E2355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73E6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757" w:type="dxa"/>
            <w:noWrap w:val="0"/>
            <w:vAlign w:val="center"/>
          </w:tcPr>
          <w:p w14:paraId="507AA86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133" w:type="dxa"/>
            <w:noWrap w:val="0"/>
            <w:vAlign w:val="center"/>
          </w:tcPr>
          <w:p w14:paraId="3C6243EC">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投标人资格</w:t>
            </w:r>
          </w:p>
        </w:tc>
        <w:tc>
          <w:tcPr>
            <w:tcW w:w="2503" w:type="dxa"/>
            <w:noWrap w:val="0"/>
            <w:vAlign w:val="center"/>
          </w:tcPr>
          <w:p w14:paraId="150109C6">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见招标文件</w:t>
            </w:r>
          </w:p>
        </w:tc>
        <w:tc>
          <w:tcPr>
            <w:tcW w:w="771" w:type="dxa"/>
            <w:noWrap w:val="0"/>
            <w:vAlign w:val="center"/>
          </w:tcPr>
          <w:p w14:paraId="30E8A11E">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736" w:type="dxa"/>
            <w:noWrap w:val="0"/>
            <w:vAlign w:val="center"/>
          </w:tcPr>
          <w:p w14:paraId="6042276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8D1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757" w:type="dxa"/>
            <w:noWrap w:val="0"/>
            <w:vAlign w:val="center"/>
          </w:tcPr>
          <w:p w14:paraId="0EE8719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133" w:type="dxa"/>
            <w:noWrap w:val="0"/>
            <w:vAlign w:val="center"/>
          </w:tcPr>
          <w:p w14:paraId="56F96F0B">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货物技术要求</w:t>
            </w:r>
          </w:p>
        </w:tc>
        <w:tc>
          <w:tcPr>
            <w:tcW w:w="2503" w:type="dxa"/>
            <w:noWrap w:val="0"/>
            <w:vAlign w:val="center"/>
          </w:tcPr>
          <w:p w14:paraId="149231FE">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按评标办法</w:t>
            </w:r>
          </w:p>
        </w:tc>
        <w:tc>
          <w:tcPr>
            <w:tcW w:w="771" w:type="dxa"/>
            <w:noWrap w:val="0"/>
            <w:vAlign w:val="center"/>
          </w:tcPr>
          <w:p w14:paraId="770D8E5F">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736" w:type="dxa"/>
            <w:noWrap w:val="0"/>
            <w:vAlign w:val="center"/>
          </w:tcPr>
          <w:p w14:paraId="44803B22">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9FF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757" w:type="dxa"/>
            <w:noWrap w:val="0"/>
            <w:vAlign w:val="center"/>
          </w:tcPr>
          <w:p w14:paraId="70FBB9D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133" w:type="dxa"/>
            <w:noWrap w:val="0"/>
            <w:vAlign w:val="center"/>
          </w:tcPr>
          <w:p w14:paraId="7C0FCF44">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质保及售后等</w:t>
            </w:r>
          </w:p>
        </w:tc>
        <w:tc>
          <w:tcPr>
            <w:tcW w:w="2503" w:type="dxa"/>
            <w:noWrap w:val="0"/>
            <w:vAlign w:val="center"/>
          </w:tcPr>
          <w:p w14:paraId="52C36DC7">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见招标文件</w:t>
            </w:r>
          </w:p>
        </w:tc>
        <w:tc>
          <w:tcPr>
            <w:tcW w:w="771" w:type="dxa"/>
            <w:noWrap w:val="0"/>
            <w:vAlign w:val="center"/>
          </w:tcPr>
          <w:p w14:paraId="11C84476">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736" w:type="dxa"/>
            <w:noWrap w:val="0"/>
            <w:vAlign w:val="center"/>
          </w:tcPr>
          <w:p w14:paraId="28C7E797">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bl>
    <w:p w14:paraId="40E84810">
      <w:pPr>
        <w:spacing w:line="360" w:lineRule="auto"/>
        <w:ind w:firstLine="482" w:firstLineChars="200"/>
        <w:rPr>
          <w:rFonts w:hint="eastAsia" w:ascii="宋体" w:hAnsi="宋体" w:eastAsia="宋体" w:cs="宋体"/>
          <w:color w:val="000000" w:themeColor="text1"/>
          <w:kern w:val="2"/>
          <w:sz w:val="24"/>
          <w:szCs w:val="20"/>
          <w:highlight w:val="none"/>
          <w:lang w:val="en-US" w:eastAsia="zh-CN" w:bidi="ar-SA"/>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评分标准（满分为100分）</w:t>
      </w:r>
      <w:r>
        <w:rPr>
          <w:rFonts w:hint="eastAsia" w:ascii="宋体" w:hAnsi="宋体"/>
          <w:color w:val="000000" w:themeColor="text1"/>
          <w:sz w:val="24"/>
          <w:highlight w:val="none"/>
          <w14:textFill>
            <w14:solidFill>
              <w14:schemeClr w14:val="tx1"/>
            </w14:solidFill>
          </w14:textFill>
        </w:rPr>
        <w:t>说明:</w:t>
      </w:r>
      <w:r>
        <w:rPr>
          <w:rFonts w:hint="eastAsia" w:ascii="宋体" w:hAnsi="宋体" w:cs="Arial"/>
          <w:color w:val="000000" w:themeColor="text1"/>
          <w:sz w:val="24"/>
          <w:szCs w:val="24"/>
          <w:highlight w:val="none"/>
          <w14:textFill>
            <w14:solidFill>
              <w14:schemeClr w14:val="tx1"/>
            </w14:solidFill>
          </w14:textFill>
        </w:rPr>
        <w:t>各投标人的最终得分为各评委得分的算术平均值；评分分值计算保留小数点后两位，小数点后第三位“四舍五入”。</w:t>
      </w:r>
    </w:p>
    <w:p w14:paraId="626A38C6">
      <w:pPr>
        <w:pStyle w:val="18"/>
        <w:spacing w:before="0" w:beforeAutospacing="0" w:after="0" w:afterAutospacing="0"/>
        <w:contextualSpacing/>
        <w:jc w:val="center"/>
        <w:rPr>
          <w:rFonts w:hint="eastAsia" w:ascii="宋体" w:hAnsi="宋体" w:eastAsia="宋体" w:cs="宋体"/>
          <w:sz w:val="32"/>
          <w:szCs w:val="32"/>
        </w:rPr>
      </w:pPr>
    </w:p>
    <w:p w14:paraId="2B0CA8AE">
      <w:pPr>
        <w:pStyle w:val="18"/>
        <w:spacing w:before="0" w:beforeAutospacing="0" w:after="0" w:afterAutospacing="0"/>
        <w:contextualSpacing/>
        <w:jc w:val="center"/>
        <w:rPr>
          <w:rFonts w:hint="eastAsia" w:ascii="宋体" w:hAnsi="宋体" w:eastAsia="宋体" w:cs="宋体"/>
          <w:sz w:val="32"/>
          <w:szCs w:val="32"/>
        </w:rPr>
      </w:pPr>
    </w:p>
    <w:p w14:paraId="0E52BF66">
      <w:pPr>
        <w:pStyle w:val="18"/>
        <w:spacing w:before="0" w:beforeAutospacing="0" w:after="0" w:afterAutospacing="0"/>
        <w:contextualSpacing/>
        <w:jc w:val="center"/>
        <w:rPr>
          <w:rFonts w:hint="eastAsia" w:ascii="宋体" w:hAnsi="宋体" w:eastAsia="宋体" w:cs="宋体"/>
          <w:sz w:val="32"/>
          <w:szCs w:val="32"/>
        </w:rPr>
      </w:pPr>
    </w:p>
    <w:p w14:paraId="0ABD54A3">
      <w:pPr>
        <w:pStyle w:val="18"/>
        <w:spacing w:before="0" w:beforeAutospacing="0" w:after="0" w:afterAutospacing="0"/>
        <w:contextualSpacing/>
        <w:jc w:val="center"/>
        <w:rPr>
          <w:rFonts w:hint="eastAsia" w:ascii="宋体" w:hAnsi="宋体" w:eastAsia="宋体" w:cs="宋体"/>
          <w:sz w:val="32"/>
          <w:szCs w:val="32"/>
        </w:rPr>
      </w:pPr>
    </w:p>
    <w:p w14:paraId="7AEC0C4F">
      <w:pPr>
        <w:pStyle w:val="18"/>
        <w:spacing w:before="0" w:beforeAutospacing="0" w:after="0" w:afterAutospacing="0"/>
        <w:contextualSpacing/>
        <w:jc w:val="center"/>
        <w:rPr>
          <w:rFonts w:hint="eastAsia" w:ascii="宋体" w:hAnsi="宋体" w:eastAsia="宋体" w:cs="宋体"/>
          <w:sz w:val="32"/>
          <w:szCs w:val="32"/>
        </w:rPr>
      </w:pPr>
    </w:p>
    <w:p w14:paraId="5933E2D6">
      <w:pPr>
        <w:pStyle w:val="18"/>
        <w:spacing w:before="0" w:beforeAutospacing="0" w:after="0" w:afterAutospacing="0"/>
        <w:contextualSpacing/>
        <w:jc w:val="center"/>
        <w:rPr>
          <w:rFonts w:hint="eastAsia" w:ascii="宋体" w:hAnsi="宋体" w:eastAsia="宋体" w:cs="宋体"/>
          <w:sz w:val="32"/>
          <w:szCs w:val="32"/>
        </w:rPr>
      </w:pPr>
    </w:p>
    <w:p w14:paraId="135932EB">
      <w:pPr>
        <w:pStyle w:val="18"/>
        <w:spacing w:before="0" w:beforeAutospacing="0" w:after="0" w:afterAutospacing="0"/>
        <w:contextualSpacing/>
        <w:jc w:val="center"/>
        <w:rPr>
          <w:rFonts w:hint="eastAsia" w:ascii="宋体" w:hAnsi="宋体" w:eastAsia="宋体" w:cs="宋体"/>
          <w:sz w:val="32"/>
          <w:szCs w:val="32"/>
        </w:rPr>
      </w:pPr>
    </w:p>
    <w:p w14:paraId="2DFCA171">
      <w:pPr>
        <w:pStyle w:val="18"/>
        <w:spacing w:before="0" w:beforeAutospacing="0" w:after="0" w:afterAutospacing="0"/>
        <w:contextualSpacing/>
        <w:jc w:val="center"/>
        <w:rPr>
          <w:rFonts w:hint="eastAsia" w:ascii="宋体" w:hAnsi="宋体" w:eastAsia="宋体" w:cs="宋体"/>
          <w:sz w:val="32"/>
          <w:szCs w:val="32"/>
        </w:rPr>
      </w:pPr>
    </w:p>
    <w:p w14:paraId="1A58FA02">
      <w:pPr>
        <w:pStyle w:val="18"/>
        <w:spacing w:before="0" w:beforeAutospacing="0" w:after="0" w:afterAutospacing="0"/>
        <w:contextualSpacing/>
        <w:jc w:val="center"/>
        <w:rPr>
          <w:rFonts w:hint="eastAsia" w:ascii="宋体" w:hAnsi="宋体" w:eastAsia="宋体" w:cs="宋体"/>
          <w:sz w:val="32"/>
          <w:szCs w:val="32"/>
        </w:rPr>
      </w:pPr>
    </w:p>
    <w:p w14:paraId="51320E9A">
      <w:pPr>
        <w:pStyle w:val="18"/>
        <w:spacing w:before="0" w:beforeAutospacing="0" w:after="0" w:afterAutospacing="0"/>
        <w:contextualSpacing/>
        <w:jc w:val="center"/>
        <w:rPr>
          <w:rFonts w:hint="eastAsia" w:ascii="宋体" w:hAnsi="宋体" w:eastAsia="宋体" w:cs="宋体"/>
          <w:sz w:val="32"/>
          <w:szCs w:val="32"/>
        </w:rPr>
      </w:pPr>
    </w:p>
    <w:p w14:paraId="16D31F81">
      <w:pPr>
        <w:pStyle w:val="18"/>
        <w:spacing w:before="0" w:beforeAutospacing="0" w:after="0" w:afterAutospacing="0"/>
        <w:contextualSpacing/>
        <w:jc w:val="center"/>
        <w:rPr>
          <w:rFonts w:hint="eastAsia" w:ascii="宋体" w:hAnsi="宋体" w:eastAsia="宋体" w:cs="宋体"/>
          <w:sz w:val="32"/>
          <w:szCs w:val="32"/>
        </w:rPr>
      </w:pPr>
    </w:p>
    <w:p w14:paraId="79027153">
      <w:pPr>
        <w:pStyle w:val="18"/>
        <w:spacing w:before="0" w:beforeAutospacing="0" w:after="0" w:afterAutospacing="0"/>
        <w:contextualSpacing/>
        <w:jc w:val="center"/>
        <w:rPr>
          <w:rFonts w:hint="eastAsia" w:ascii="宋体" w:hAnsi="宋体" w:eastAsia="宋体" w:cs="宋体"/>
          <w:sz w:val="32"/>
          <w:szCs w:val="32"/>
        </w:rPr>
      </w:pPr>
    </w:p>
    <w:p w14:paraId="57EAEBC5">
      <w:pPr>
        <w:pStyle w:val="18"/>
        <w:spacing w:before="0" w:beforeAutospacing="0" w:after="0" w:afterAutospacing="0"/>
        <w:contextualSpacing/>
        <w:jc w:val="center"/>
        <w:rPr>
          <w:rFonts w:hint="eastAsia" w:ascii="宋体" w:hAnsi="宋体" w:eastAsia="宋体" w:cs="宋体"/>
          <w:sz w:val="32"/>
          <w:szCs w:val="32"/>
        </w:rPr>
      </w:pPr>
    </w:p>
    <w:p w14:paraId="3C3A60AB">
      <w:pPr>
        <w:pStyle w:val="18"/>
        <w:spacing w:before="0" w:beforeAutospacing="0" w:after="0" w:afterAutospacing="0"/>
        <w:contextualSpacing/>
        <w:jc w:val="center"/>
        <w:rPr>
          <w:rFonts w:hint="eastAsia" w:ascii="宋体" w:hAnsi="宋体" w:eastAsia="宋体" w:cs="宋体"/>
          <w:sz w:val="32"/>
          <w:szCs w:val="32"/>
        </w:rPr>
      </w:pPr>
    </w:p>
    <w:p w14:paraId="21B5D7C4">
      <w:pPr>
        <w:pStyle w:val="18"/>
        <w:spacing w:before="0" w:beforeAutospacing="0" w:after="0" w:afterAutospacing="0"/>
        <w:contextualSpacing/>
        <w:jc w:val="center"/>
        <w:rPr>
          <w:rFonts w:hint="eastAsia" w:ascii="宋体" w:hAnsi="宋体" w:eastAsia="宋体" w:cs="宋体"/>
          <w:sz w:val="32"/>
          <w:szCs w:val="32"/>
        </w:rPr>
      </w:pPr>
    </w:p>
    <w:p w14:paraId="55E71BC5">
      <w:pPr>
        <w:pStyle w:val="18"/>
        <w:spacing w:before="0" w:beforeAutospacing="0" w:after="0" w:afterAutospacing="0"/>
        <w:contextualSpacing/>
        <w:jc w:val="center"/>
        <w:rPr>
          <w:rFonts w:hint="eastAsia" w:ascii="宋体" w:hAnsi="宋体" w:eastAsia="宋体" w:cs="宋体"/>
          <w:sz w:val="32"/>
          <w:szCs w:val="32"/>
        </w:rPr>
      </w:pPr>
    </w:p>
    <w:p w14:paraId="18FE7244">
      <w:pPr>
        <w:pStyle w:val="18"/>
        <w:spacing w:before="0" w:beforeAutospacing="0" w:after="0" w:afterAutospacing="0"/>
        <w:contextualSpacing/>
        <w:jc w:val="center"/>
        <w:rPr>
          <w:rFonts w:hint="eastAsia" w:ascii="宋体" w:hAnsi="宋体" w:eastAsia="宋体" w:cs="宋体"/>
          <w:sz w:val="32"/>
          <w:szCs w:val="32"/>
        </w:rPr>
      </w:pPr>
    </w:p>
    <w:p w14:paraId="7C40DA70">
      <w:pPr>
        <w:pStyle w:val="18"/>
        <w:spacing w:before="0" w:beforeAutospacing="0" w:after="0" w:afterAutospacing="0"/>
        <w:contextualSpacing/>
        <w:jc w:val="center"/>
        <w:rPr>
          <w:rFonts w:hint="eastAsia" w:ascii="宋体" w:hAnsi="宋体" w:eastAsia="宋体" w:cs="宋体"/>
          <w:sz w:val="32"/>
          <w:szCs w:val="32"/>
        </w:rPr>
      </w:pPr>
    </w:p>
    <w:p w14:paraId="3BB836E4">
      <w:pPr>
        <w:pStyle w:val="18"/>
        <w:spacing w:before="0" w:beforeAutospacing="0" w:after="0" w:afterAutospacing="0"/>
        <w:contextualSpacing/>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评标办法</w:t>
      </w:r>
    </w:p>
    <w:p w14:paraId="19EFC4CD">
      <w:pPr>
        <w:pStyle w:val="27"/>
        <w:ind w:firstLine="240"/>
        <w:rPr>
          <w:rFonts w:hint="eastAsia" w:ascii="宋体" w:hAnsi="宋体"/>
          <w:sz w:val="24"/>
        </w:rPr>
      </w:pPr>
    </w:p>
    <w:tbl>
      <w:tblPr>
        <w:tblStyle w:val="21"/>
        <w:tblW w:w="95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9"/>
        <w:gridCol w:w="933"/>
        <w:gridCol w:w="917"/>
        <w:gridCol w:w="6751"/>
      </w:tblGrid>
      <w:tr w14:paraId="0DF05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30" w:hRule="atLeast"/>
          <w:tblHeader/>
        </w:trPr>
        <w:tc>
          <w:tcPr>
            <w:tcW w:w="969" w:type="dxa"/>
            <w:noWrap w:val="0"/>
            <w:vAlign w:val="center"/>
          </w:tcPr>
          <w:p w14:paraId="4FF7BB57">
            <w:pPr>
              <w:jc w:val="center"/>
              <w:rPr>
                <w:rFonts w:ascii="宋体" w:hAnsi="宋体" w:cs="宋体"/>
                <w:kern w:val="1"/>
                <w:sz w:val="24"/>
                <w:szCs w:val="24"/>
              </w:rPr>
            </w:pPr>
            <w:r>
              <w:rPr>
                <w:rFonts w:ascii="宋体" w:hAnsi="宋体" w:cs="宋体"/>
                <w:kern w:val="1"/>
                <w:sz w:val="24"/>
                <w:szCs w:val="24"/>
              </w:rPr>
              <w:t>项目</w:t>
            </w:r>
          </w:p>
        </w:tc>
        <w:tc>
          <w:tcPr>
            <w:tcW w:w="933" w:type="dxa"/>
            <w:noWrap w:val="0"/>
            <w:vAlign w:val="center"/>
          </w:tcPr>
          <w:p w14:paraId="7F70531F">
            <w:pPr>
              <w:jc w:val="center"/>
              <w:rPr>
                <w:rFonts w:ascii="宋体" w:hAnsi="宋体" w:cs="宋体"/>
                <w:kern w:val="1"/>
                <w:sz w:val="24"/>
                <w:szCs w:val="24"/>
              </w:rPr>
            </w:pPr>
            <w:r>
              <w:rPr>
                <w:rFonts w:ascii="宋体" w:hAnsi="宋体" w:cs="宋体"/>
                <w:kern w:val="1"/>
                <w:sz w:val="24"/>
                <w:szCs w:val="24"/>
              </w:rPr>
              <w:t>评标分项</w:t>
            </w:r>
          </w:p>
        </w:tc>
        <w:tc>
          <w:tcPr>
            <w:tcW w:w="917" w:type="dxa"/>
            <w:noWrap w:val="0"/>
            <w:vAlign w:val="center"/>
          </w:tcPr>
          <w:p w14:paraId="14DDAC06">
            <w:pPr>
              <w:jc w:val="center"/>
              <w:rPr>
                <w:rFonts w:ascii="宋体" w:hAnsi="宋体" w:cs="宋体"/>
                <w:kern w:val="1"/>
                <w:sz w:val="24"/>
                <w:szCs w:val="24"/>
              </w:rPr>
            </w:pPr>
            <w:r>
              <w:rPr>
                <w:rFonts w:ascii="宋体" w:hAnsi="宋体" w:cs="宋体"/>
                <w:kern w:val="1"/>
                <w:sz w:val="24"/>
                <w:szCs w:val="24"/>
              </w:rPr>
              <w:t>分值</w:t>
            </w:r>
          </w:p>
        </w:tc>
        <w:tc>
          <w:tcPr>
            <w:tcW w:w="6751" w:type="dxa"/>
            <w:noWrap w:val="0"/>
            <w:vAlign w:val="center"/>
          </w:tcPr>
          <w:p w14:paraId="784A75D4">
            <w:pPr>
              <w:jc w:val="center"/>
              <w:rPr>
                <w:rFonts w:ascii="宋体" w:hAnsi="宋体" w:cs="宋体"/>
                <w:kern w:val="1"/>
                <w:sz w:val="24"/>
                <w:szCs w:val="24"/>
              </w:rPr>
            </w:pPr>
            <w:r>
              <w:rPr>
                <w:rFonts w:ascii="宋体" w:hAnsi="宋体" w:cs="宋体"/>
                <w:kern w:val="1"/>
                <w:sz w:val="24"/>
                <w:szCs w:val="24"/>
              </w:rPr>
              <w:t>子项目及分值</w:t>
            </w:r>
          </w:p>
        </w:tc>
      </w:tr>
      <w:tr w14:paraId="6306E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9" w:hRule="atLeast"/>
        </w:trPr>
        <w:tc>
          <w:tcPr>
            <w:tcW w:w="969" w:type="dxa"/>
            <w:noWrap w:val="0"/>
            <w:vAlign w:val="center"/>
          </w:tcPr>
          <w:p w14:paraId="0832FF29">
            <w:pPr>
              <w:jc w:val="center"/>
              <w:rPr>
                <w:rFonts w:ascii="宋体" w:hAnsi="宋体" w:cs="宋体"/>
                <w:kern w:val="1"/>
                <w:sz w:val="24"/>
                <w:szCs w:val="24"/>
              </w:rPr>
            </w:pPr>
            <w:r>
              <w:rPr>
                <w:rFonts w:ascii="宋体" w:hAnsi="宋体" w:cs="宋体"/>
                <w:kern w:val="1"/>
                <w:sz w:val="24"/>
                <w:szCs w:val="24"/>
              </w:rPr>
              <w:t>价格30分</w:t>
            </w:r>
          </w:p>
        </w:tc>
        <w:tc>
          <w:tcPr>
            <w:tcW w:w="933" w:type="dxa"/>
            <w:noWrap w:val="0"/>
            <w:vAlign w:val="center"/>
          </w:tcPr>
          <w:p w14:paraId="4C4EBA65">
            <w:pPr>
              <w:jc w:val="center"/>
              <w:rPr>
                <w:rFonts w:ascii="宋体" w:hAnsi="宋体" w:cs="宋体"/>
                <w:kern w:val="1"/>
                <w:sz w:val="24"/>
                <w:szCs w:val="24"/>
              </w:rPr>
            </w:pPr>
            <w:r>
              <w:rPr>
                <w:rFonts w:ascii="宋体" w:hAnsi="宋体" w:cs="宋体"/>
                <w:kern w:val="1"/>
                <w:sz w:val="24"/>
                <w:szCs w:val="24"/>
              </w:rPr>
              <w:t>报价得分</w:t>
            </w:r>
          </w:p>
        </w:tc>
        <w:tc>
          <w:tcPr>
            <w:tcW w:w="917" w:type="dxa"/>
            <w:noWrap w:val="0"/>
            <w:vAlign w:val="center"/>
          </w:tcPr>
          <w:p w14:paraId="1D5A88DC">
            <w:pPr>
              <w:jc w:val="center"/>
              <w:rPr>
                <w:rFonts w:ascii="宋体" w:hAnsi="宋体" w:cs="宋体"/>
                <w:caps/>
                <w:kern w:val="1"/>
                <w:sz w:val="24"/>
                <w:szCs w:val="24"/>
              </w:rPr>
            </w:pPr>
            <w:r>
              <w:rPr>
                <w:rFonts w:ascii="宋体" w:hAnsi="宋体" w:cs="宋体"/>
                <w:caps/>
                <w:kern w:val="1"/>
                <w:sz w:val="24"/>
                <w:szCs w:val="24"/>
              </w:rPr>
              <w:t>30分</w:t>
            </w:r>
          </w:p>
        </w:tc>
        <w:tc>
          <w:tcPr>
            <w:tcW w:w="6751" w:type="dxa"/>
            <w:noWrap w:val="0"/>
            <w:vAlign w:val="center"/>
          </w:tcPr>
          <w:p w14:paraId="154AF359">
            <w:pPr>
              <w:jc w:val="left"/>
              <w:rPr>
                <w:rFonts w:hint="eastAsia" w:ascii="宋体" w:hAnsi="宋体" w:cs="宋体"/>
                <w:kern w:val="1"/>
                <w:sz w:val="24"/>
                <w:szCs w:val="24"/>
              </w:rPr>
            </w:pPr>
            <w:r>
              <w:rPr>
                <w:rFonts w:hint="eastAsia" w:ascii="宋体" w:hAnsi="宋体" w:cs="宋体"/>
                <w:kern w:val="1"/>
                <w:sz w:val="24"/>
                <w:szCs w:val="24"/>
              </w:rPr>
              <w:t>价格分应当采用低价优先法计算，即满足招标文件要求且投标价格最低的投标报价为评标基准价，其价格分为满分。其他供应商的价格分统一按照下列公式计算：</w:t>
            </w:r>
          </w:p>
          <w:p w14:paraId="42EC0A6F">
            <w:pPr>
              <w:jc w:val="left"/>
              <w:rPr>
                <w:rFonts w:ascii="宋体" w:hAnsi="宋体" w:cs="宋体"/>
                <w:kern w:val="1"/>
                <w:sz w:val="24"/>
                <w:szCs w:val="24"/>
              </w:rPr>
            </w:pPr>
            <w:r>
              <w:rPr>
                <w:rFonts w:hint="eastAsia" w:ascii="宋体" w:hAnsi="宋体" w:cs="宋体"/>
                <w:kern w:val="1"/>
                <w:sz w:val="24"/>
                <w:szCs w:val="24"/>
              </w:rPr>
              <w:t>投标报价得分=(评标基准价／投标报价)×30</w:t>
            </w:r>
          </w:p>
          <w:p w14:paraId="1C8E7A39">
            <w:pPr>
              <w:jc w:val="left"/>
              <w:rPr>
                <w:rFonts w:hint="eastAsia" w:ascii="宋体" w:hAnsi="宋体" w:cs="宋体"/>
                <w:kern w:val="1"/>
                <w:sz w:val="24"/>
                <w:szCs w:val="24"/>
              </w:rPr>
            </w:pPr>
            <w:r>
              <w:rPr>
                <w:rFonts w:hint="eastAsia" w:ascii="宋体" w:hAnsi="宋体" w:cs="宋体"/>
                <w:kern w:val="1"/>
                <w:sz w:val="24"/>
                <w:szCs w:val="24"/>
              </w:rPr>
              <w:t>注：价格分计算保留小数点后二位。</w:t>
            </w:r>
          </w:p>
          <w:p w14:paraId="7D248F71">
            <w:pPr>
              <w:ind w:firstLine="480" w:firstLineChars="200"/>
              <w:jc w:val="left"/>
              <w:rPr>
                <w:rFonts w:ascii="宋体" w:hAnsi="宋体" w:cs="宋体"/>
                <w:kern w:val="1"/>
                <w:sz w:val="24"/>
                <w:szCs w:val="24"/>
              </w:rPr>
            </w:pPr>
            <w:r>
              <w:rPr>
                <w:rFonts w:hint="eastAsia" w:ascii="宋体" w:hAnsi="宋体" w:cs="宋体"/>
                <w:kern w:val="1"/>
                <w:sz w:val="24"/>
                <w:szCs w:val="24"/>
              </w:rPr>
              <w:t>根据财政部关于印发《关于进一步加大政府采购支持中小企业力度的通知》（财库〔20</w:t>
            </w:r>
            <w:r>
              <w:rPr>
                <w:rFonts w:ascii="宋体" w:hAnsi="宋体" w:cs="宋体"/>
                <w:kern w:val="1"/>
                <w:sz w:val="24"/>
                <w:szCs w:val="24"/>
              </w:rPr>
              <w:t>22</w:t>
            </w:r>
            <w:r>
              <w:rPr>
                <w:rFonts w:hint="eastAsia" w:ascii="宋体" w:hAnsi="宋体" w:cs="宋体"/>
                <w:kern w:val="1"/>
                <w:sz w:val="24"/>
                <w:szCs w:val="24"/>
              </w:rPr>
              <w:t>〕</w:t>
            </w:r>
            <w:r>
              <w:rPr>
                <w:rFonts w:ascii="宋体" w:hAnsi="宋体" w:cs="宋体"/>
                <w:kern w:val="1"/>
                <w:sz w:val="24"/>
                <w:szCs w:val="24"/>
              </w:rPr>
              <w:t>19</w:t>
            </w:r>
            <w:r>
              <w:rPr>
                <w:rFonts w:hint="eastAsia" w:ascii="宋体" w:hAnsi="宋体" w:cs="宋体"/>
                <w:kern w:val="1"/>
                <w:sz w:val="24"/>
                <w:szCs w:val="24"/>
              </w:rPr>
              <w:t>号 ）文件规定：</w:t>
            </w:r>
          </w:p>
          <w:p w14:paraId="54A5731D">
            <w:pPr>
              <w:jc w:val="left"/>
              <w:rPr>
                <w:rFonts w:ascii="宋体" w:hAnsi="宋体" w:cs="宋体"/>
                <w:kern w:val="1"/>
                <w:sz w:val="24"/>
                <w:szCs w:val="24"/>
              </w:rPr>
            </w:pPr>
            <w:r>
              <w:rPr>
                <w:rFonts w:hint="eastAsia" w:ascii="宋体" w:hAnsi="宋体" w:cs="宋体"/>
                <w:kern w:val="1"/>
                <w:sz w:val="24"/>
                <w:szCs w:val="24"/>
              </w:rPr>
              <w:t>（1）对小微企业报价给予</w:t>
            </w:r>
            <w:r>
              <w:rPr>
                <w:rFonts w:ascii="宋体" w:hAnsi="宋体" w:cs="宋体"/>
                <w:kern w:val="1"/>
                <w:sz w:val="24"/>
                <w:szCs w:val="24"/>
              </w:rPr>
              <w:t>20</w:t>
            </w:r>
            <w:r>
              <w:rPr>
                <w:rFonts w:hint="eastAsia" w:ascii="宋体" w:hAnsi="宋体" w:cs="宋体"/>
                <w:kern w:val="1"/>
                <w:sz w:val="24"/>
                <w:szCs w:val="24"/>
              </w:rPr>
              <w:t>%扣除，请按照《政府采购促进中小企业发展管理办法》要求提供中小企业声明函。</w:t>
            </w:r>
          </w:p>
          <w:p w14:paraId="775D3279">
            <w:pPr>
              <w:jc w:val="left"/>
              <w:rPr>
                <w:rFonts w:ascii="宋体" w:hAnsi="宋体" w:cs="宋体"/>
                <w:kern w:val="1"/>
                <w:sz w:val="24"/>
                <w:szCs w:val="24"/>
              </w:rPr>
            </w:pPr>
            <w:r>
              <w:rPr>
                <w:rFonts w:hint="eastAsia" w:ascii="宋体" w:hAnsi="宋体" w:cs="宋体"/>
                <w:kern w:val="1"/>
                <w:sz w:val="24"/>
                <w:szCs w:val="24"/>
              </w:rPr>
              <w:t>（2）关于监狱企业：视同小微企业。须提供由省级以上监狱管理局、戒毒管理局（含新疆生产建设兵团）出具的属于监狱企业的证明文件，否则不考虑价格扣除。</w:t>
            </w:r>
          </w:p>
          <w:p w14:paraId="03BF52B9">
            <w:pPr>
              <w:jc w:val="left"/>
              <w:rPr>
                <w:rFonts w:ascii="宋体" w:hAnsi="宋体" w:cs="宋体"/>
                <w:kern w:val="1"/>
                <w:sz w:val="24"/>
                <w:szCs w:val="24"/>
              </w:rPr>
            </w:pPr>
            <w:r>
              <w:rPr>
                <w:rFonts w:hint="eastAsia" w:ascii="宋体" w:hAnsi="宋体" w:cs="宋体"/>
                <w:kern w:val="1"/>
                <w:sz w:val="24"/>
                <w:szCs w:val="24"/>
              </w:rPr>
              <w:t>（3）关于残疾人福利性单位：视同小微企业。须提供完整的“残疾人福利性单位声明函”，否则在价格评审时不予考虑价格扣除。残疾人福利性单位属于小型、微型企业的，不重复享受政策。</w:t>
            </w:r>
          </w:p>
          <w:p w14:paraId="1A0F4539">
            <w:pPr>
              <w:jc w:val="left"/>
              <w:rPr>
                <w:rFonts w:ascii="宋体" w:hAnsi="宋体" w:cs="宋体"/>
                <w:kern w:val="1"/>
                <w:sz w:val="24"/>
                <w:szCs w:val="24"/>
              </w:rPr>
            </w:pPr>
            <w:r>
              <w:rPr>
                <w:rFonts w:hint="eastAsia" w:ascii="宋体" w:hAnsi="宋体" w:cs="宋体"/>
                <w:kern w:val="1"/>
                <w:sz w:val="24"/>
                <w:szCs w:val="24"/>
              </w:rPr>
              <w:t>（4）没有提供有效证明材料的供应商将被视为不接受投标总价的扣除，用原投标总价参与评审。</w:t>
            </w:r>
          </w:p>
        </w:tc>
      </w:tr>
      <w:tr w14:paraId="09EF9C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9" w:hRule="atLeast"/>
        </w:trPr>
        <w:tc>
          <w:tcPr>
            <w:tcW w:w="969" w:type="dxa"/>
            <w:vMerge w:val="restart"/>
            <w:noWrap w:val="0"/>
            <w:vAlign w:val="center"/>
          </w:tcPr>
          <w:p w14:paraId="38640B87">
            <w:pPr>
              <w:jc w:val="center"/>
              <w:rPr>
                <w:rFonts w:ascii="宋体" w:hAnsi="宋体" w:cs="宋体"/>
                <w:kern w:val="1"/>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p w14:paraId="41B6D458">
            <w:pPr>
              <w:jc w:val="center"/>
              <w:rPr>
                <w:rFonts w:ascii="宋体" w:hAnsi="宋体" w:cs="宋体"/>
                <w:kern w:val="1"/>
                <w:sz w:val="24"/>
                <w:szCs w:val="24"/>
              </w:rPr>
            </w:pPr>
          </w:p>
        </w:tc>
        <w:tc>
          <w:tcPr>
            <w:tcW w:w="933" w:type="dxa"/>
            <w:noWrap w:val="0"/>
            <w:vAlign w:val="center"/>
          </w:tcPr>
          <w:p w14:paraId="53DD6C9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技术参数</w:t>
            </w:r>
          </w:p>
          <w:p w14:paraId="4B9A9E19">
            <w:pPr>
              <w:jc w:val="center"/>
              <w:rPr>
                <w:rFonts w:ascii="宋体" w:hAnsi="宋体" w:cs="宋体"/>
                <w:kern w:val="1"/>
                <w:sz w:val="24"/>
                <w:szCs w:val="24"/>
              </w:rPr>
            </w:pPr>
          </w:p>
        </w:tc>
        <w:tc>
          <w:tcPr>
            <w:tcW w:w="917" w:type="dxa"/>
            <w:noWrap w:val="0"/>
            <w:vAlign w:val="center"/>
          </w:tcPr>
          <w:p w14:paraId="24192E1D">
            <w:pPr>
              <w:jc w:val="center"/>
              <w:rPr>
                <w:rFonts w:hint="default" w:ascii="宋体" w:hAnsi="宋体" w:eastAsia="宋体" w:cs="宋体"/>
                <w:caps/>
                <w:kern w:val="1"/>
                <w:sz w:val="24"/>
                <w:szCs w:val="24"/>
                <w:lang w:val="en-US" w:eastAsia="zh-CN"/>
              </w:rPr>
            </w:pPr>
            <w:r>
              <w:rPr>
                <w:rFonts w:hint="eastAsia" w:ascii="宋体" w:hAnsi="宋体" w:eastAsia="宋体" w:cs="宋体"/>
                <w:sz w:val="24"/>
                <w:szCs w:val="24"/>
                <w:lang w:val="en-US" w:eastAsia="zh-CN"/>
              </w:rPr>
              <w:t>35</w:t>
            </w:r>
            <w:r>
              <w:rPr>
                <w:rFonts w:hint="eastAsia" w:ascii="宋体" w:hAnsi="宋体" w:eastAsia="宋体" w:cs="宋体"/>
                <w:sz w:val="24"/>
                <w:szCs w:val="24"/>
              </w:rPr>
              <w:t>分</w:t>
            </w:r>
          </w:p>
        </w:tc>
        <w:tc>
          <w:tcPr>
            <w:tcW w:w="6751" w:type="dxa"/>
            <w:noWrap w:val="0"/>
            <w:vAlign w:val="center"/>
          </w:tcPr>
          <w:p w14:paraId="41BA6F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投标货物技术性能及产品功能全部满足招标文件要求得基本分</w:t>
            </w:r>
            <w:r>
              <w:rPr>
                <w:rFonts w:hint="eastAsia" w:ascii="宋体" w:hAnsi="宋体" w:eastAsia="宋体" w:cs="宋体"/>
                <w:sz w:val="24"/>
                <w:szCs w:val="24"/>
                <w:lang w:val="en-US" w:eastAsia="zh-CN"/>
              </w:rPr>
              <w:t>35</w:t>
            </w:r>
            <w:r>
              <w:rPr>
                <w:rFonts w:hint="eastAsia" w:ascii="宋体" w:hAnsi="宋体" w:eastAsia="宋体" w:cs="宋体"/>
                <w:sz w:val="24"/>
                <w:szCs w:val="24"/>
              </w:rPr>
              <w:t>分。</w:t>
            </w:r>
          </w:p>
          <w:p w14:paraId="44307D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招标文件参数序号前有</w:t>
            </w:r>
            <w:r>
              <w:rPr>
                <w:rFonts w:hint="eastAsia" w:ascii="宋体" w:hAnsi="宋体" w:eastAsia="宋体" w:cs="宋体"/>
                <w:sz w:val="24"/>
                <w:szCs w:val="24"/>
                <w:lang w:val="en-US" w:eastAsia="zh-CN"/>
              </w:rPr>
              <w:t>★</w:t>
            </w:r>
            <w:r>
              <w:rPr>
                <w:rFonts w:hint="eastAsia" w:ascii="宋体" w:hAnsi="宋体" w:eastAsia="宋体" w:cs="宋体"/>
                <w:sz w:val="24"/>
                <w:szCs w:val="24"/>
              </w:rPr>
              <w:t>重点标注的，投标人每负偏离一处扣</w:t>
            </w:r>
            <w:r>
              <w:rPr>
                <w:rFonts w:hint="eastAsia" w:ascii="宋体" w:hAnsi="宋体" w:eastAsia="宋体" w:cs="宋体"/>
                <w:sz w:val="24"/>
                <w:szCs w:val="24"/>
                <w:lang w:val="en-US" w:eastAsia="zh-CN"/>
              </w:rPr>
              <w:t>2</w:t>
            </w:r>
            <w:r>
              <w:rPr>
                <w:rFonts w:hint="eastAsia" w:ascii="宋体" w:hAnsi="宋体" w:eastAsia="宋体" w:cs="宋体"/>
                <w:sz w:val="24"/>
                <w:szCs w:val="24"/>
              </w:rPr>
              <w:t>分，其他常规参数有负偏离的每处扣</w:t>
            </w:r>
            <w:r>
              <w:rPr>
                <w:rFonts w:hint="eastAsia" w:ascii="宋体" w:hAnsi="宋体" w:eastAsia="宋体" w:cs="宋体"/>
                <w:sz w:val="24"/>
                <w:szCs w:val="24"/>
                <w:lang w:val="en-US" w:eastAsia="zh-CN"/>
              </w:rPr>
              <w:t>1</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rPr>
              <w:t>扣完为止。</w:t>
            </w:r>
          </w:p>
          <w:p w14:paraId="405352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带★参数必须提供证明材料，所投设备技术参数证明材料</w:t>
            </w:r>
            <w:r>
              <w:rPr>
                <w:rFonts w:hint="eastAsia" w:ascii="宋体" w:hAnsi="宋体" w:eastAsia="宋体" w:cs="宋体"/>
                <w:sz w:val="24"/>
                <w:szCs w:val="24"/>
                <w:lang w:val="en-US" w:eastAsia="zh-CN"/>
              </w:rPr>
              <w:t>包括：</w:t>
            </w:r>
            <w:r>
              <w:rPr>
                <w:rFonts w:hint="eastAsia" w:ascii="宋体" w:hAnsi="宋体" w:eastAsia="宋体" w:cs="宋体"/>
                <w:color w:val="auto"/>
                <w:sz w:val="24"/>
                <w:szCs w:val="24"/>
              </w:rPr>
              <w:t>检验报告或注册证或使用说明书或彩页或</w:t>
            </w:r>
            <w:r>
              <w:rPr>
                <w:rFonts w:hint="eastAsia" w:ascii="宋体" w:hAnsi="宋体" w:eastAsia="宋体" w:cs="宋体"/>
                <w:color w:val="auto"/>
                <w:sz w:val="24"/>
                <w:szCs w:val="24"/>
                <w:lang w:val="en-US" w:eastAsia="zh-CN"/>
              </w:rPr>
              <w:t>技术白皮书</w:t>
            </w:r>
            <w:r>
              <w:rPr>
                <w:rFonts w:hint="eastAsia" w:ascii="宋体" w:hAnsi="宋体" w:eastAsia="宋体" w:cs="宋体"/>
                <w:color w:val="auto"/>
                <w:sz w:val="24"/>
                <w:szCs w:val="24"/>
              </w:rPr>
              <w:t>或</w:t>
            </w:r>
            <w:r>
              <w:rPr>
                <w:rFonts w:hint="eastAsia" w:ascii="宋体" w:hAnsi="宋体" w:eastAsia="宋体" w:cs="宋体"/>
                <w:color w:val="auto"/>
                <w:sz w:val="24"/>
                <w:szCs w:val="24"/>
                <w:lang w:val="en-US" w:eastAsia="zh-CN"/>
              </w:rPr>
              <w:t>其他技术证明材料</w:t>
            </w:r>
            <w:r>
              <w:rPr>
                <w:rFonts w:hint="eastAsia" w:ascii="宋体" w:hAnsi="宋体" w:eastAsia="宋体" w:cs="宋体"/>
                <w:sz w:val="24"/>
                <w:szCs w:val="24"/>
                <w:lang w:val="en-US" w:eastAsia="zh-CN"/>
              </w:rPr>
              <w:t>。</w:t>
            </w:r>
            <w:r>
              <w:rPr>
                <w:rFonts w:hint="eastAsia" w:ascii="宋体" w:hAnsi="宋体" w:eastAsia="宋体" w:cs="宋体"/>
                <w:color w:val="auto"/>
                <w:sz w:val="24"/>
                <w:szCs w:val="24"/>
                <w:lang w:val="en-US" w:eastAsia="zh-CN"/>
              </w:rPr>
              <w:t>所提供证明材料</w:t>
            </w:r>
            <w:r>
              <w:rPr>
                <w:rFonts w:hint="eastAsia" w:ascii="宋体" w:hAnsi="宋体" w:eastAsia="宋体" w:cs="宋体"/>
                <w:color w:val="auto"/>
                <w:sz w:val="24"/>
                <w:szCs w:val="24"/>
                <w:highlight w:val="none"/>
                <w:lang w:val="en-US" w:eastAsia="zh-CN"/>
              </w:rPr>
              <w:t>不得修改或伪造，一经发现修改或伪造按废标处理。</w:t>
            </w:r>
          </w:p>
          <w:p w14:paraId="39FDEAEC">
            <w:pPr>
              <w:jc w:val="left"/>
              <w:rPr>
                <w:rFonts w:hint="eastAsia" w:ascii="宋体" w:hAnsi="宋体" w:cs="宋体"/>
                <w:kern w:val="1"/>
                <w:sz w:val="24"/>
                <w:szCs w:val="24"/>
              </w:rPr>
            </w:pPr>
            <w:r>
              <w:rPr>
                <w:rFonts w:hint="eastAsia" w:ascii="宋体" w:hAnsi="宋体" w:eastAsia="宋体" w:cs="宋体"/>
                <w:sz w:val="24"/>
                <w:szCs w:val="24"/>
                <w:lang w:val="en-US" w:eastAsia="zh-CN"/>
              </w:rPr>
              <w:t>未提供加“★”的技术条款的证明文件的，不作为废标项，仅作为评分依据。</w:t>
            </w:r>
          </w:p>
        </w:tc>
      </w:tr>
      <w:tr w14:paraId="3E701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9" w:hRule="atLeast"/>
        </w:trPr>
        <w:tc>
          <w:tcPr>
            <w:tcW w:w="969" w:type="dxa"/>
            <w:vMerge w:val="continue"/>
            <w:noWrap w:val="0"/>
            <w:vAlign w:val="center"/>
          </w:tcPr>
          <w:p w14:paraId="73C05BFE">
            <w:pPr>
              <w:jc w:val="center"/>
              <w:rPr>
                <w:rFonts w:ascii="宋体" w:hAnsi="宋体" w:cs="宋体"/>
                <w:kern w:val="1"/>
                <w:sz w:val="24"/>
                <w:szCs w:val="24"/>
              </w:rPr>
            </w:pPr>
          </w:p>
        </w:tc>
        <w:tc>
          <w:tcPr>
            <w:tcW w:w="933" w:type="dxa"/>
            <w:noWrap w:val="0"/>
            <w:vAlign w:val="center"/>
          </w:tcPr>
          <w:p w14:paraId="1EAF183F">
            <w:pPr>
              <w:jc w:val="center"/>
              <w:rPr>
                <w:rFonts w:hint="eastAsia" w:ascii="宋体" w:hAnsi="宋体" w:eastAsia="宋体" w:cs="宋体"/>
                <w:sz w:val="24"/>
                <w:szCs w:val="24"/>
              </w:rPr>
            </w:pPr>
            <w:r>
              <w:rPr>
                <w:rFonts w:hint="eastAsia" w:ascii="宋体" w:hAnsi="宋体" w:eastAsia="宋体" w:cs="宋体"/>
                <w:sz w:val="24"/>
                <w:szCs w:val="24"/>
              </w:rPr>
              <w:t>项目实施</w:t>
            </w:r>
          </w:p>
          <w:p w14:paraId="1ED51098">
            <w:pPr>
              <w:jc w:val="center"/>
              <w:rPr>
                <w:rFonts w:ascii="宋体" w:hAnsi="宋体" w:cs="宋体"/>
                <w:kern w:val="1"/>
                <w:sz w:val="24"/>
                <w:szCs w:val="24"/>
              </w:rPr>
            </w:pPr>
            <w:r>
              <w:rPr>
                <w:rFonts w:hint="eastAsia" w:ascii="宋体" w:hAnsi="宋体" w:eastAsia="宋体" w:cs="宋体"/>
                <w:sz w:val="24"/>
                <w:szCs w:val="24"/>
              </w:rPr>
              <w:t>方案</w:t>
            </w:r>
          </w:p>
        </w:tc>
        <w:tc>
          <w:tcPr>
            <w:tcW w:w="917" w:type="dxa"/>
            <w:noWrap w:val="0"/>
            <w:vAlign w:val="center"/>
          </w:tcPr>
          <w:p w14:paraId="605EB297">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rPr>
              <w:t xml:space="preserve"> 分</w:t>
            </w:r>
          </w:p>
        </w:tc>
        <w:tc>
          <w:tcPr>
            <w:tcW w:w="6751" w:type="dxa"/>
            <w:noWrap w:val="0"/>
            <w:vAlign w:val="center"/>
          </w:tcPr>
          <w:p w14:paraId="7169AAB5">
            <w:pPr>
              <w:jc w:val="left"/>
              <w:rPr>
                <w:rFonts w:hint="eastAsia" w:ascii="宋体" w:hAnsi="宋体" w:cs="宋体"/>
                <w:kern w:val="1"/>
                <w:sz w:val="24"/>
                <w:szCs w:val="24"/>
              </w:rPr>
            </w:pPr>
            <w:r>
              <w:rPr>
                <w:rFonts w:hint="eastAsia" w:ascii="宋体" w:hAnsi="宋体" w:eastAsia="宋体" w:cs="宋体"/>
                <w:sz w:val="24"/>
                <w:szCs w:val="24"/>
              </w:rPr>
              <w:t>提供项目实施方案（提供针对本项目的供货方案、</w:t>
            </w:r>
            <w:r>
              <w:rPr>
                <w:rFonts w:hint="eastAsia" w:ascii="宋体" w:hAnsi="宋体" w:eastAsia="宋体" w:cs="宋体"/>
                <w:sz w:val="24"/>
                <w:szCs w:val="24"/>
                <w:highlight w:val="none"/>
                <w:lang w:val="en-US" w:eastAsia="zh-CN"/>
              </w:rPr>
              <w:t>质量保证措施、</w:t>
            </w:r>
            <w:r>
              <w:rPr>
                <w:rFonts w:hint="eastAsia" w:ascii="宋体" w:hAnsi="宋体" w:eastAsia="宋体" w:cs="宋体"/>
                <w:sz w:val="24"/>
                <w:szCs w:val="24"/>
              </w:rPr>
              <w:t>安装调试方案等）</w:t>
            </w:r>
            <w:r>
              <w:rPr>
                <w:rFonts w:hint="eastAsia" w:ascii="宋体" w:hAnsi="宋体" w:eastAsia="宋体" w:cs="宋体"/>
                <w:sz w:val="24"/>
                <w:szCs w:val="24"/>
                <w:lang w:val="en-US" w:eastAsia="zh-CN"/>
              </w:rPr>
              <w:t>的得10</w:t>
            </w:r>
            <w:r>
              <w:rPr>
                <w:rFonts w:hint="eastAsia" w:ascii="宋体" w:hAnsi="宋体" w:eastAsia="宋体" w:cs="宋体"/>
                <w:sz w:val="24"/>
                <w:szCs w:val="24"/>
              </w:rPr>
              <w:t>分，</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tc>
      </w:tr>
      <w:tr w14:paraId="41250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9" w:hRule="atLeast"/>
        </w:trPr>
        <w:tc>
          <w:tcPr>
            <w:tcW w:w="969" w:type="dxa"/>
            <w:vMerge w:val="restart"/>
            <w:noWrap w:val="0"/>
            <w:vAlign w:val="center"/>
          </w:tcPr>
          <w:p w14:paraId="78D726E7">
            <w:pPr>
              <w:jc w:val="center"/>
              <w:rPr>
                <w:rFonts w:hint="eastAsia" w:ascii="宋体" w:hAnsi="宋体" w:eastAsia="宋体" w:cs="宋体"/>
                <w:sz w:val="24"/>
                <w:szCs w:val="24"/>
              </w:rPr>
            </w:pPr>
            <w:r>
              <w:rPr>
                <w:rFonts w:hint="eastAsia" w:ascii="宋体" w:hAnsi="宋体" w:eastAsia="宋体" w:cs="宋体"/>
                <w:sz w:val="24"/>
                <w:szCs w:val="24"/>
              </w:rPr>
              <w:t>商务部分（</w:t>
            </w:r>
            <w:r>
              <w:rPr>
                <w:rFonts w:hint="eastAsia" w:ascii="宋体" w:hAnsi="宋体" w:eastAsia="宋体" w:cs="宋体"/>
                <w:sz w:val="24"/>
                <w:szCs w:val="24"/>
                <w:lang w:val="en-US" w:eastAsia="zh-CN"/>
              </w:rPr>
              <w:t>25</w:t>
            </w:r>
            <w:r>
              <w:rPr>
                <w:rFonts w:hint="eastAsia" w:ascii="宋体" w:hAnsi="宋体" w:eastAsia="宋体" w:cs="宋体"/>
                <w:sz w:val="24"/>
                <w:szCs w:val="24"/>
              </w:rPr>
              <w:t>分）</w:t>
            </w:r>
          </w:p>
          <w:p w14:paraId="7DD3F87C">
            <w:pPr>
              <w:jc w:val="center"/>
              <w:rPr>
                <w:rFonts w:ascii="宋体" w:hAnsi="宋体" w:cs="宋体"/>
                <w:kern w:val="1"/>
                <w:sz w:val="24"/>
                <w:szCs w:val="24"/>
              </w:rPr>
            </w:pPr>
          </w:p>
        </w:tc>
        <w:tc>
          <w:tcPr>
            <w:tcW w:w="933" w:type="dxa"/>
            <w:noWrap w:val="0"/>
            <w:vAlign w:val="center"/>
          </w:tcPr>
          <w:p w14:paraId="43537A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kern w:val="1"/>
                <w:sz w:val="24"/>
                <w:szCs w:val="24"/>
              </w:rPr>
            </w:pPr>
            <w:r>
              <w:rPr>
                <w:rFonts w:hint="eastAsia" w:ascii="宋体" w:hAnsi="宋体" w:eastAsia="宋体" w:cs="宋体"/>
                <w:sz w:val="24"/>
                <w:szCs w:val="24"/>
              </w:rPr>
              <w:t>售后服务</w:t>
            </w:r>
          </w:p>
        </w:tc>
        <w:tc>
          <w:tcPr>
            <w:tcW w:w="917" w:type="dxa"/>
            <w:noWrap w:val="0"/>
            <w:vAlign w:val="center"/>
          </w:tcPr>
          <w:p w14:paraId="560A9AC1">
            <w:pPr>
              <w:jc w:val="center"/>
              <w:rPr>
                <w:rFonts w:ascii="宋体" w:hAnsi="宋体" w:cs="宋体"/>
                <w:caps/>
                <w:kern w:val="1"/>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分</w:t>
            </w:r>
          </w:p>
        </w:tc>
        <w:tc>
          <w:tcPr>
            <w:tcW w:w="6751" w:type="dxa"/>
            <w:noWrap w:val="0"/>
            <w:vAlign w:val="top"/>
          </w:tcPr>
          <w:p w14:paraId="652E80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1、供应商提供售后服务方案（售后服务内容、处理突发情况的应急方案、响应到场时间）得4分</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p w14:paraId="700FA5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2、供应商提供质保期</w:t>
            </w:r>
            <w:r>
              <w:rPr>
                <w:rFonts w:hint="eastAsia" w:ascii="宋体" w:hAnsi="宋体" w:eastAsia="宋体" w:cs="宋体"/>
                <w:sz w:val="24"/>
                <w:szCs w:val="24"/>
              </w:rPr>
              <w:t>内</w:t>
            </w:r>
            <w:r>
              <w:rPr>
                <w:rFonts w:hint="eastAsia" w:ascii="宋体" w:hAnsi="宋体" w:eastAsia="宋体" w:cs="宋体"/>
                <w:sz w:val="24"/>
                <w:szCs w:val="24"/>
                <w:lang w:val="en-US" w:eastAsia="zh-CN"/>
              </w:rPr>
              <w:t>外服务承诺的得4分，</w:t>
            </w:r>
            <w:r>
              <w:rPr>
                <w:rFonts w:hint="eastAsia" w:ascii="宋体" w:hAnsi="宋体" w:eastAsia="宋体" w:cs="宋体"/>
                <w:sz w:val="24"/>
                <w:szCs w:val="24"/>
              </w:rPr>
              <w:t>不提供不得分</w:t>
            </w:r>
            <w:r>
              <w:rPr>
                <w:rFonts w:hint="eastAsia" w:ascii="宋体" w:hAnsi="宋体" w:eastAsia="宋体" w:cs="宋体"/>
                <w:sz w:val="24"/>
                <w:szCs w:val="24"/>
                <w:lang w:eastAsia="zh-CN"/>
              </w:rPr>
              <w:t>。</w:t>
            </w:r>
          </w:p>
          <w:p w14:paraId="14C252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kern w:val="1"/>
                <w:sz w:val="24"/>
                <w:szCs w:val="24"/>
              </w:rPr>
            </w:pPr>
            <w:r>
              <w:rPr>
                <w:rFonts w:hint="eastAsia" w:ascii="宋体" w:hAnsi="宋体" w:eastAsia="宋体" w:cs="宋体"/>
                <w:sz w:val="24"/>
                <w:szCs w:val="24"/>
                <w:lang w:val="en-US" w:eastAsia="zh-CN"/>
              </w:rPr>
              <w:t>3、提供</w:t>
            </w:r>
            <w:r>
              <w:rPr>
                <w:rFonts w:hint="eastAsia" w:ascii="宋体" w:hAnsi="宋体" w:eastAsia="宋体" w:cs="宋体"/>
                <w:sz w:val="24"/>
                <w:szCs w:val="24"/>
              </w:rPr>
              <w:t>培训方案的得</w:t>
            </w:r>
            <w:r>
              <w:rPr>
                <w:rFonts w:hint="eastAsia" w:ascii="宋体" w:hAnsi="宋体" w:eastAsia="宋体" w:cs="宋体"/>
                <w:sz w:val="24"/>
                <w:szCs w:val="24"/>
                <w:lang w:val="en-US" w:eastAsia="zh-CN"/>
              </w:rPr>
              <w:t>3</w:t>
            </w:r>
            <w:r>
              <w:rPr>
                <w:rFonts w:hint="eastAsia" w:ascii="宋体" w:hAnsi="宋体" w:eastAsia="宋体" w:cs="宋体"/>
                <w:sz w:val="24"/>
                <w:szCs w:val="24"/>
              </w:rPr>
              <w:t>分，不提供不得分</w:t>
            </w:r>
            <w:r>
              <w:rPr>
                <w:rFonts w:hint="eastAsia" w:ascii="宋体" w:hAnsi="宋体" w:eastAsia="宋体" w:cs="宋体"/>
                <w:sz w:val="24"/>
                <w:szCs w:val="24"/>
                <w:lang w:eastAsia="zh-CN"/>
              </w:rPr>
              <w:t>。</w:t>
            </w:r>
          </w:p>
        </w:tc>
      </w:tr>
      <w:tr w14:paraId="15713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9" w:hRule="atLeast"/>
        </w:trPr>
        <w:tc>
          <w:tcPr>
            <w:tcW w:w="969" w:type="dxa"/>
            <w:vMerge w:val="continue"/>
            <w:noWrap w:val="0"/>
            <w:vAlign w:val="center"/>
          </w:tcPr>
          <w:p w14:paraId="66F4CFEC">
            <w:pPr>
              <w:jc w:val="center"/>
              <w:rPr>
                <w:rFonts w:ascii="宋体" w:hAnsi="宋体" w:cs="宋体"/>
                <w:kern w:val="1"/>
                <w:sz w:val="24"/>
                <w:szCs w:val="24"/>
              </w:rPr>
            </w:pPr>
          </w:p>
        </w:tc>
        <w:tc>
          <w:tcPr>
            <w:tcW w:w="933" w:type="dxa"/>
            <w:noWrap w:val="0"/>
            <w:vAlign w:val="center"/>
          </w:tcPr>
          <w:p w14:paraId="361116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kern w:val="1"/>
                <w:sz w:val="24"/>
                <w:szCs w:val="24"/>
              </w:rPr>
            </w:pPr>
            <w:r>
              <w:rPr>
                <w:rFonts w:hint="eastAsia" w:ascii="宋体" w:hAnsi="宋体" w:eastAsia="宋体" w:cs="宋体"/>
                <w:sz w:val="24"/>
                <w:szCs w:val="24"/>
                <w:lang w:val="en-US" w:eastAsia="zh-CN"/>
              </w:rPr>
              <w:t>企业实力</w:t>
            </w:r>
          </w:p>
        </w:tc>
        <w:tc>
          <w:tcPr>
            <w:tcW w:w="917" w:type="dxa"/>
            <w:noWrap w:val="0"/>
            <w:vAlign w:val="center"/>
          </w:tcPr>
          <w:p w14:paraId="7091B657">
            <w:pPr>
              <w:jc w:val="center"/>
              <w:rPr>
                <w:rFonts w:ascii="宋体" w:hAnsi="宋体" w:cs="宋体"/>
                <w:caps/>
                <w:kern w:val="1"/>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分</w:t>
            </w:r>
          </w:p>
        </w:tc>
        <w:tc>
          <w:tcPr>
            <w:tcW w:w="6751" w:type="dxa"/>
            <w:noWrap w:val="0"/>
            <w:vAlign w:val="center"/>
          </w:tcPr>
          <w:p w14:paraId="7B31DBE9">
            <w:pPr>
              <w:spacing w:line="360" w:lineRule="auto"/>
              <w:rPr>
                <w:rFonts w:hint="eastAsia" w:ascii="宋体" w:hAnsi="宋体" w:cs="宋体"/>
                <w:color w:val="000000"/>
                <w:sz w:val="24"/>
                <w:szCs w:val="24"/>
              </w:rPr>
            </w:pPr>
            <w:r>
              <w:rPr>
                <w:rFonts w:hint="eastAsia" w:ascii="宋体" w:hAnsi="宋体" w:cs="宋体"/>
                <w:color w:val="000000"/>
                <w:sz w:val="24"/>
                <w:szCs w:val="24"/>
              </w:rPr>
              <w:t>1、供应商或生产厂家具有质量管理体系认证的得3分。</w:t>
            </w:r>
          </w:p>
          <w:p w14:paraId="101EE964">
            <w:pPr>
              <w:spacing w:line="360" w:lineRule="auto"/>
              <w:rPr>
                <w:rFonts w:hint="eastAsia" w:ascii="宋体" w:hAnsi="宋体" w:cs="宋体"/>
                <w:color w:val="000000"/>
                <w:sz w:val="24"/>
                <w:szCs w:val="24"/>
              </w:rPr>
            </w:pPr>
            <w:r>
              <w:rPr>
                <w:rFonts w:hint="eastAsia" w:ascii="宋体" w:hAnsi="宋体" w:cs="宋体"/>
                <w:color w:val="000000"/>
                <w:sz w:val="24"/>
                <w:szCs w:val="24"/>
              </w:rPr>
              <w:t xml:space="preserve"> 注：以上材料需在投标文件中提供证书扫描件，不提供不得分。</w:t>
            </w:r>
          </w:p>
        </w:tc>
      </w:tr>
      <w:tr w14:paraId="33F3F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9" w:hRule="atLeast"/>
        </w:trPr>
        <w:tc>
          <w:tcPr>
            <w:tcW w:w="969" w:type="dxa"/>
            <w:vMerge w:val="continue"/>
            <w:noWrap w:val="0"/>
            <w:vAlign w:val="center"/>
          </w:tcPr>
          <w:p w14:paraId="0C6BA292">
            <w:pPr>
              <w:jc w:val="center"/>
              <w:rPr>
                <w:rFonts w:ascii="宋体" w:hAnsi="宋体" w:cs="宋体"/>
                <w:kern w:val="1"/>
                <w:sz w:val="24"/>
                <w:szCs w:val="24"/>
              </w:rPr>
            </w:pPr>
          </w:p>
        </w:tc>
        <w:tc>
          <w:tcPr>
            <w:tcW w:w="933" w:type="dxa"/>
            <w:noWrap w:val="0"/>
            <w:vAlign w:val="center"/>
          </w:tcPr>
          <w:p w14:paraId="4D70621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业绩</w:t>
            </w:r>
          </w:p>
          <w:p w14:paraId="6D1A3F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kern w:val="1"/>
                <w:sz w:val="24"/>
                <w:szCs w:val="24"/>
              </w:rPr>
            </w:pPr>
          </w:p>
        </w:tc>
        <w:tc>
          <w:tcPr>
            <w:tcW w:w="917" w:type="dxa"/>
            <w:noWrap w:val="0"/>
            <w:vAlign w:val="center"/>
          </w:tcPr>
          <w:p w14:paraId="7521736B">
            <w:pPr>
              <w:jc w:val="center"/>
              <w:rPr>
                <w:rFonts w:ascii="宋体" w:hAnsi="宋体" w:cs="宋体"/>
                <w:caps/>
                <w:kern w:val="1"/>
                <w:sz w:val="24"/>
                <w:szCs w:val="24"/>
              </w:rPr>
            </w:pPr>
            <w:r>
              <w:rPr>
                <w:rFonts w:hint="eastAsia" w:ascii="宋体" w:hAnsi="宋体" w:eastAsia="宋体" w:cs="宋体"/>
                <w:sz w:val="24"/>
                <w:szCs w:val="24"/>
                <w:lang w:val="en-US" w:eastAsia="zh-CN"/>
              </w:rPr>
              <w:t>6分</w:t>
            </w:r>
          </w:p>
        </w:tc>
        <w:tc>
          <w:tcPr>
            <w:tcW w:w="6751" w:type="dxa"/>
            <w:noWrap w:val="0"/>
            <w:vAlign w:val="top"/>
          </w:tcPr>
          <w:p w14:paraId="5221FD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供应商或生产厂家提供</w:t>
            </w:r>
            <w:r>
              <w:rPr>
                <w:rFonts w:hint="eastAsia" w:ascii="宋体" w:hAnsi="宋体" w:eastAsia="宋体" w:cs="宋体"/>
                <w:sz w:val="24"/>
                <w:szCs w:val="24"/>
              </w:rPr>
              <w:t>自202</w:t>
            </w:r>
            <w:r>
              <w:rPr>
                <w:rFonts w:hint="eastAsia" w:ascii="宋体" w:hAnsi="宋体" w:eastAsia="宋体" w:cs="宋体"/>
                <w:sz w:val="24"/>
                <w:szCs w:val="24"/>
                <w:lang w:val="en-US" w:eastAsia="zh-CN"/>
              </w:rPr>
              <w:t>3</w:t>
            </w:r>
            <w:r>
              <w:rPr>
                <w:rFonts w:hint="eastAsia" w:ascii="宋体" w:hAnsi="宋体" w:eastAsia="宋体" w:cs="宋体"/>
                <w:sz w:val="24"/>
                <w:szCs w:val="24"/>
              </w:rPr>
              <w:t>年1月1日以来类似项目业绩的，每提供一</w:t>
            </w:r>
            <w:r>
              <w:rPr>
                <w:rFonts w:hint="eastAsia" w:ascii="宋体" w:hAnsi="宋体" w:eastAsia="宋体" w:cs="宋体"/>
                <w:sz w:val="24"/>
                <w:szCs w:val="24"/>
                <w:lang w:val="en-US" w:eastAsia="zh-CN"/>
              </w:rPr>
              <w:t>个</w:t>
            </w:r>
            <w:r>
              <w:rPr>
                <w:rFonts w:hint="eastAsia" w:ascii="宋体" w:hAnsi="宋体" w:eastAsia="宋体" w:cs="宋体"/>
                <w:sz w:val="24"/>
                <w:szCs w:val="24"/>
              </w:rPr>
              <w:t>得</w:t>
            </w:r>
            <w:r>
              <w:rPr>
                <w:rFonts w:hint="eastAsia" w:ascii="宋体" w:hAnsi="宋体" w:eastAsia="宋体" w:cs="宋体"/>
                <w:sz w:val="24"/>
                <w:szCs w:val="24"/>
                <w:lang w:val="en-US" w:eastAsia="zh-CN"/>
              </w:rPr>
              <w:t>3</w:t>
            </w:r>
            <w:r>
              <w:rPr>
                <w:rFonts w:hint="eastAsia" w:ascii="宋体" w:hAnsi="宋体" w:eastAsia="宋体" w:cs="宋体"/>
                <w:sz w:val="24"/>
                <w:szCs w:val="24"/>
              </w:rPr>
              <w:t>分，最多得</w:t>
            </w:r>
            <w:r>
              <w:rPr>
                <w:rFonts w:hint="eastAsia" w:ascii="宋体" w:hAnsi="宋体" w:eastAsia="宋体" w:cs="宋体"/>
                <w:sz w:val="24"/>
                <w:szCs w:val="24"/>
                <w:lang w:val="en-US" w:eastAsia="zh-CN"/>
              </w:rPr>
              <w:t>6</w:t>
            </w:r>
            <w:r>
              <w:rPr>
                <w:rFonts w:hint="eastAsia" w:ascii="宋体" w:hAnsi="宋体" w:eastAsia="宋体" w:cs="宋体"/>
                <w:sz w:val="24"/>
                <w:szCs w:val="24"/>
              </w:rPr>
              <w:t xml:space="preserve">分。 </w:t>
            </w:r>
          </w:p>
          <w:p w14:paraId="75B9D8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kern w:val="1"/>
                <w:sz w:val="24"/>
                <w:szCs w:val="24"/>
              </w:rPr>
            </w:pPr>
            <w:r>
              <w:rPr>
                <w:rFonts w:hint="eastAsia" w:ascii="宋体" w:hAnsi="宋体" w:eastAsia="宋体" w:cs="宋体"/>
                <w:sz w:val="24"/>
                <w:szCs w:val="24"/>
              </w:rPr>
              <w:t>注：需在投标文件中提供</w:t>
            </w:r>
            <w:r>
              <w:rPr>
                <w:rFonts w:hint="eastAsia" w:ascii="宋体" w:hAnsi="宋体" w:eastAsia="宋体" w:cs="宋体"/>
                <w:sz w:val="24"/>
                <w:szCs w:val="24"/>
                <w:lang w:val="en-US" w:eastAsia="zh-CN"/>
              </w:rPr>
              <w:t>合同和中标通知书</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tc>
      </w:tr>
      <w:tr w14:paraId="38372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9" w:hRule="atLeast"/>
        </w:trPr>
        <w:tc>
          <w:tcPr>
            <w:tcW w:w="969" w:type="dxa"/>
            <w:noWrap w:val="0"/>
            <w:vAlign w:val="center"/>
          </w:tcPr>
          <w:p w14:paraId="71969031">
            <w:pPr>
              <w:jc w:val="center"/>
              <w:rPr>
                <w:rFonts w:ascii="宋体" w:hAnsi="宋体" w:cs="宋体"/>
                <w:kern w:val="1"/>
                <w:sz w:val="24"/>
                <w:szCs w:val="24"/>
              </w:rPr>
            </w:pPr>
          </w:p>
        </w:tc>
        <w:tc>
          <w:tcPr>
            <w:tcW w:w="933" w:type="dxa"/>
            <w:noWrap w:val="0"/>
            <w:vAlign w:val="center"/>
          </w:tcPr>
          <w:p w14:paraId="1E53F8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kern w:val="1"/>
                <w:sz w:val="24"/>
                <w:szCs w:val="24"/>
              </w:rPr>
            </w:pPr>
            <w:r>
              <w:rPr>
                <w:spacing w:val="-3"/>
                <w:sz w:val="24"/>
                <w:szCs w:val="24"/>
                <w:highlight w:val="none"/>
              </w:rPr>
              <w:t>服务及优惠承诺</w:t>
            </w:r>
          </w:p>
        </w:tc>
        <w:tc>
          <w:tcPr>
            <w:tcW w:w="917" w:type="dxa"/>
            <w:noWrap w:val="0"/>
            <w:vAlign w:val="center"/>
          </w:tcPr>
          <w:p w14:paraId="5C6CF34A">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5分</w:t>
            </w:r>
          </w:p>
        </w:tc>
        <w:tc>
          <w:tcPr>
            <w:tcW w:w="6751" w:type="dxa"/>
            <w:noWrap w:val="0"/>
            <w:vAlign w:val="top"/>
          </w:tcPr>
          <w:p w14:paraId="5954DD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spacing w:val="-3"/>
                <w:sz w:val="24"/>
                <w:szCs w:val="24"/>
                <w:highlight w:val="none"/>
              </w:rPr>
              <w:t>根据</w:t>
            </w:r>
            <w:r>
              <w:rPr>
                <w:rFonts w:hint="eastAsia" w:ascii="宋体" w:hAnsi="宋体" w:eastAsia="宋体" w:cs="宋体"/>
                <w:sz w:val="24"/>
                <w:szCs w:val="24"/>
                <w:lang w:val="en-US" w:eastAsia="zh-CN"/>
              </w:rPr>
              <w:t>供应商或生产厂家</w:t>
            </w:r>
            <w:r>
              <w:rPr>
                <w:spacing w:val="-3"/>
                <w:sz w:val="24"/>
                <w:szCs w:val="24"/>
                <w:highlight w:val="none"/>
              </w:rPr>
              <w:t>在文件中做出服务及优惠承诺中打分：提供满足使用需求相关的实质性优惠条件，包括却不限于提供</w:t>
            </w:r>
            <w:r>
              <w:rPr>
                <w:spacing w:val="-4"/>
                <w:sz w:val="24"/>
                <w:szCs w:val="24"/>
                <w:highlight w:val="none"/>
              </w:rPr>
              <w:t>相关配套设备、备</w:t>
            </w:r>
            <w:r>
              <w:rPr>
                <w:spacing w:val="-8"/>
                <w:sz w:val="24"/>
                <w:szCs w:val="24"/>
                <w:highlight w:val="none"/>
              </w:rPr>
              <w:t>品备件</w:t>
            </w:r>
            <w:r>
              <w:rPr>
                <w:rFonts w:hint="eastAsia"/>
                <w:spacing w:val="-8"/>
                <w:sz w:val="24"/>
                <w:szCs w:val="24"/>
                <w:highlight w:val="none"/>
                <w:lang w:val="en-US" w:eastAsia="zh-CN"/>
              </w:rPr>
              <w:t>等</w:t>
            </w:r>
            <w:r>
              <w:rPr>
                <w:spacing w:val="-8"/>
                <w:sz w:val="24"/>
                <w:szCs w:val="24"/>
                <w:highlight w:val="none"/>
              </w:rPr>
              <w:t>得3分、</w:t>
            </w:r>
            <w:r>
              <w:rPr>
                <w:rFonts w:hint="eastAsia"/>
                <w:spacing w:val="-8"/>
                <w:sz w:val="24"/>
                <w:szCs w:val="24"/>
                <w:highlight w:val="none"/>
                <w:lang w:val="en-US" w:eastAsia="zh-CN"/>
              </w:rPr>
              <w:t>厂家</w:t>
            </w:r>
            <w:r>
              <w:rPr>
                <w:spacing w:val="-8"/>
                <w:sz w:val="24"/>
                <w:szCs w:val="24"/>
                <w:highlight w:val="none"/>
              </w:rPr>
              <w:t>服务人员的</w:t>
            </w:r>
            <w:r>
              <w:rPr>
                <w:spacing w:val="-9"/>
                <w:sz w:val="24"/>
                <w:szCs w:val="24"/>
                <w:highlight w:val="none"/>
              </w:rPr>
              <w:t>技术水平及现场服</w:t>
            </w:r>
            <w:r>
              <w:rPr>
                <w:spacing w:val="-1"/>
                <w:sz w:val="24"/>
                <w:szCs w:val="24"/>
                <w:highlight w:val="none"/>
              </w:rPr>
              <w:t>务措施得</w:t>
            </w:r>
            <w:r>
              <w:rPr>
                <w:rFonts w:hint="eastAsia"/>
                <w:spacing w:val="-1"/>
                <w:sz w:val="24"/>
                <w:szCs w:val="24"/>
                <w:highlight w:val="none"/>
                <w:lang w:val="en-US" w:eastAsia="zh-CN"/>
              </w:rPr>
              <w:t>2</w:t>
            </w:r>
            <w:r>
              <w:rPr>
                <w:spacing w:val="-1"/>
                <w:sz w:val="24"/>
                <w:szCs w:val="24"/>
                <w:highlight w:val="none"/>
              </w:rPr>
              <w:t>分(包括响应时间、服务范围)。</w:t>
            </w:r>
          </w:p>
        </w:tc>
      </w:tr>
      <w:tr w14:paraId="728D9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30" w:hRule="atLeast"/>
        </w:trPr>
        <w:tc>
          <w:tcPr>
            <w:tcW w:w="9570" w:type="dxa"/>
            <w:gridSpan w:val="4"/>
            <w:noWrap w:val="0"/>
            <w:vAlign w:val="center"/>
          </w:tcPr>
          <w:p w14:paraId="6FA0895C">
            <w:pPr>
              <w:spacing w:line="360" w:lineRule="auto"/>
              <w:ind w:firstLine="562"/>
              <w:rPr>
                <w:rFonts w:hint="eastAsia" w:ascii="宋体" w:hAnsi="宋体" w:cs="宋体"/>
                <w:b/>
                <w:bCs/>
                <w:color w:val="auto"/>
                <w:szCs w:val="21"/>
              </w:rPr>
            </w:pPr>
          </w:p>
          <w:p w14:paraId="34235D05">
            <w:pPr>
              <w:spacing w:line="360" w:lineRule="auto"/>
              <w:ind w:firstLine="562"/>
              <w:rPr>
                <w:rFonts w:ascii="宋体" w:hAnsi="宋体" w:cs="宋体"/>
                <w:b/>
                <w:bCs/>
                <w:color w:val="auto"/>
                <w:szCs w:val="21"/>
              </w:rPr>
            </w:pPr>
            <w:r>
              <w:rPr>
                <w:rFonts w:hint="eastAsia" w:ascii="宋体" w:hAnsi="宋体" w:cs="宋体"/>
                <w:b/>
                <w:bCs/>
                <w:color w:val="auto"/>
                <w:szCs w:val="21"/>
              </w:rPr>
              <w:t>投标人综合得分</w:t>
            </w:r>
            <w:r>
              <w:rPr>
                <w:rFonts w:ascii="宋体" w:hAnsi="宋体" w:cs="宋体"/>
                <w:b/>
                <w:bCs/>
                <w:color w:val="auto"/>
                <w:szCs w:val="21"/>
              </w:rPr>
              <w:t>=</w:t>
            </w:r>
            <w:r>
              <w:rPr>
                <w:rFonts w:hint="eastAsia" w:ascii="宋体" w:hAnsi="宋体" w:cs="宋体"/>
                <w:b/>
                <w:bCs/>
                <w:color w:val="auto"/>
                <w:szCs w:val="21"/>
              </w:rPr>
              <w:t>技术部分得分＋商务部分得分＋投标报价得分。</w:t>
            </w:r>
          </w:p>
          <w:p w14:paraId="665811C3">
            <w:pPr>
              <w:spacing w:line="360" w:lineRule="auto"/>
              <w:ind w:firstLine="562"/>
              <w:rPr>
                <w:rFonts w:ascii="宋体" w:hAnsi="宋体" w:cs="宋体"/>
                <w:b/>
                <w:bCs/>
                <w:color w:val="auto"/>
                <w:szCs w:val="21"/>
              </w:rPr>
            </w:pPr>
            <w:r>
              <w:rPr>
                <w:rFonts w:hint="eastAsia" w:ascii="宋体" w:hAnsi="宋体" w:cs="宋体"/>
                <w:b/>
                <w:bCs/>
                <w:color w:val="auto"/>
                <w:szCs w:val="21"/>
              </w:rPr>
              <w:t>投标人最终得分：</w:t>
            </w:r>
          </w:p>
          <w:p w14:paraId="36B4F40F">
            <w:pPr>
              <w:pStyle w:val="33"/>
              <w:spacing w:before="120" w:after="120"/>
              <w:ind w:firstLine="400"/>
              <w:rPr>
                <w:rFonts w:ascii="宋体" w:hAnsi="宋体" w:cs="宋体"/>
                <w:color w:val="auto"/>
                <w:szCs w:val="21"/>
              </w:rPr>
            </w:pPr>
            <w:r>
              <w:rPr>
                <w:rFonts w:ascii="宋体" w:hAnsi="宋体" w:cs="宋体"/>
                <w:color w:val="auto"/>
                <w:szCs w:val="21"/>
              </w:rPr>
              <w:t>1.</w:t>
            </w:r>
            <w:r>
              <w:rPr>
                <w:rFonts w:hint="eastAsia" w:ascii="宋体" w:hAnsi="宋体" w:cs="宋体"/>
                <w:color w:val="auto"/>
                <w:szCs w:val="21"/>
              </w:rPr>
              <w:t>评标委员会完成评审后，取全部得分算术平均值，作为该投标人的最终得分。</w:t>
            </w:r>
          </w:p>
          <w:p w14:paraId="3CAA0FA0">
            <w:pPr>
              <w:pStyle w:val="33"/>
              <w:spacing w:before="120" w:after="120"/>
              <w:ind w:firstLine="400"/>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．本办法计算过程中分值按四舍五入保留二位小数。</w:t>
            </w:r>
          </w:p>
          <w:p w14:paraId="6FD0CB94">
            <w:pPr>
              <w:jc w:val="center"/>
              <w:rPr>
                <w:rFonts w:ascii="宋体" w:hAnsi="宋体" w:cs="宋体"/>
                <w:kern w:val="1"/>
                <w:sz w:val="24"/>
                <w:szCs w:val="24"/>
              </w:rPr>
            </w:pPr>
            <w:r>
              <w:rPr>
                <w:rFonts w:hint="eastAsia" w:ascii="宋体" w:hAnsi="宋体" w:cs="宋体"/>
                <w:color w:val="auto"/>
                <w:szCs w:val="21"/>
              </w:rPr>
              <w:t>评标委员会对通过以上评审的投标人，按最终得分从高到低排序，确定中标候选人。当投标人最终得分相等时，按照报价得分从低到高进行排序，排序第一的为中标人，最终得分相等，报价得分也相等按技术指标优劣排列确定中标人。</w:t>
            </w:r>
          </w:p>
        </w:tc>
      </w:tr>
    </w:tbl>
    <w:p w14:paraId="4F1BE7A8">
      <w:pPr>
        <w:pStyle w:val="27"/>
        <w:ind w:firstLine="240"/>
        <w:rPr>
          <w:rFonts w:hint="eastAsia" w:ascii="宋体" w:hAnsi="宋体"/>
          <w:sz w:val="24"/>
        </w:rPr>
      </w:pPr>
    </w:p>
    <w:bookmarkEnd w:id="51"/>
    <w:p w14:paraId="6F1A9A5B">
      <w:pPr>
        <w:pStyle w:val="9"/>
        <w:spacing w:line="360" w:lineRule="auto"/>
        <w:ind w:right="-10" w:firstLine="482" w:firstLineChars="200"/>
        <w:rPr>
          <w:rFonts w:hint="eastAsia" w:ascii="宋体" w:hAnsi="宋体" w:eastAsia="宋体" w:cs="宋体"/>
          <w:b/>
          <w:color w:val="000000" w:themeColor="text1"/>
          <w:kern w:val="1"/>
          <w:sz w:val="24"/>
          <w:highlight w:val="none"/>
          <w14:textFill>
            <w14:solidFill>
              <w14:schemeClr w14:val="tx1"/>
            </w14:solidFill>
          </w14:textFill>
        </w:rPr>
      </w:pPr>
      <w:r>
        <w:rPr>
          <w:rFonts w:hint="eastAsia" w:ascii="宋体" w:hAnsi="宋体" w:eastAsia="宋体" w:cs="宋体"/>
          <w:b/>
          <w:color w:val="000000" w:themeColor="text1"/>
          <w:kern w:val="1"/>
          <w:sz w:val="24"/>
          <w:highlight w:val="none"/>
          <w14:textFill>
            <w14:solidFill>
              <w14:schemeClr w14:val="tx1"/>
            </w14:solidFill>
          </w14:textFill>
        </w:rPr>
        <w:t>注：评标结束后，由采购人对评审结果及响应文件等进行复核，并在法定的时间内确定中标人。</w:t>
      </w:r>
    </w:p>
    <w:p w14:paraId="043A4B9E">
      <w:pPr>
        <w:adjustRightInd w:val="0"/>
        <w:snapToGrid w:val="0"/>
        <w:spacing w:line="360" w:lineRule="auto"/>
        <w:ind w:right="-10" w:firstLine="480" w:firstLineChars="200"/>
        <w:rPr>
          <w:rFonts w:hint="eastAsia"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000000" w:themeColor="text1"/>
          <w:sz w:val="24"/>
          <w:highlight w:val="none"/>
          <w:lang w:eastAsia="zh-CN"/>
          <w14:textFill>
            <w14:solidFill>
              <w14:schemeClr w14:val="tx1"/>
            </w14:solidFill>
          </w14:textFill>
        </w:rPr>
        <w:t>。</w:t>
      </w:r>
    </w:p>
    <w:p w14:paraId="6C952D2B">
      <w:pPr>
        <w:adjustRightInd w:val="0"/>
        <w:snapToGrid w:val="0"/>
        <w:spacing w:line="360" w:lineRule="auto"/>
        <w:ind w:right="-10"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475D50D5">
      <w:pPr>
        <w:pStyle w:val="9"/>
        <w:spacing w:line="360" w:lineRule="auto"/>
        <w:ind w:right="-10" w:firstLine="482" w:firstLineChars="200"/>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第十条</w:t>
      </w:r>
      <w:r>
        <w:rPr>
          <w:rFonts w:hint="eastAsia" w:ascii="宋体" w:hAnsi="宋体" w:eastAsia="宋体" w:cs="宋体"/>
          <w:bCs/>
          <w:color w:val="000000" w:themeColor="text1"/>
          <w:sz w:val="24"/>
          <w:highlight w:val="none"/>
          <w14:textFill>
            <w14:solidFill>
              <w14:schemeClr w14:val="tx1"/>
            </w14:solidFill>
          </w14:textFill>
        </w:rPr>
        <w:t xml:space="preserve"> 评委独立评审后，评委会对投标人某项指标如有不同意见，按照少数服从多数的原则，确定该项指标是否通过。</w:t>
      </w:r>
    </w:p>
    <w:p w14:paraId="01D15778">
      <w:pPr>
        <w:spacing w:line="360" w:lineRule="auto"/>
        <w:ind w:firstLine="482"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第十一条</w:t>
      </w:r>
      <w:r>
        <w:rPr>
          <w:rFonts w:hint="eastAsia" w:ascii="宋体" w:hAnsi="宋体" w:cs="宋体"/>
          <w:bCs/>
          <w:color w:val="000000" w:themeColor="text1"/>
          <w:sz w:val="24"/>
          <w:highlight w:val="none"/>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24F16BDE">
      <w:pPr>
        <w:pStyle w:val="9"/>
        <w:spacing w:line="360" w:lineRule="auto"/>
        <w:ind w:right="-10" w:firstLine="482"/>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第十二条</w:t>
      </w:r>
      <w:r>
        <w:rPr>
          <w:rFonts w:hint="eastAsia" w:ascii="宋体" w:hAnsi="宋体" w:eastAsia="宋体" w:cs="宋体"/>
          <w:bCs/>
          <w:color w:val="000000" w:themeColor="text1"/>
          <w:sz w:val="24"/>
          <w:highlight w:val="none"/>
          <w14:textFill>
            <w14:solidFill>
              <w14:schemeClr w14:val="tx1"/>
            </w14:solidFill>
          </w14:textFill>
        </w:rPr>
        <w:t xml:space="preserve"> 评委会在评标过程中发现的问题，应当及时作出处理或者向采购人提出处理建议，并作书面记录。</w:t>
      </w:r>
    </w:p>
    <w:p w14:paraId="63C0C23D">
      <w:pPr>
        <w:adjustRightInd w:val="0"/>
        <w:snapToGrid w:val="0"/>
        <w:spacing w:line="360" w:lineRule="auto"/>
        <w:ind w:right="-10" w:firstLine="482"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第十三条</w:t>
      </w:r>
      <w:r>
        <w:rPr>
          <w:rFonts w:hint="eastAsia" w:ascii="宋体" w:hAnsi="宋体" w:cs="宋体"/>
          <w:bCs/>
          <w:color w:val="000000" w:themeColor="text1"/>
          <w:sz w:val="24"/>
          <w:highlight w:val="none"/>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7B35F97D">
      <w:pPr>
        <w:rPr>
          <w:rFonts w:hint="eastAsia" w:ascii="宋体" w:hAnsi="宋体" w:cs="宋体"/>
          <w:color w:val="000000" w:themeColor="text1"/>
          <w:highlight w:val="none"/>
          <w14:textFill>
            <w14:solidFill>
              <w14:schemeClr w14:val="tx1"/>
            </w14:solidFill>
          </w14:textFill>
        </w:rPr>
      </w:pPr>
    </w:p>
    <w:p w14:paraId="3E5EA926">
      <w:pPr>
        <w:adjustRightInd w:val="0"/>
        <w:snapToGrid w:val="0"/>
        <w:spacing w:line="360" w:lineRule="auto"/>
        <w:jc w:val="center"/>
        <w:rPr>
          <w:rFonts w:hint="eastAsia" w:ascii="宋体" w:hAnsi="宋体" w:cs="宋体"/>
          <w:b/>
          <w:bCs/>
          <w:color w:val="000000" w:themeColor="text1"/>
          <w:sz w:val="24"/>
          <w:highlight w:val="none"/>
          <w14:textFill>
            <w14:solidFill>
              <w14:schemeClr w14:val="tx1"/>
            </w14:solidFill>
          </w14:textFill>
        </w:rPr>
      </w:pPr>
      <w:bookmarkStart w:id="58" w:name="_Toc40_WPSOffice_Level2"/>
      <w:r>
        <w:rPr>
          <w:rFonts w:hint="eastAsia" w:ascii="宋体" w:hAnsi="宋体" w:cs="宋体"/>
          <w:b/>
          <w:bCs/>
          <w:color w:val="000000" w:themeColor="text1"/>
          <w:sz w:val="24"/>
          <w:highlight w:val="none"/>
          <w14:textFill>
            <w14:solidFill>
              <w14:schemeClr w14:val="tx1"/>
            </w14:solidFill>
          </w14:textFill>
        </w:rPr>
        <w:t>三．评标纪律</w:t>
      </w:r>
      <w:bookmarkEnd w:id="58"/>
    </w:p>
    <w:p w14:paraId="6F154BA1">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第十四条</w:t>
      </w:r>
      <w:r>
        <w:rPr>
          <w:rFonts w:hint="eastAsia" w:ascii="宋体" w:hAnsi="宋体" w:cs="宋体"/>
          <w:bCs/>
          <w:color w:val="000000" w:themeColor="text1"/>
          <w:sz w:val="24"/>
          <w:highlight w:val="none"/>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highlight w:val="none"/>
          <w14:textFill>
            <w14:solidFill>
              <w14:schemeClr w14:val="tx1"/>
            </w14:solidFill>
          </w14:textFill>
        </w:rPr>
        <w:t>严格按照本次招标文件进行评标；公正廉洁、不徇私情，不得损害国家利益；保护招、投标人的合法权益。</w:t>
      </w:r>
    </w:p>
    <w:p w14:paraId="003B59EA">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第十五条 </w:t>
      </w:r>
      <w:r>
        <w:rPr>
          <w:rFonts w:hint="eastAsia" w:ascii="宋体" w:hAnsi="宋体" w:cs="宋体"/>
          <w:color w:val="000000" w:themeColor="text1"/>
          <w:sz w:val="24"/>
          <w:highlight w:val="none"/>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A334D39">
      <w:pPr>
        <w:spacing w:line="360" w:lineRule="auto"/>
        <w:ind w:firstLine="482"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第十六条</w:t>
      </w:r>
      <w:r>
        <w:rPr>
          <w:rFonts w:hint="eastAsia" w:ascii="宋体" w:hAnsi="宋体" w:cs="宋体"/>
          <w:color w:val="000000" w:themeColor="text1"/>
          <w:sz w:val="24"/>
          <w:highlight w:val="none"/>
          <w14:textFill>
            <w14:solidFill>
              <w14:schemeClr w14:val="tx1"/>
            </w14:solidFill>
          </w14:textFill>
        </w:rPr>
        <w:t xml:space="preserve"> 在招标采购中，出现下列情形之一的，应予废标：</w:t>
      </w:r>
    </w:p>
    <w:p w14:paraId="5820F50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1.出现影响采购公正的违法、违规行为的。</w:t>
      </w:r>
    </w:p>
    <w:p w14:paraId="551304F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2.投标时有弄虚作假的行为。</w:t>
      </w:r>
    </w:p>
    <w:p w14:paraId="6FAF325C">
      <w:pPr>
        <w:spacing w:line="360" w:lineRule="auto"/>
        <w:ind w:firstLine="475" w:firstLineChars="19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第十七条 </w:t>
      </w:r>
      <w:r>
        <w:rPr>
          <w:rFonts w:hint="eastAsia" w:ascii="宋体" w:hAnsi="宋体" w:cs="宋体"/>
          <w:color w:val="000000" w:themeColor="text1"/>
          <w:sz w:val="24"/>
          <w:highlight w:val="none"/>
          <w14:textFill>
            <w14:solidFill>
              <w14:schemeClr w14:val="tx1"/>
            </w14:solidFill>
          </w14:textFill>
        </w:rPr>
        <w:t>在投标过程中，出现下列情况之一的，按照无效投标处理：</w:t>
      </w:r>
    </w:p>
    <w:p w14:paraId="4B2B8F2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1.未按照招标文件规定要求签署、签章的</w:t>
      </w:r>
      <w:r>
        <w:rPr>
          <w:rFonts w:hint="eastAsia" w:ascii="宋体" w:hAnsi="宋体" w:cs="宋体"/>
          <w:b/>
          <w:color w:val="000000" w:themeColor="text1"/>
          <w:sz w:val="24"/>
          <w:highlight w:val="none"/>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AED320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2.不具备招标文件中规定资格要求的；</w:t>
      </w:r>
    </w:p>
    <w:p w14:paraId="6877C9D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3.不符合法律、法规和招标文件中规定的其他实质性要求的。</w:t>
      </w:r>
    </w:p>
    <w:p w14:paraId="786FCDF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4.投标人的报价超过了采购预算，采购人不能支付的；</w:t>
      </w:r>
    </w:p>
    <w:p w14:paraId="26DE268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5.投标文件附有招标人不能接受的条件；</w:t>
      </w:r>
    </w:p>
    <w:p w14:paraId="32A119B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6.投标文件中对同一货物或标段提供选择性报价的；</w:t>
      </w:r>
    </w:p>
    <w:p w14:paraId="2BABA97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7.商务偏差表或技术偏差表存在弄虚作假的；</w:t>
      </w:r>
    </w:p>
    <w:p w14:paraId="136E449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8.不同供应商的电子投标（响应）文件上传计算机的网卡 MAC 地址、CPU 序列号和硬盘序列号等硬件信息相同的;</w:t>
      </w:r>
    </w:p>
    <w:p w14:paraId="20B06457">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65341D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3C11D0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41993FA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7EDDE074">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462A464C">
      <w:pPr>
        <w:spacing w:line="360" w:lineRule="auto"/>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14:textFill>
            <w14:solidFill>
              <w14:schemeClr w14:val="tx1"/>
            </w14:solidFill>
          </w14:textFill>
        </w:rPr>
        <w:t>八</w:t>
      </w:r>
      <w:r>
        <w:rPr>
          <w:rFonts w:hint="eastAsia" w:ascii="宋体" w:hAnsi="宋体" w:cs="宋体"/>
          <w:b/>
          <w:color w:val="000000" w:themeColor="text1"/>
          <w:sz w:val="24"/>
          <w:highlight w:val="none"/>
          <w14:textFill>
            <w14:solidFill>
              <w14:schemeClr w14:val="tx1"/>
            </w14:solidFill>
          </w14:textFill>
        </w:rPr>
        <w:t xml:space="preserve">条 </w:t>
      </w:r>
      <w:r>
        <w:rPr>
          <w:rFonts w:hint="eastAsia" w:ascii="宋体" w:hAnsi="宋体" w:cs="宋体"/>
          <w:color w:val="000000" w:themeColor="text1"/>
          <w:sz w:val="24"/>
          <w:highlight w:val="none"/>
          <w14:textFill>
            <w14:solidFill>
              <w14:schemeClr w14:val="tx1"/>
            </w14:solidFill>
          </w14:textFill>
        </w:rPr>
        <w:t>在投标文件中，出现下列情形之一的，其投标有可能被拒绝：</w:t>
      </w:r>
    </w:p>
    <w:p w14:paraId="1BA7EAB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1.交货完工期不确切、不肯定的投标；供应商的投标质量无承诺的；</w:t>
      </w:r>
    </w:p>
    <w:p w14:paraId="7E3B5F3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color="auto" w:fill="auto"/>
          <w14:textFill>
            <w14:solidFill>
              <w14:schemeClr w14:val="tx1"/>
            </w14:solidFill>
          </w14:textFill>
        </w:rPr>
        <w:t>对投标质量、付款方式无承诺的；</w:t>
      </w:r>
      <w:r>
        <w:rPr>
          <w:rFonts w:hint="eastAsia" w:ascii="宋体" w:hAnsi="宋体" w:eastAsia="宋体" w:cs="宋体"/>
          <w:color w:val="000000" w:themeColor="text1"/>
          <w:sz w:val="24"/>
          <w:highlight w:val="none"/>
          <w14:textFill>
            <w14:solidFill>
              <w14:schemeClr w14:val="tx1"/>
            </w14:solidFill>
          </w14:textFill>
        </w:rPr>
        <w:t>售后服务不满足招标文件要求的</w:t>
      </w:r>
      <w:r>
        <w:rPr>
          <w:rFonts w:hint="eastAsia" w:ascii="宋体" w:hAnsi="宋体" w:cs="宋体"/>
          <w:color w:val="000000" w:themeColor="text1"/>
          <w:sz w:val="24"/>
          <w:highlight w:val="none"/>
          <w14:textFill>
            <w14:solidFill>
              <w14:schemeClr w14:val="tx1"/>
            </w14:solidFill>
          </w14:textFill>
        </w:rPr>
        <w:t xml:space="preserve">； </w:t>
      </w:r>
    </w:p>
    <w:p w14:paraId="0C47F8E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3.投标人没有实质性响应招标文件的要求和条件的；</w:t>
      </w:r>
    </w:p>
    <w:p w14:paraId="589C4CC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评标委员会认为投标人的报价明显低于其他通过符合性审查投标人的报价，有可能影响产品质量或者不能诚信履约的；</w:t>
      </w:r>
      <w:r>
        <w:rPr>
          <w:rFonts w:hint="eastAsia" w:ascii="宋体" w:hAnsi="宋体" w:eastAsia="宋体" w:cs="宋体"/>
          <w:color w:val="000000" w:themeColor="text1"/>
          <w:sz w:val="24"/>
          <w:highlight w:val="none"/>
          <w:lang w:val="en-US" w:eastAsia="zh-CN"/>
          <w14:textFill>
            <w14:solidFill>
              <w14:schemeClr w14:val="tx1"/>
            </w14:solidFill>
          </w14:textFill>
        </w:rPr>
        <w:t>且</w:t>
      </w:r>
      <w:r>
        <w:rPr>
          <w:rFonts w:hint="eastAsia" w:ascii="宋体" w:hAnsi="宋体" w:eastAsia="宋体" w:cs="宋体"/>
          <w:color w:val="000000" w:themeColor="text1"/>
          <w:sz w:val="24"/>
          <w:highlight w:val="none"/>
          <w14:textFill>
            <w14:solidFill>
              <w14:schemeClr w14:val="tx1"/>
            </w14:solidFill>
          </w14:textFill>
        </w:rPr>
        <w:t>提供</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书面说明</w:t>
      </w:r>
      <w:r>
        <w:rPr>
          <w:rFonts w:hint="eastAsia" w:ascii="宋体" w:hAnsi="宋体" w:eastAsia="宋体" w:cs="宋体"/>
          <w:color w:val="000000" w:themeColor="text1"/>
          <w:sz w:val="24"/>
          <w:highlight w:val="none"/>
          <w:lang w:val="en-US" w:eastAsia="zh-CN"/>
          <w14:textFill>
            <w14:solidFill>
              <w14:schemeClr w14:val="tx1"/>
            </w14:solidFill>
          </w14:textFill>
        </w:rPr>
        <w:t>和</w:t>
      </w:r>
      <w:r>
        <w:rPr>
          <w:rFonts w:hint="eastAsia" w:ascii="宋体" w:hAnsi="宋体" w:eastAsia="宋体" w:cs="宋体"/>
          <w:color w:val="000000" w:themeColor="text1"/>
          <w:sz w:val="24"/>
          <w:highlight w:val="none"/>
          <w14:textFill>
            <w14:solidFill>
              <w14:schemeClr w14:val="tx1"/>
            </w14:solidFill>
          </w14:textFill>
        </w:rPr>
        <w:t>相关证明材料；投标人不能证明其报价合理性的，评标委员会应当将其作为无效投标处理</w:t>
      </w:r>
      <w:r>
        <w:rPr>
          <w:rFonts w:hint="eastAsia" w:ascii="宋体" w:hAnsi="宋体" w:eastAsia="宋体" w:cs="宋体"/>
          <w:color w:val="000000" w:themeColor="text1"/>
          <w:sz w:val="24"/>
          <w:highlight w:val="none"/>
          <w:lang w:eastAsia="zh-CN"/>
          <w14:textFill>
            <w14:solidFill>
              <w14:schemeClr w14:val="tx1"/>
            </w14:solidFill>
          </w14:textFill>
        </w:rPr>
        <w:t>。</w:t>
      </w:r>
    </w:p>
    <w:p w14:paraId="2A11661E">
      <w:pPr>
        <w:spacing w:line="360" w:lineRule="auto"/>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第十九条</w:t>
      </w:r>
      <w:r>
        <w:rPr>
          <w:rFonts w:hint="eastAsia" w:ascii="宋体" w:hAnsi="宋体" w:cs="宋体"/>
          <w:color w:val="000000" w:themeColor="text1"/>
          <w:sz w:val="24"/>
          <w:highlight w:val="none"/>
          <w14:textFill>
            <w14:solidFill>
              <w14:schemeClr w14:val="tx1"/>
            </w14:solidFill>
          </w14:textFill>
        </w:rPr>
        <w:t xml:space="preserve"> 本评标办法的解释权属于采购人。</w:t>
      </w:r>
    </w:p>
    <w:p w14:paraId="3A59F8E8">
      <w:pPr>
        <w:pStyle w:val="2"/>
        <w:spacing w:before="0" w:after="0" w:line="400" w:lineRule="exact"/>
        <w:jc w:val="both"/>
        <w:rPr>
          <w:rFonts w:hint="eastAsia" w:ascii="宋体" w:hAnsi="宋体" w:eastAsia="宋体" w:cs="宋体"/>
          <w:color w:val="000000" w:themeColor="text1"/>
          <w:highlight w:val="none"/>
          <w14:textFill>
            <w14:solidFill>
              <w14:schemeClr w14:val="tx1"/>
            </w14:solidFill>
          </w14:textFill>
        </w:rPr>
      </w:pPr>
      <w:bookmarkStart w:id="59" w:name="_Toc527725920"/>
      <w:r>
        <w:rPr>
          <w:rFonts w:ascii="宋体" w:hAnsi="宋体" w:cs="宋体"/>
          <w:color w:val="000000" w:themeColor="text1"/>
          <w:sz w:val="32"/>
          <w:highlight w:val="none"/>
          <w14:textFill>
            <w14:solidFill>
              <w14:schemeClr w14:val="tx1"/>
            </w14:solidFill>
          </w14:textFill>
        </w:rPr>
        <w:br w:type="page"/>
      </w:r>
      <w:bookmarkStart w:id="60" w:name="_Toc40975440"/>
      <w:r>
        <w:rPr>
          <w:rFonts w:hint="eastAsia" w:ascii="宋体" w:hAnsi="宋体" w:cs="宋体"/>
          <w:color w:val="000000" w:themeColor="text1"/>
          <w:sz w:val="32"/>
          <w:highlight w:val="none"/>
          <w14:textFill>
            <w14:solidFill>
              <w14:schemeClr w14:val="tx1"/>
            </w14:solidFill>
          </w14:textFill>
        </w:rPr>
        <w:t>招标文件第二部分</w:t>
      </w:r>
      <w:bookmarkEnd w:id="59"/>
      <w:bookmarkEnd w:id="60"/>
      <w:bookmarkStart w:id="61" w:name="_Toc40975441"/>
      <w:bookmarkStart w:id="62" w:name="_Toc527725921"/>
    </w:p>
    <w:p w14:paraId="16347B70">
      <w:pPr>
        <w:pStyle w:val="3"/>
        <w:spacing w:line="500" w:lineRule="exact"/>
        <w:ind w:firstLine="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第五章 投标人须知</w:t>
      </w:r>
      <w:bookmarkEnd w:id="61"/>
      <w:bookmarkEnd w:id="62"/>
    </w:p>
    <w:p w14:paraId="4A7100EE">
      <w:pPr>
        <w:pStyle w:val="4"/>
        <w:spacing w:line="500" w:lineRule="exact"/>
        <w:rPr>
          <w:rFonts w:hint="eastAsia" w:hAnsi="宋体" w:cs="宋体"/>
          <w:color w:val="000000" w:themeColor="text1"/>
          <w:sz w:val="28"/>
          <w:highlight w:val="none"/>
          <w14:textFill>
            <w14:solidFill>
              <w14:schemeClr w14:val="tx1"/>
            </w14:solidFill>
          </w14:textFill>
        </w:rPr>
      </w:pPr>
      <w:bookmarkStart w:id="63" w:name="_Hlt509650126"/>
      <w:bookmarkEnd w:id="63"/>
      <w:bookmarkStart w:id="64" w:name="_Hlt509650686"/>
      <w:bookmarkEnd w:id="64"/>
      <w:bookmarkStart w:id="65" w:name="_Hlt509649998"/>
      <w:bookmarkEnd w:id="65"/>
      <w:bookmarkStart w:id="66" w:name="_Hlt509650955"/>
      <w:bookmarkEnd w:id="66"/>
      <w:bookmarkStart w:id="67" w:name="_Hlt526418143"/>
      <w:bookmarkEnd w:id="67"/>
      <w:bookmarkStart w:id="68" w:name="_Hlt509649722"/>
      <w:bookmarkEnd w:id="68"/>
      <w:bookmarkStart w:id="69" w:name="_Toc527725922"/>
      <w:bookmarkStart w:id="70" w:name="_Toc40975442"/>
      <w:r>
        <w:rPr>
          <w:rFonts w:hint="eastAsia" w:hAnsi="宋体" w:cs="宋体"/>
          <w:color w:val="000000" w:themeColor="text1"/>
          <w:sz w:val="28"/>
          <w:highlight w:val="none"/>
          <w14:textFill>
            <w14:solidFill>
              <w14:schemeClr w14:val="tx1"/>
            </w14:solidFill>
          </w14:textFill>
        </w:rPr>
        <w:t>一．总    则</w:t>
      </w:r>
      <w:bookmarkEnd w:id="69"/>
      <w:bookmarkEnd w:id="70"/>
    </w:p>
    <w:p w14:paraId="1ADBD804">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07E7C5F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1.1本招标文件仅适用于本次公开招标所述的货物项目采购。</w:t>
      </w:r>
    </w:p>
    <w:p w14:paraId="4D5861A1">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2.有关定义</w:t>
      </w:r>
    </w:p>
    <w:p w14:paraId="4710CDA0">
      <w:pPr>
        <w:spacing w:line="360" w:lineRule="auto"/>
        <w:ind w:firstLine="55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2.1招标人（采购人）：</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周口市第二人民医院(周口市老年医院）  </w:t>
      </w:r>
    </w:p>
    <w:p w14:paraId="099ACD0C">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2.2招标代理机构（集中采购机构）：系指周口市公共资源交易中心政府采购中心，以下简称“采购中心”。</w:t>
      </w:r>
    </w:p>
    <w:p w14:paraId="3A66AAF7">
      <w:pPr>
        <w:pStyle w:val="27"/>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2.3政府采购监督管理部门：系指</w:t>
      </w:r>
      <w:r>
        <w:rPr>
          <w:rFonts w:hint="eastAsia" w:ascii="宋体" w:hAnsi="宋体" w:cs="宋体"/>
          <w:color w:val="auto"/>
          <w:sz w:val="24"/>
          <w:highlight w:val="none"/>
        </w:rPr>
        <w:t>周口市财政局政府采购监督管理科</w:t>
      </w:r>
      <w:r>
        <w:rPr>
          <w:rFonts w:hint="eastAsia" w:ascii="宋体" w:hAnsi="宋体" w:cs="宋体"/>
          <w:color w:val="000000" w:themeColor="text1"/>
          <w:sz w:val="24"/>
          <w:highlight w:val="none"/>
          <w14:textFill>
            <w14:solidFill>
              <w14:schemeClr w14:val="tx1"/>
            </w14:solidFill>
          </w14:textFill>
        </w:rPr>
        <w:t>。</w:t>
      </w:r>
    </w:p>
    <w:p w14:paraId="62CC8D45">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2.4投标人：系指已经在周口市公共资源交易中心网上报名，且已经提交或准备提交本次投标文件的制造商、供应商或服务商。</w:t>
      </w:r>
    </w:p>
    <w:p w14:paraId="12D3EB5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4E7C2D3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2.6业绩：系指符合本招标文件规定且已供货（安装）完毕的合同及相关证明。</w:t>
      </w:r>
    </w:p>
    <w:p w14:paraId="688ACCBC">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2.7投标人公章：在电子投标文件中系指投标人电子签章。</w:t>
      </w:r>
    </w:p>
    <w:p w14:paraId="3812FD29">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3.投标费用</w:t>
      </w:r>
    </w:p>
    <w:p w14:paraId="7561A28D">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3.1无论投标结果如何，投标人应自行承担其编制与递交投标文件所涉及的一切费用。</w:t>
      </w:r>
      <w:r>
        <w:rPr>
          <w:rFonts w:hint="eastAsia" w:ascii="宋体" w:hAnsi="宋体" w:cs="宋体"/>
          <w:b/>
          <w:color w:val="000000" w:themeColor="text1"/>
          <w:sz w:val="24"/>
          <w:highlight w:val="none"/>
          <w14:textFill>
            <w14:solidFill>
              <w14:schemeClr w14:val="tx1"/>
            </w14:solidFill>
          </w14:textFill>
        </w:rPr>
        <w:t>评标费用由采购人自行解决。</w:t>
      </w:r>
    </w:p>
    <w:p w14:paraId="1F8D0F49">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4.合格的投标人</w:t>
      </w:r>
    </w:p>
    <w:p w14:paraId="7871582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4.1合格的投标人应符合招标文件载明的投标资格。</w:t>
      </w:r>
    </w:p>
    <w:p w14:paraId="7D57BFB8">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4.2投标人之间如果存在下列情形之一的，不得同时参加同一标段（包别）或者不分标段（包别）的同一项目投标：</w:t>
      </w:r>
    </w:p>
    <w:p w14:paraId="08817D5C">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4.2.1法定代表人为同一个人的两个及两个以上法人；</w:t>
      </w:r>
    </w:p>
    <w:p w14:paraId="2FC0DBC2">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4.2.2母公司、全资子公司及其控股公司；</w:t>
      </w:r>
    </w:p>
    <w:p w14:paraId="2F2A1AFA">
      <w:pPr>
        <w:pStyle w:val="5"/>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4.2.3参加投标的其他组织之间存在特殊的利害关系的；</w:t>
      </w:r>
    </w:p>
    <w:p w14:paraId="5E0EC855">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4.2.4法律和行政法规规定的其他情形。</w:t>
      </w:r>
    </w:p>
    <w:p w14:paraId="4267C567">
      <w:pPr>
        <w:spacing w:line="360" w:lineRule="auto"/>
        <w:ind w:firstLine="550"/>
        <w:rPr>
          <w:rFonts w:hint="eastAsia" w:ascii="宋体" w:hAnsi="宋体" w:eastAsia="宋体" w:cs="宋体"/>
          <w:b w:val="0"/>
          <w:bCs/>
          <w:color w:val="000000" w:themeColor="text1"/>
          <w:sz w:val="24"/>
          <w:highlight w:val="none"/>
          <w:lang w:val="en-US" w:eastAsia="zh-CN"/>
          <w14:textFill>
            <w14:solidFill>
              <w14:schemeClr w14:val="tx1"/>
            </w14:solidFill>
          </w14:textFill>
        </w:rPr>
      </w:pPr>
      <w:r>
        <w:rPr>
          <w:rFonts w:hint="eastAsia" w:ascii="宋体" w:hAnsi="宋体" w:cs="宋体"/>
          <w:b w:val="0"/>
          <w:bCs/>
          <w:color w:val="000000" w:themeColor="text1"/>
          <w:sz w:val="24"/>
          <w:highlight w:val="none"/>
          <w:lang w:val="en-US" w:eastAsia="zh-CN"/>
          <w14:textFill>
            <w14:solidFill>
              <w14:schemeClr w14:val="tx1"/>
            </w14:solidFill>
          </w14:textFill>
        </w:rPr>
        <w:t>4.2.5</w:t>
      </w:r>
      <w:r>
        <w:rPr>
          <w:rFonts w:hint="eastAsia" w:ascii="宋体" w:hAnsi="宋体" w:cs="宋体"/>
          <w:b w:val="0"/>
          <w:bCs/>
          <w:color w:val="000000" w:themeColor="text1"/>
          <w:sz w:val="24"/>
          <w:highlight w:val="none"/>
          <w14:textFill>
            <w14:solidFill>
              <w14:schemeClr w14:val="tx1"/>
            </w14:solidFill>
          </w14:textFill>
        </w:rPr>
        <w:t>投标人</w:t>
      </w:r>
      <w:r>
        <w:rPr>
          <w:rFonts w:hint="eastAsia" w:ascii="宋体" w:hAnsi="宋体" w:eastAsia="宋体" w:cs="宋体"/>
          <w:b w:val="0"/>
          <w:bCs/>
          <w:color w:val="000000" w:themeColor="text1"/>
          <w:sz w:val="24"/>
          <w:highlight w:val="none"/>
          <w:lang w:val="en-US" w:eastAsia="zh-CN"/>
          <w14:textFill>
            <w14:solidFill>
              <w14:schemeClr w14:val="tx1"/>
            </w14:solidFill>
          </w14:textFill>
        </w:rPr>
        <w:t>有依法缴纳税收和社会保障资金的良好记录（</w:t>
      </w:r>
      <w:r>
        <w:rPr>
          <w:rFonts w:hint="eastAsia" w:ascii="宋体" w:hAnsi="宋体" w:cs="宋体"/>
          <w:b w:val="0"/>
          <w:bCs/>
          <w:color w:val="000000" w:themeColor="text1"/>
          <w:sz w:val="24"/>
          <w:highlight w:val="none"/>
          <w:lang w:val="en-US" w:eastAsia="zh-CN"/>
          <w14:textFill>
            <w14:solidFill>
              <w14:schemeClr w14:val="tx1"/>
            </w14:solidFill>
          </w14:textFill>
        </w:rPr>
        <w:t>近年以来</w:t>
      </w:r>
      <w:r>
        <w:rPr>
          <w:rFonts w:hint="eastAsia" w:ascii="宋体" w:hAnsi="宋体" w:eastAsia="宋体" w:cs="宋体"/>
          <w:b w:val="0"/>
          <w:bCs/>
          <w:color w:val="000000" w:themeColor="text1"/>
          <w:sz w:val="24"/>
          <w:highlight w:val="none"/>
          <w:lang w:val="en-US" w:eastAsia="zh-CN"/>
          <w14:textFill>
            <w14:solidFill>
              <w14:schemeClr w14:val="tx1"/>
            </w14:solidFill>
          </w14:textFill>
        </w:rPr>
        <w:t>任意连续3个月依法缴纳税收和社会保障资金的凭证；依法免税或不需要缴纳社会保障资金的供应商，提供相应文件证明其依法免税或不需要缴纳社会保障资金）；</w:t>
      </w:r>
    </w:p>
    <w:p w14:paraId="541045D2">
      <w:pPr>
        <w:spacing w:line="360" w:lineRule="auto"/>
        <w:ind w:firstLine="550"/>
        <w:rPr>
          <w:rFonts w:hint="eastAsia" w:ascii="宋体" w:hAnsi="宋体" w:cs="宋体"/>
          <w:b/>
          <w:color w:val="000000" w:themeColor="text1"/>
          <w:sz w:val="24"/>
          <w:highlight w:val="none"/>
          <w:lang w:val="en-US" w:eastAsia="zh-CN"/>
          <w14:textFill>
            <w14:solidFill>
              <w14:schemeClr w14:val="tx1"/>
            </w14:solidFill>
          </w14:textFill>
        </w:rPr>
      </w:pPr>
      <w:r>
        <w:rPr>
          <w:rFonts w:hint="eastAsia" w:ascii="宋体" w:hAnsi="宋体" w:cs="宋体"/>
          <w:b w:val="0"/>
          <w:bCs/>
          <w:color w:val="000000" w:themeColor="text1"/>
          <w:sz w:val="24"/>
          <w:highlight w:val="none"/>
          <w:lang w:val="en-US" w:eastAsia="zh-CN"/>
          <w14:textFill>
            <w14:solidFill>
              <w14:schemeClr w14:val="tx1"/>
            </w14:solidFill>
          </w14:textFill>
        </w:rPr>
        <w:t>4.2.6供应商或制造商需提供售后服务体系与承诺。</w:t>
      </w:r>
    </w:p>
    <w:p w14:paraId="583EFF89">
      <w:pPr>
        <w:spacing w:line="360" w:lineRule="auto"/>
        <w:ind w:firstLine="550"/>
        <w:rPr>
          <w:rFonts w:hint="eastAsia"/>
          <w:color w:val="000000" w:themeColor="text1"/>
          <w:highlight w:val="none"/>
          <w14:textFill>
            <w14:solidFill>
              <w14:schemeClr w14:val="tx1"/>
            </w14:solidFill>
          </w14:textFill>
        </w:rPr>
      </w:pPr>
      <w:r>
        <w:rPr>
          <w:rFonts w:hint="eastAsia" w:ascii="宋体" w:hAnsi="宋体" w:cs="宋体"/>
          <w:b w:val="0"/>
          <w:bCs/>
          <w:color w:val="000000" w:themeColor="text1"/>
          <w:sz w:val="24"/>
          <w:highlight w:val="none"/>
          <w:lang w:val="en-US" w:eastAsia="zh-CN"/>
          <w14:textFill>
            <w14:solidFill>
              <w14:schemeClr w14:val="tx1"/>
            </w14:solidFill>
          </w14:textFill>
        </w:rPr>
        <w:t>4.2.7.合格供应商的声明函.</w:t>
      </w:r>
    </w:p>
    <w:p w14:paraId="1BAD1691">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5.勘察现场</w:t>
      </w:r>
    </w:p>
    <w:p w14:paraId="23377DD6">
      <w:pPr>
        <w:spacing w:line="360" w:lineRule="auto"/>
        <w:ind w:firstLine="550"/>
        <w:rPr>
          <w:rFonts w:hint="eastAsia" w:ascii="宋体" w:hAnsi="宋体" w:eastAsia="宋体" w:cs="宋体"/>
          <w:color w:val="000000" w:themeColor="text1"/>
          <w:kern w:val="0"/>
          <w:sz w:val="24"/>
          <w:highlight w:val="none"/>
          <w:lang w:val="zh-CN"/>
          <w14:textFill>
            <w14:solidFill>
              <w14:schemeClr w14:val="tx1"/>
            </w14:solidFill>
          </w14:textFill>
        </w:rPr>
      </w:pPr>
      <w:r>
        <w:rPr>
          <w:rFonts w:hint="eastAsia" w:ascii="宋体" w:hAnsi="宋体" w:cs="宋体"/>
          <w:color w:val="000000"/>
          <w:sz w:val="24"/>
          <w:highlight w:val="none"/>
        </w:rPr>
        <w:t>5.1是否要求</w:t>
      </w:r>
      <w:r>
        <w:rPr>
          <w:rFonts w:hint="eastAsia" w:ascii="宋体" w:hAnsi="宋体" w:cs="宋体"/>
          <w:color w:val="000000"/>
          <w:sz w:val="24"/>
          <w:highlight w:val="none"/>
          <w:lang w:val="zh-CN"/>
        </w:rPr>
        <w:t>现场进行实地勘察：</w:t>
      </w:r>
      <w:r>
        <w:rPr>
          <w:rFonts w:hint="eastAsia" w:ascii="宋体" w:hAnsi="宋体" w:cs="宋体"/>
          <w:color w:val="000000"/>
          <w:sz w:val="24"/>
          <w:highlight w:val="none"/>
        </w:rPr>
        <w:t>否；</w:t>
      </w:r>
    </w:p>
    <w:p w14:paraId="7D7C8FB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69059B2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774BF165">
      <w:pPr>
        <w:spacing w:line="360" w:lineRule="auto"/>
        <w:ind w:firstLine="55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6.知识产权</w:t>
      </w:r>
    </w:p>
    <w:p w14:paraId="71894749">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w:t>
      </w:r>
      <w:r>
        <w:rPr>
          <w:rFonts w:hint="eastAsia" w:ascii="宋体" w:hAnsi="宋体" w:cs="宋体"/>
          <w:bCs/>
          <w:color w:val="000000" w:themeColor="text1"/>
          <w:sz w:val="24"/>
          <w:highlight w:val="none"/>
          <w14:textFill>
            <w14:solidFill>
              <w14:schemeClr w14:val="tx1"/>
            </w14:solidFill>
          </w14:textFill>
        </w:rPr>
        <w:t>投标人另须书面承诺，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7577255D">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3547C6A6">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7.纪律与保密</w:t>
      </w:r>
    </w:p>
    <w:p w14:paraId="102E2C6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7.1投标人的投标行为应遵守中国的有关法律、法规和规章。</w:t>
      </w:r>
    </w:p>
    <w:p w14:paraId="131AFA42">
      <w:pPr>
        <w:spacing w:line="360" w:lineRule="auto"/>
        <w:ind w:firstLine="549"/>
        <w:rPr>
          <w:rFonts w:hint="default"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7.2投标人不得相互串通投标报价，不得妨碍其他投标人的公平竞争，不得损害采购人或其他投标人的合法权益，投标人不得以向采购人、评委会成员行贿或者采取其他不正当手段谋取中标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color w:val="000000" w:themeColor="text1"/>
          <w:sz w:val="24"/>
          <w:highlight w:val="none"/>
          <w:lang w:eastAsia="zh-CN"/>
          <w14:textFill>
            <w14:solidFill>
              <w14:schemeClr w14:val="tx1"/>
            </w14:solidFill>
          </w14:textFill>
        </w:rPr>
        <w:t>，对上述作出保证并附投标文件中，否则视为不响应招标文件要求。</w:t>
      </w:r>
    </w:p>
    <w:p w14:paraId="0F49BDB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7.2.1有下列情形之一的，属于投标人相互串通投标：</w:t>
      </w:r>
    </w:p>
    <w:p w14:paraId="0186DA6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7.2.1.1投标人之间协商投标报价等投标文件的实质性内容；</w:t>
      </w:r>
    </w:p>
    <w:p w14:paraId="30F365B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7.2.1.2投标人之间约定中标人；</w:t>
      </w:r>
    </w:p>
    <w:p w14:paraId="420B6DF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7.2.1.3投标人之间约定部分投标人放弃投标或者中标；</w:t>
      </w:r>
    </w:p>
    <w:p w14:paraId="5605B1A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7.2.1.4属于同一集团、协会、商会等组织成员的投标人按照该组织要求协同投标；</w:t>
      </w:r>
    </w:p>
    <w:p w14:paraId="71D68A6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7.2.1.5投标人之间为谋取中标或者排斥特定投标人而采取的其他联合行动。</w:t>
      </w:r>
    </w:p>
    <w:p w14:paraId="35AC0FD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 有下列情形之一的，视为投标人相互串通投标：</w:t>
      </w:r>
    </w:p>
    <w:p w14:paraId="0FA2285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7.2.2.1不同投标人的投标文件由同一单位或者个人编制；</w:t>
      </w:r>
    </w:p>
    <w:p w14:paraId="70490EF6">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7.2.2.2不同投标人委托同一单位或者个人办理投标事宜，或提交电子投标文件的网卡地址一致；</w:t>
      </w:r>
    </w:p>
    <w:p w14:paraId="25A8E1D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7.2.2.3不同投标人的投标文件载明的项目管理成员为同一人；</w:t>
      </w:r>
    </w:p>
    <w:p w14:paraId="410620D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7.2.2.4不同投标人的投标文件异常一致或者投标报价呈规律性差异；</w:t>
      </w:r>
    </w:p>
    <w:p w14:paraId="0063C9A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7.2.2.5不同投标人的投标文件相互混装；</w:t>
      </w:r>
    </w:p>
    <w:p w14:paraId="755C4A7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7.2.2.6不同投标人的投标保证金从同一单位或者个人的账户转出。</w:t>
      </w:r>
    </w:p>
    <w:p w14:paraId="1F31740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7.3在确定中标人之前，投标人不得与采购人就投标价格、投标方案等实质性内容进行谈判，也不得私下接触评委会成员。</w:t>
      </w:r>
    </w:p>
    <w:p w14:paraId="1B8BC9F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7.4在确定中标人之前，投标人试图在投标文件审查、澄清、比较和评价时对评委会、采购人和采购中心施加任何影响都可能导致其投标无效。</w:t>
      </w:r>
    </w:p>
    <w:p w14:paraId="60F1BE2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10F38DA0">
      <w:pPr>
        <w:spacing w:line="360" w:lineRule="auto"/>
        <w:ind w:firstLine="549"/>
        <w:rPr>
          <w:rFonts w:hint="eastAsia"/>
          <w:color w:val="000000" w:themeColor="text1"/>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7.6</w:t>
      </w:r>
      <w:r>
        <w:rPr>
          <w:rFonts w:hint="eastAsia" w:ascii="宋体" w:hAnsi="宋体" w:cs="宋体"/>
          <w:color w:val="000000" w:themeColor="text1"/>
          <w:sz w:val="24"/>
          <w:highlight w:val="none"/>
          <w14:textFill>
            <w14:solidFill>
              <w14:schemeClr w14:val="tx1"/>
            </w14:solidFill>
          </w14:textFill>
        </w:rPr>
        <w:t>参与采购竞标活动的各方应对投标文件的商业和技术等秘密保密，违者应对由此造成的后果承担法律责任。对上述作出书面保证并附投标文件中，否则视为不响应谈判文件要求。</w:t>
      </w:r>
    </w:p>
    <w:p w14:paraId="5C12C612">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8.联合体投标</w:t>
      </w:r>
    </w:p>
    <w:p w14:paraId="0CD4617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不接受联合体投标</w:t>
      </w:r>
    </w:p>
    <w:p w14:paraId="7B392B9A">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9.投标品牌</w:t>
      </w:r>
    </w:p>
    <w:p w14:paraId="6D5A3A2B">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C0FA958">
      <w:pPr>
        <w:spacing w:line="360" w:lineRule="auto"/>
        <w:ind w:firstLine="525"/>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10.投标专用章的效力</w:t>
      </w:r>
    </w:p>
    <w:p w14:paraId="573787EC">
      <w:pPr>
        <w:spacing w:line="360" w:lineRule="auto"/>
        <w:ind w:firstLine="52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10.1招标文件中明确要求加盖电子签章的，投标人必须加盖投标人电子签章。</w:t>
      </w:r>
    </w:p>
    <w:p w14:paraId="7788A84A">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11.合同标的转让</w:t>
      </w:r>
    </w:p>
    <w:p w14:paraId="311A4AB1">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11.1合同未约定或者未经采购人同意，中标人不得向他人转让中标项目，也不得将中标项目肢解后分别向他人转让。 </w:t>
      </w:r>
    </w:p>
    <w:p w14:paraId="7CF844F1">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C0B177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11.3中标人应当就分包项目向采购人负责，接受分包的人就分包项目承担连带责任。</w:t>
      </w:r>
    </w:p>
    <w:p w14:paraId="5B29EB97">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11.4未经政府采购管理部门批准，进口设备不得转包。</w:t>
      </w:r>
    </w:p>
    <w:p w14:paraId="50672F75">
      <w:pPr>
        <w:spacing w:line="360" w:lineRule="auto"/>
        <w:ind w:firstLine="525"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12.会员信息库</w:t>
      </w:r>
    </w:p>
    <w:p w14:paraId="2D723CE1">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C08FDE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7E1AF4A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为确保投标文件通过评审，投标人应及时对入库资料进行补充、更新。</w:t>
      </w:r>
    </w:p>
    <w:p w14:paraId="179C795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如因前款原因未通过本项目评委会评审，由投标人承担全部责任。</w:t>
      </w:r>
    </w:p>
    <w:p w14:paraId="3A6E444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12.3网上会员库中文字资料与扫描件资料不一致时，以扫描件资料为准。</w:t>
      </w:r>
    </w:p>
    <w:p w14:paraId="77D2285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12.4有关会员库的更多信息，请登陆周口市公共资源交易中心网查询。</w:t>
      </w:r>
    </w:p>
    <w:p w14:paraId="1DD11626">
      <w:pPr>
        <w:spacing w:line="360" w:lineRule="auto"/>
        <w:ind w:firstLine="55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13.采购信息的发布</w:t>
      </w:r>
    </w:p>
    <w:p w14:paraId="1AFD010C">
      <w:pPr>
        <w:spacing w:line="360" w:lineRule="auto"/>
        <w:ind w:firstLine="5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13.1与本次采购活动相关的信息，将发布在周口市公共资源交易中心网(</w:t>
      </w:r>
      <w:r>
        <w:rPr>
          <w:rFonts w:hint="eastAsia" w:ascii="宋体" w:hAnsi="宋体" w:eastAsia="宋体" w:cs="宋体"/>
          <w:color w:val="000000" w:themeColor="text1"/>
          <w:sz w:val="24"/>
          <w:highlight w:val="none"/>
          <w14:textFill>
            <w14:solidFill>
              <w14:schemeClr w14:val="tx1"/>
            </w14:solidFill>
          </w14:textFill>
        </w:rPr>
        <w:fldChar w:fldCharType="begin"/>
      </w:r>
      <w:r>
        <w:rPr>
          <w:rFonts w:hint="eastAsia" w:ascii="宋体" w:hAnsi="宋体" w:eastAsia="宋体" w:cs="宋体"/>
          <w:color w:val="000000" w:themeColor="text1"/>
          <w:sz w:val="24"/>
          <w:highlight w:val="none"/>
          <w14:textFill>
            <w14:solidFill>
              <w14:schemeClr w14:val="tx1"/>
            </w14:solidFill>
          </w14:textFill>
        </w:rPr>
        <w:instrText xml:space="preserve"> HYPERLINK "http://jyzx.zhoukou.gov.cn" </w:instrText>
      </w:r>
      <w:r>
        <w:rPr>
          <w:rFonts w:hint="eastAsia" w:ascii="宋体" w:hAnsi="宋体" w:eastAsia="宋体" w:cs="宋体"/>
          <w:color w:val="000000" w:themeColor="text1"/>
          <w:sz w:val="24"/>
          <w:highlight w:val="none"/>
          <w14:textFill>
            <w14:solidFill>
              <w14:schemeClr w14:val="tx1"/>
            </w14:solidFill>
          </w14:textFill>
        </w:rPr>
        <w:fldChar w:fldCharType="separate"/>
      </w:r>
      <w:r>
        <w:rPr>
          <w:rFonts w:hint="eastAsia" w:ascii="宋体" w:hAnsi="宋体" w:eastAsia="宋体" w:cs="宋体"/>
          <w:color w:val="000000" w:themeColor="text1"/>
          <w:sz w:val="24"/>
          <w:highlight w:val="none"/>
          <w14:textFill>
            <w14:solidFill>
              <w14:schemeClr w14:val="tx1"/>
            </w14:solidFill>
          </w14:textFill>
        </w:rPr>
        <w:t>http://jyzx.zhoukou.gov.cn</w:t>
      </w:r>
      <w:r>
        <w:rPr>
          <w:rFonts w:hint="eastAsia" w:ascii="宋体" w:hAnsi="宋体" w:eastAsia="宋体" w:cs="宋体"/>
          <w:color w:val="000000" w:themeColor="text1"/>
          <w:sz w:val="24"/>
          <w:highlight w:val="none"/>
          <w14:textFill>
            <w14:solidFill>
              <w14:schemeClr w14:val="tx1"/>
            </w14:solidFill>
          </w14:textFill>
        </w:rPr>
        <w:fldChar w:fldCharType="end"/>
      </w:r>
      <w:r>
        <w:rPr>
          <w:rFonts w:hint="eastAsia" w:ascii="宋体" w:hAnsi="宋体" w:eastAsia="宋体" w:cs="宋体"/>
          <w:color w:val="000000" w:themeColor="text1"/>
          <w:sz w:val="24"/>
          <w:highlight w:val="none"/>
          <w14:textFill>
            <w14:solidFill>
              <w14:schemeClr w14:val="tx1"/>
            </w14:solidFill>
          </w14:textFill>
        </w:rPr>
        <w:t>)及河南省政府采购网（www.hngp.gov.cn），以下简称“网站”。</w:t>
      </w:r>
    </w:p>
    <w:p w14:paraId="5B84539D">
      <w:pPr>
        <w:pStyle w:val="4"/>
        <w:spacing w:line="360" w:lineRule="auto"/>
        <w:ind w:firstLine="3418" w:firstLineChars="1216"/>
        <w:jc w:val="both"/>
        <w:rPr>
          <w:rFonts w:hint="eastAsia" w:hAnsi="宋体" w:cs="宋体"/>
          <w:color w:val="000000" w:themeColor="text1"/>
          <w:sz w:val="28"/>
          <w:highlight w:val="none"/>
          <w14:textFill>
            <w14:solidFill>
              <w14:schemeClr w14:val="tx1"/>
            </w14:solidFill>
          </w14:textFill>
        </w:rPr>
      </w:pPr>
      <w:bookmarkStart w:id="71" w:name="_Hlt509650961"/>
      <w:bookmarkEnd w:id="71"/>
      <w:bookmarkStart w:id="72" w:name="_Hlt509650936"/>
      <w:bookmarkEnd w:id="72"/>
      <w:bookmarkStart w:id="73" w:name="_Hlt509650929"/>
      <w:bookmarkEnd w:id="73"/>
      <w:bookmarkStart w:id="74" w:name="_Hlt509649330"/>
      <w:bookmarkEnd w:id="74"/>
      <w:bookmarkStart w:id="75" w:name="_Hlt509650116"/>
      <w:bookmarkEnd w:id="75"/>
      <w:bookmarkStart w:id="76" w:name="_Hlt509650103"/>
      <w:bookmarkEnd w:id="76"/>
      <w:bookmarkStart w:id="77" w:name="_Hlt509649669"/>
      <w:bookmarkEnd w:id="77"/>
      <w:bookmarkStart w:id="78" w:name="_Hlt509650690"/>
      <w:bookmarkEnd w:id="78"/>
      <w:bookmarkStart w:id="79" w:name="_Hlt509649645"/>
      <w:bookmarkEnd w:id="79"/>
      <w:bookmarkStart w:id="80" w:name="_Hlt509650333"/>
      <w:bookmarkEnd w:id="80"/>
      <w:bookmarkStart w:id="81" w:name="_Hlt509649795"/>
      <w:bookmarkEnd w:id="81"/>
      <w:bookmarkStart w:id="82" w:name="_Hlt526418153"/>
      <w:bookmarkEnd w:id="82"/>
      <w:bookmarkStart w:id="83" w:name="_Hlt509650932"/>
      <w:bookmarkEnd w:id="83"/>
      <w:bookmarkStart w:id="84" w:name="_Hlt509649678"/>
      <w:bookmarkEnd w:id="84"/>
      <w:bookmarkStart w:id="85" w:name="_Toc40975443"/>
      <w:bookmarkStart w:id="86" w:name="_Toc527725923"/>
      <w:r>
        <w:rPr>
          <w:rFonts w:hint="eastAsia" w:hAnsi="宋体" w:cs="宋体"/>
          <w:color w:val="000000" w:themeColor="text1"/>
          <w:sz w:val="28"/>
          <w:highlight w:val="none"/>
          <w14:textFill>
            <w14:solidFill>
              <w14:schemeClr w14:val="tx1"/>
            </w14:solidFill>
          </w14:textFill>
        </w:rPr>
        <w:t>二．招标文件</w:t>
      </w:r>
      <w:bookmarkEnd w:id="85"/>
      <w:bookmarkEnd w:id="86"/>
      <w:bookmarkStart w:id="87" w:name="_Hlt509649930"/>
      <w:bookmarkEnd w:id="87"/>
      <w:bookmarkStart w:id="88" w:name="_Hlt509649791"/>
      <w:bookmarkEnd w:id="88"/>
      <w:bookmarkStart w:id="89" w:name="_Hlt509650361"/>
      <w:bookmarkEnd w:id="89"/>
    </w:p>
    <w:p w14:paraId="324C2F1A">
      <w:pPr>
        <w:spacing w:line="360" w:lineRule="auto"/>
        <w:ind w:firstLine="549"/>
        <w:rPr>
          <w:rFonts w:hint="eastAsia" w:ascii="宋体" w:hAnsi="宋体" w:cs="宋体"/>
          <w:b/>
          <w:color w:val="000000" w:themeColor="text1"/>
          <w:sz w:val="24"/>
          <w:highlight w:val="none"/>
          <w14:textFill>
            <w14:solidFill>
              <w14:schemeClr w14:val="tx1"/>
            </w14:solidFill>
          </w14:textFill>
        </w:rPr>
      </w:pPr>
      <w:bookmarkStart w:id="90" w:name="_Hlt509650734"/>
      <w:bookmarkEnd w:id="90"/>
      <w:r>
        <w:rPr>
          <w:rFonts w:hint="eastAsia" w:ascii="宋体" w:hAnsi="宋体" w:cs="宋体"/>
          <w:b/>
          <w:color w:val="000000" w:themeColor="text1"/>
          <w:sz w:val="24"/>
          <w:highlight w:val="none"/>
          <w14:textFill>
            <w14:solidFill>
              <w14:schemeClr w14:val="tx1"/>
            </w14:solidFill>
          </w14:textFill>
        </w:rPr>
        <w:t>14.招标文件构成</w:t>
      </w:r>
    </w:p>
    <w:p w14:paraId="179BFE0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14.1招标文件包括以下部分：</w:t>
      </w:r>
    </w:p>
    <w:p w14:paraId="5BD68D3B">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14.1.1第一章：</w:t>
      </w:r>
      <w:r>
        <w:rPr>
          <w:rFonts w:hint="eastAsia" w:ascii="宋体" w:hAnsi="宋体" w:cs="宋体"/>
          <w:bCs/>
          <w:color w:val="000000" w:themeColor="text1"/>
          <w:sz w:val="24"/>
          <w:highlight w:val="none"/>
          <w14:textFill>
            <w14:solidFill>
              <w14:schemeClr w14:val="tx1"/>
            </w14:solidFill>
          </w14:textFill>
        </w:rPr>
        <w:t>投标邀请（招标公告）；</w:t>
      </w:r>
    </w:p>
    <w:p w14:paraId="66505B6B">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14.1.2第二章：</w:t>
      </w:r>
      <w:bookmarkStart w:id="91" w:name="_Hlt509650925"/>
      <w:bookmarkEnd w:id="91"/>
      <w:r>
        <w:rPr>
          <w:rFonts w:hint="eastAsia" w:ascii="宋体" w:hAnsi="宋体" w:cs="宋体"/>
          <w:bCs/>
          <w:color w:val="000000" w:themeColor="text1"/>
          <w:sz w:val="24"/>
          <w:highlight w:val="none"/>
          <w14:textFill>
            <w14:solidFill>
              <w14:schemeClr w14:val="tx1"/>
            </w14:solidFill>
          </w14:textFill>
        </w:rPr>
        <w:t>投标人须知前附表；</w:t>
      </w:r>
    </w:p>
    <w:p w14:paraId="5501E04E">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14.1.3第三章：</w:t>
      </w:r>
      <w:r>
        <w:rPr>
          <w:rFonts w:hint="eastAsia" w:ascii="宋体" w:hAnsi="宋体" w:cs="宋体"/>
          <w:bCs/>
          <w:color w:val="000000" w:themeColor="text1"/>
          <w:sz w:val="24"/>
          <w:highlight w:val="none"/>
          <w14:textFill>
            <w14:solidFill>
              <w14:schemeClr w14:val="tx1"/>
            </w14:solidFill>
          </w14:textFill>
        </w:rPr>
        <w:t>货物需求一览表；</w:t>
      </w:r>
    </w:p>
    <w:p w14:paraId="6F8EB45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14.1.4第四章：</w:t>
      </w:r>
      <w:r>
        <w:rPr>
          <w:rFonts w:hint="eastAsia" w:ascii="宋体" w:hAnsi="宋体" w:cs="宋体"/>
          <w:bCs/>
          <w:color w:val="000000" w:themeColor="text1"/>
          <w:sz w:val="24"/>
          <w:highlight w:val="none"/>
          <w14:textFill>
            <w14:solidFill>
              <w14:schemeClr w14:val="tx1"/>
            </w14:solidFill>
          </w14:textFill>
        </w:rPr>
        <w:t>评标办法；</w:t>
      </w:r>
    </w:p>
    <w:p w14:paraId="2BBA2332">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14.1.5第五章：</w:t>
      </w:r>
      <w:r>
        <w:rPr>
          <w:rFonts w:hint="eastAsia" w:ascii="宋体" w:hAnsi="宋体" w:cs="宋体"/>
          <w:bCs/>
          <w:color w:val="000000" w:themeColor="text1"/>
          <w:sz w:val="24"/>
          <w:highlight w:val="none"/>
          <w14:textFill>
            <w14:solidFill>
              <w14:schemeClr w14:val="tx1"/>
            </w14:solidFill>
          </w14:textFill>
        </w:rPr>
        <w:t>投标人须知；</w:t>
      </w:r>
    </w:p>
    <w:p w14:paraId="6860FFF2">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14.1.6第六章：</w:t>
      </w:r>
      <w:r>
        <w:rPr>
          <w:rFonts w:hint="eastAsia" w:ascii="宋体" w:hAnsi="宋体" w:cs="宋体"/>
          <w:bCs/>
          <w:color w:val="000000" w:themeColor="text1"/>
          <w:sz w:val="24"/>
          <w:highlight w:val="none"/>
          <w14:textFill>
            <w14:solidFill>
              <w14:schemeClr w14:val="tx1"/>
            </w14:solidFill>
          </w14:textFill>
        </w:rPr>
        <w:t>采购合同；</w:t>
      </w:r>
    </w:p>
    <w:p w14:paraId="1BC4DD32">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14.1.7第七章：</w:t>
      </w:r>
      <w:r>
        <w:rPr>
          <w:rFonts w:hint="eastAsia" w:ascii="宋体" w:hAnsi="宋体" w:cs="宋体"/>
          <w:bCs/>
          <w:color w:val="000000" w:themeColor="text1"/>
          <w:sz w:val="24"/>
          <w:highlight w:val="none"/>
          <w14:textFill>
            <w14:solidFill>
              <w14:schemeClr w14:val="tx1"/>
            </w14:solidFill>
          </w14:textFill>
        </w:rPr>
        <w:t>投标文件格式；</w:t>
      </w:r>
    </w:p>
    <w:p w14:paraId="5FFADD1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14.1.8周口市公共资源交易中心政府采购中心发布的</w:t>
      </w:r>
      <w:r>
        <w:rPr>
          <w:rFonts w:hint="eastAsia" w:ascii="宋体" w:hAnsi="宋体" w:cs="宋体"/>
          <w:color w:val="000000" w:themeColor="text1"/>
          <w:sz w:val="24"/>
          <w:highlight w:val="none"/>
          <w14:textFill>
            <w14:solidFill>
              <w14:schemeClr w14:val="tx1"/>
            </w14:solidFill>
          </w14:textFill>
        </w:rPr>
        <w:t>图纸、答疑、补遗、补充通知等。</w:t>
      </w:r>
    </w:p>
    <w:p w14:paraId="16404B4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 投标人应认真阅读招标文件中所有的事项、格式、条件、条款和规范等要求。</w:t>
      </w:r>
      <w:r>
        <w:rPr>
          <w:rFonts w:hint="eastAsia" w:ascii="宋体" w:hAnsi="宋体"/>
          <w:color w:val="000000" w:themeColor="text1"/>
          <w:sz w:val="24"/>
          <w:highlight w:val="none"/>
          <w14:textFill>
            <w14:solidFill>
              <w14:schemeClr w14:val="tx1"/>
            </w14:solidFill>
          </w14:textFill>
        </w:rPr>
        <w:t>如果有异议在规定的时间内提出，没有异议需做出“无异议”承诺书，承诺书作为响应文件的组织部分，否则为无效响应文件。</w:t>
      </w:r>
    </w:p>
    <w:p w14:paraId="6A0FC4E4">
      <w:pPr>
        <w:pStyle w:val="39"/>
        <w:tabs>
          <w:tab w:val="left" w:pos="819"/>
        </w:tabs>
        <w:adjustRightInd w:val="0"/>
        <w:snapToGrid w:val="0"/>
        <w:spacing w:line="360" w:lineRule="auto"/>
        <w:ind w:left="0" w:leftChars="0"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kern w:val="2"/>
          <w:sz w:val="24"/>
          <w:szCs w:val="20"/>
          <w:highlight w:val="none"/>
          <w:lang w:val="en-US" w:eastAsia="zh-CN" w:bidi="ar-SA"/>
          <w14:textFill>
            <w14:solidFill>
              <w14:schemeClr w14:val="tx1"/>
            </w14:solidFill>
          </w14:textFill>
        </w:rPr>
        <w:t>14.3投标人应当按照招标文件的要求编制投标文件。投标文件应对招标文件提出的要求和条件作出实质性响应。供应商应具备完善的管理制度，并根据制度制定合理可行的服务方案。按文件要求和规定顺序编制投标文件，并保证所提供全部资料的真实性，并在投标文件中附承诺书；供应商提交的资料应证明其满足招标文件要求并在材料上面签署“与原件一致”字样，该文件包括资格材料、文字资料、图纸和数据等详细描述的资料,否则视为不响应招标文件。</w:t>
      </w:r>
    </w:p>
    <w:p w14:paraId="343FF3DC">
      <w:pPr>
        <w:pStyle w:val="39"/>
        <w:tabs>
          <w:tab w:val="left" w:pos="819"/>
        </w:tabs>
        <w:adjustRightInd w:val="0"/>
        <w:snapToGrid w:val="0"/>
        <w:spacing w:line="360" w:lineRule="auto"/>
        <w:ind w:left="420" w:leftChars="200"/>
        <w:jc w:val="both"/>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提出，否则，由此引起的损失由投标人自行承担。</w:t>
      </w:r>
    </w:p>
    <w:p w14:paraId="4F3CB9F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15.招标文件的澄清与修改</w:t>
      </w:r>
    </w:p>
    <w:p w14:paraId="35B6FF5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15.1</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5954901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15.2在投标截止时间前，</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和投标人在投标截止期方面的全部权力、责任和义务，将适用于延长后新的投标截止期。</w:t>
      </w:r>
    </w:p>
    <w:p w14:paraId="01D19B56">
      <w:pPr>
        <w:spacing w:line="360" w:lineRule="auto"/>
        <w:ind w:firstLine="550"/>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15.3特殊情况下，</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发布澄清、更正或更改公告后，可不改变投标截止时间和开标时间。</w:t>
      </w:r>
    </w:p>
    <w:p w14:paraId="0BB87F4D">
      <w:pPr>
        <w:pStyle w:val="4"/>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92" w:name="_Hlt510342861"/>
      <w:bookmarkEnd w:id="92"/>
      <w:bookmarkStart w:id="93" w:name="_Hlt509650697"/>
      <w:bookmarkEnd w:id="93"/>
      <w:bookmarkStart w:id="94" w:name="_Hlt509649724"/>
      <w:bookmarkEnd w:id="94"/>
      <w:bookmarkStart w:id="95" w:name="_Toc527725924"/>
      <w:bookmarkStart w:id="96" w:name="_Toc40975444"/>
      <w:r>
        <w:rPr>
          <w:rFonts w:hint="eastAsia" w:hAnsi="宋体" w:cs="宋体"/>
          <w:color w:val="000000" w:themeColor="text1"/>
          <w:sz w:val="28"/>
          <w:highlight w:val="none"/>
          <w14:textFill>
            <w14:solidFill>
              <w14:schemeClr w14:val="tx1"/>
            </w14:solidFill>
          </w14:textFill>
        </w:rPr>
        <w:t>三．投标文件的编制</w:t>
      </w:r>
      <w:bookmarkEnd w:id="95"/>
      <w:bookmarkEnd w:id="96"/>
    </w:p>
    <w:p w14:paraId="7DB1BA88">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16.投标文件构成与格式</w:t>
      </w:r>
    </w:p>
    <w:p w14:paraId="0CED7E26">
      <w:pPr>
        <w:spacing w:line="360" w:lineRule="auto"/>
        <w:ind w:firstLine="550"/>
        <w:rPr>
          <w:rFonts w:hint="eastAsia" w:ascii="宋体" w:hAnsi="宋体" w:cs="宋体"/>
          <w:color w:val="000000" w:themeColor="text1"/>
          <w:sz w:val="24"/>
          <w:highlight w:val="none"/>
          <w14:textFill>
            <w14:solidFill>
              <w14:schemeClr w14:val="tx1"/>
            </w14:solidFill>
          </w14:textFill>
        </w:rPr>
      </w:pPr>
      <w:bookmarkStart w:id="97" w:name="_Hlt509650345"/>
      <w:bookmarkEnd w:id="97"/>
      <w:r>
        <w:rPr>
          <w:rFonts w:hint="eastAsia" w:ascii="宋体" w:hAnsi="宋体" w:cs="宋体"/>
          <w:color w:val="000000" w:themeColor="text1"/>
          <w:sz w:val="24"/>
          <w:highlight w:val="none"/>
          <w14:textFill>
            <w14:solidFill>
              <w14:schemeClr w14:val="tx1"/>
            </w14:solidFill>
          </w14:textFill>
        </w:rPr>
        <w:t>16.1投标文件是对招标文件的实质性响应及承诺文件。</w:t>
      </w:r>
    </w:p>
    <w:p w14:paraId="140BF704">
      <w:pPr>
        <w:spacing w:line="360" w:lineRule="auto"/>
        <w:ind w:firstLine="5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16.2</w:t>
      </w:r>
      <w:r>
        <w:rPr>
          <w:rFonts w:hint="eastAsia" w:ascii="宋体" w:hAnsi="宋体" w:cs="宋体"/>
          <w:bCs/>
          <w:color w:val="000000" w:themeColor="text1"/>
          <w:sz w:val="24"/>
          <w:highlight w:val="none"/>
          <w14:textFill>
            <w14:solidFill>
              <w14:schemeClr w14:val="tx1"/>
            </w14:solidFill>
          </w14:textFill>
        </w:rPr>
        <w:t>除非注明“投标人可自行制作格式”，投标文件应使用招标文件提供的格式。</w:t>
      </w:r>
    </w:p>
    <w:p w14:paraId="236A7B1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DB87F8C">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16.4除非招标文件另有规定，投标文件应使用中华人民共和国法定计量单位。</w:t>
      </w:r>
    </w:p>
    <w:p w14:paraId="22E2C85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70C71AE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16.6</w:t>
      </w:r>
      <w:r>
        <w:rPr>
          <w:rFonts w:hint="eastAsia" w:ascii="宋体" w:hAnsi="宋体" w:eastAsia="宋体" w:cs="宋体"/>
          <w:color w:val="000000" w:themeColor="text1"/>
          <w:kern w:val="0"/>
          <w:sz w:val="24"/>
          <w:highlight w:val="none"/>
          <w14:textFill>
            <w14:solidFill>
              <w14:schemeClr w14:val="tx1"/>
            </w14:solidFill>
          </w14:textFill>
        </w:rPr>
        <w:t>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p>
    <w:p w14:paraId="2351E349">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16.7电报、电话、传真形式的投标概不接受。</w:t>
      </w:r>
    </w:p>
    <w:p w14:paraId="07F64EA2">
      <w:pPr>
        <w:spacing w:line="360" w:lineRule="auto"/>
        <w:ind w:firstLine="55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16.8法定代表人授权委托书须在法人和被授权人身份证正面签名确认</w:t>
      </w:r>
      <w:r>
        <w:rPr>
          <w:rFonts w:hint="eastAsia" w:ascii="宋体" w:hAnsi="宋体" w:eastAsia="宋体" w:cs="宋体"/>
          <w:color w:val="000000" w:themeColor="text1"/>
          <w:sz w:val="24"/>
          <w:highlight w:val="none"/>
          <w:lang w:eastAsia="zh-CN"/>
          <w14:textFill>
            <w14:solidFill>
              <w14:schemeClr w14:val="tx1"/>
            </w14:solidFill>
          </w14:textFill>
        </w:rPr>
        <w:t>。</w:t>
      </w:r>
    </w:p>
    <w:p w14:paraId="075DAED2">
      <w:pPr>
        <w:spacing w:line="360" w:lineRule="auto"/>
        <w:ind w:firstLine="55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16.</w:t>
      </w:r>
      <w:r>
        <w:rPr>
          <w:rFonts w:hint="eastAsia" w:ascii="宋体" w:hAnsi="宋体" w:cs="宋体"/>
          <w:color w:val="000000" w:themeColor="text1"/>
          <w:kern w:val="2"/>
          <w:sz w:val="24"/>
          <w:highlight w:val="none"/>
          <w:lang w:val="en-US" w:eastAsia="zh-CN" w:bidi="ar-SA"/>
          <w14:textFill>
            <w14:solidFill>
              <w14:schemeClr w14:val="tx1"/>
            </w14:solidFill>
          </w14:textFill>
        </w:rPr>
        <w:t>9</w:t>
      </w: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电子投标文件制作</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p>
    <w:p w14:paraId="7F629F6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17.报价</w:t>
      </w:r>
    </w:p>
    <w:p w14:paraId="0BDB85E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751E87C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6867521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17.3投标人应在投标文件中注明拟提供货物的单价明细和总价。</w:t>
      </w:r>
    </w:p>
    <w:p w14:paraId="7A1154C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17.4除非招标文件另有规定，每一包只允许有一个最终报价，任何有选择的报价或替代方案将导致投标无效。</w:t>
      </w:r>
    </w:p>
    <w:p w14:paraId="693784C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17.5采购人不建议投标人采用总价优惠或以总价百分比优惠的方式进行投标报价，其优惠可直接计算并体现在各项投标报价的单价中。</w:t>
      </w:r>
    </w:p>
    <w:p w14:paraId="29013C8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17.6除政策性文件规定以外，投标人所报价格在合同实施期间不因市场变化因素而变动。</w:t>
      </w:r>
    </w:p>
    <w:p w14:paraId="03E2F7A3">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18.投标内容填写及说明</w:t>
      </w:r>
    </w:p>
    <w:p w14:paraId="3E05EE6B">
      <w:pPr>
        <w:spacing w:line="360" w:lineRule="auto"/>
        <w:ind w:firstLine="549"/>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27D8EE0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18.2投标人应在投标文件中提交招标文件要求的有关证明文件（扫描或影印件上传），作为其投标文件的一部分。</w:t>
      </w:r>
    </w:p>
    <w:p w14:paraId="0107BE9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417AD63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18.3.1货物主要性能（内容）的详细描述；</w:t>
      </w:r>
    </w:p>
    <w:p w14:paraId="3A55A95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18.3.2保证所投货物正常、安全、连续运行期间所需的所有备品、备件及专用工具的详细清单。</w:t>
      </w:r>
    </w:p>
    <w:p w14:paraId="5042902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18.4投标文件应编排有序、内容齐全、不得任意涂改或增删。如有错漏处必须修改，应在修改处加盖投标人电子公章。</w:t>
      </w:r>
    </w:p>
    <w:p w14:paraId="5A6A5A14">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19.投标保证金（免收）</w:t>
      </w:r>
    </w:p>
    <w:p w14:paraId="74C6DD07">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20.投标有效期</w:t>
      </w:r>
    </w:p>
    <w:p w14:paraId="1EF7939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20.1为保证采购人有足够的时间完成评标和与中标人签订合同，规定投标有效期。投标有效期期限见投标人须知前附表。</w:t>
      </w:r>
    </w:p>
    <w:p w14:paraId="3332CB31">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20.2在投标有效期内，投标人的投标保持有效，投标人不得要求撤销或修改其投标文件。</w:t>
      </w:r>
    </w:p>
    <w:p w14:paraId="6F27311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20.3投标有效期从投标截止日起计算。</w:t>
      </w:r>
    </w:p>
    <w:p w14:paraId="4575BD4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20.4在原定投标有效期满之前，如果出现特殊情况，</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5FFEAFD">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21.投标文件份数和签署</w:t>
      </w:r>
    </w:p>
    <w:p w14:paraId="1C5FE4A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 投标人应按照投标人须知前附表的要求准备投标文件。</w:t>
      </w:r>
    </w:p>
    <w:p w14:paraId="2EBFB04D">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21.2投标文件均应依招标文件要求加盖投标人电子签章</w:t>
      </w:r>
      <w:r>
        <w:rPr>
          <w:rFonts w:hint="eastAsia" w:ascii="宋体" w:hAnsi="宋体" w:cs="宋体"/>
          <w:b/>
          <w:color w:val="000000" w:themeColor="text1"/>
          <w:sz w:val="24"/>
          <w:highlight w:val="none"/>
          <w14:textFill>
            <w14:solidFill>
              <w14:schemeClr w14:val="tx1"/>
            </w14:solidFill>
          </w14:textFill>
        </w:rPr>
        <w:t>。</w:t>
      </w:r>
    </w:p>
    <w:p w14:paraId="0B04B856">
      <w:pPr>
        <w:pStyle w:val="4"/>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98" w:name="_Hlt509650572"/>
      <w:bookmarkEnd w:id="98"/>
      <w:bookmarkStart w:id="99" w:name="_Toc527725925"/>
      <w:bookmarkStart w:id="100" w:name="_Toc40975445"/>
      <w:r>
        <w:rPr>
          <w:rFonts w:hint="eastAsia" w:hAnsi="宋体" w:cs="宋体"/>
          <w:color w:val="000000" w:themeColor="text1"/>
          <w:sz w:val="28"/>
          <w:highlight w:val="none"/>
          <w14:textFill>
            <w14:solidFill>
              <w14:schemeClr w14:val="tx1"/>
            </w14:solidFill>
          </w14:textFill>
        </w:rPr>
        <w:t>四．投标文件的递交</w:t>
      </w:r>
      <w:bookmarkEnd w:id="99"/>
      <w:bookmarkEnd w:id="100"/>
      <w:bookmarkStart w:id="101" w:name="_Hlt509649414"/>
      <w:bookmarkEnd w:id="101"/>
    </w:p>
    <w:p w14:paraId="6A47586D">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22.投标文件的密封和标记</w:t>
      </w:r>
    </w:p>
    <w:p w14:paraId="6F24B628">
      <w:pPr>
        <w:spacing w:line="360" w:lineRule="auto"/>
        <w:ind w:firstLine="5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p>
    <w:p w14:paraId="1C7F871D">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23.投标文件的递交 </w:t>
      </w:r>
    </w:p>
    <w:p w14:paraId="68E23D2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23.1投标人应当在招标文件要求提交投标文件的截止时间前网上投标。</w:t>
      </w:r>
    </w:p>
    <w:p w14:paraId="7401C47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将拒绝接收。</w:t>
      </w:r>
    </w:p>
    <w:p w14:paraId="03A8EBE4">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24.投标文件的修改和撤回</w:t>
      </w:r>
    </w:p>
    <w:p w14:paraId="26DCDD9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投标截止日期前，投标人可以修改或撤回其投标文件；在投标截止时间后，投标人不得再要求修改或撤回其投标文件。</w:t>
      </w:r>
    </w:p>
    <w:p w14:paraId="79BF5E71">
      <w:pPr>
        <w:pStyle w:val="4"/>
        <w:spacing w:line="360" w:lineRule="auto"/>
        <w:ind w:firstLine="2996" w:firstLineChars="1066"/>
        <w:jc w:val="both"/>
        <w:rPr>
          <w:rFonts w:hint="eastAsia" w:hAnsi="宋体" w:cs="宋体"/>
          <w:color w:val="000000" w:themeColor="text1"/>
          <w:sz w:val="28"/>
          <w:highlight w:val="none"/>
          <w14:textFill>
            <w14:solidFill>
              <w14:schemeClr w14:val="tx1"/>
            </w14:solidFill>
          </w14:textFill>
        </w:rPr>
      </w:pPr>
      <w:bookmarkStart w:id="102" w:name="_Hlt509649294"/>
      <w:bookmarkEnd w:id="102"/>
      <w:bookmarkStart w:id="103" w:name="_Toc40975446"/>
      <w:bookmarkStart w:id="104" w:name="_Toc527725926"/>
      <w:r>
        <w:rPr>
          <w:rFonts w:hint="eastAsia" w:hAnsi="宋体" w:cs="宋体"/>
          <w:color w:val="000000" w:themeColor="text1"/>
          <w:sz w:val="28"/>
          <w:highlight w:val="none"/>
          <w14:textFill>
            <w14:solidFill>
              <w14:schemeClr w14:val="tx1"/>
            </w14:solidFill>
          </w14:textFill>
        </w:rPr>
        <w:t>五．开标与评标</w:t>
      </w:r>
      <w:bookmarkEnd w:id="103"/>
      <w:bookmarkEnd w:id="104"/>
    </w:p>
    <w:p w14:paraId="4D6EACED">
      <w:pPr>
        <w:snapToGrid w:val="0"/>
        <w:spacing w:line="300" w:lineRule="auto"/>
        <w:ind w:firstLine="550"/>
        <w:rPr>
          <w:rFonts w:hint="eastAsia"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25.开标</w:t>
      </w:r>
    </w:p>
    <w:p w14:paraId="5FE9DE19">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eastAsia="宋体" w:cs="宋体"/>
          <w:color w:val="000000" w:themeColor="text1"/>
          <w:sz w:val="24"/>
          <w:szCs w:val="24"/>
          <w:highlight w:val="none"/>
          <w:lang w:val="en-US" w:eastAsia="zh-CN"/>
          <w14:textFill>
            <w14:solidFill>
              <w14:schemeClr w14:val="tx1"/>
            </w14:solidFill>
          </w14:textFill>
        </w:rPr>
        <w:t>办事指南《</w:t>
      </w:r>
      <w:r>
        <w:rPr>
          <w:rFonts w:hint="eastAsia" w:ascii="宋体" w:hAnsi="宋体" w:eastAsia="宋体" w:cs="宋体"/>
          <w:color w:val="000000" w:themeColor="text1"/>
          <w:sz w:val="24"/>
          <w:szCs w:val="24"/>
          <w:highlight w:val="none"/>
          <w14:textFill>
            <w14:solidFill>
              <w14:schemeClr w14:val="tx1"/>
            </w14:solidFill>
          </w14:textFill>
        </w:rPr>
        <w:t>不见面开标远程在线解密会员端操作手册操作指南</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160BB3CD">
      <w:pPr>
        <w:spacing w:line="360" w:lineRule="auto"/>
        <w:ind w:firstLine="549"/>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25.2开标时，各投标单位应在规定时间内对本单位的投标文件现场解密，项目负责人在监督员或公证员监督下解密所</w:t>
      </w:r>
      <w:r>
        <w:rPr>
          <w:rFonts w:hint="eastAsia" w:ascii="宋体" w:hAnsi="宋体" w:eastAsia="宋体" w:cs="宋体"/>
          <w:bCs/>
          <w:color w:val="000000" w:themeColor="text1"/>
          <w:sz w:val="24"/>
          <w:highlight w:val="none"/>
          <w14:textFill>
            <w14:solidFill>
              <w14:schemeClr w14:val="tx1"/>
            </w14:solidFill>
          </w14:textFill>
        </w:rPr>
        <w:t>有投标文件。在解密投标文件开始时30分钟内进行解密，超时视为放弃递交投标文件。</w:t>
      </w:r>
    </w:p>
    <w:p w14:paraId="3FE8D3EB">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25.3投标资格及投标文件的法律文本将由评审委员会在评标前进行审查。资格不符合招标文件要求和相关法律规定的，投标无效。</w:t>
      </w:r>
    </w:p>
    <w:p w14:paraId="1EE59F71">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1AB2D079">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26.投标文件的澄清、说明或补正</w:t>
      </w:r>
    </w:p>
    <w:p w14:paraId="26341374">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19D5E5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22BC6D7A">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开标一览表内容与投标文件中明细表内容不一致的，以开标一览表为准。</w:t>
      </w:r>
    </w:p>
    <w:p w14:paraId="21B8BF24">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26.4 如同时出现26.2条和26.3条所述的不一致情况，以开标一览表为准。</w:t>
      </w:r>
    </w:p>
    <w:p w14:paraId="6408F5BA">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27.评标</w:t>
      </w:r>
    </w:p>
    <w:p w14:paraId="5980E9DA">
      <w:pPr>
        <w:spacing w:line="360" w:lineRule="auto"/>
        <w:ind w:firstLine="523" w:firstLineChars="218"/>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27.1 评委会将按照招标文件规定的评标办法对投标人独立进行投标评审。投标评审分为符合性审查和综合评分。</w:t>
      </w:r>
    </w:p>
    <w:p w14:paraId="4326DA6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655E80E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有下列情形之一的，评标委员会应当否决其投标：</w:t>
      </w:r>
    </w:p>
    <w:p w14:paraId="1D75E56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27.2.1投标文件未经投标单位电子签章的；</w:t>
      </w:r>
    </w:p>
    <w:p w14:paraId="3491E17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27.2.2投标联合体没有提交共同投标协议；</w:t>
      </w:r>
    </w:p>
    <w:p w14:paraId="13DB70A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27.2.3投标人不符合国家或者招标文件规定的资格条件；</w:t>
      </w:r>
    </w:p>
    <w:p w14:paraId="3F032AC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同一投标人提交两个以上不同的投标文件或者投标报价，但招标文件要求提交备选投标的除外；</w:t>
      </w:r>
    </w:p>
    <w:p w14:paraId="15EF71F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投标报价或者某些分项报价明显不合理或者低于成本，有可能影响商品质量和不能诚信履约；</w:t>
      </w:r>
    </w:p>
    <w:p w14:paraId="6A865D7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投标报价高于招标文件设定的最高投标限价；</w:t>
      </w:r>
    </w:p>
    <w:p w14:paraId="3DF58DD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投标文件没有对招标文件的实质性要求和条件作出响应；</w:t>
      </w:r>
    </w:p>
    <w:p w14:paraId="1C300433">
      <w:pPr>
        <w:pStyle w:val="27"/>
        <w:ind w:firstLine="480" w:firstLineChars="200"/>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27.2.</w:t>
      </w:r>
      <w:r>
        <w:rPr>
          <w:rFonts w:hint="eastAsia" w:ascii="宋体" w:hAnsi="宋体" w:cs="宋体"/>
          <w:color w:val="000000" w:themeColor="text1"/>
          <w:kern w:val="2"/>
          <w:sz w:val="24"/>
          <w:highlight w:val="none"/>
          <w:lang w:val="en-US" w:eastAsia="zh-CN" w:bidi="ar-SA"/>
          <w14:textFill>
            <w14:solidFill>
              <w14:schemeClr w14:val="tx1"/>
            </w14:solidFill>
          </w14:textFill>
        </w:rPr>
        <w:t>8</w:t>
      </w: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中标供应商没有在投标（响应）文件附“廉洁自律承诺书”。</w:t>
      </w:r>
    </w:p>
    <w:p w14:paraId="2E35A4B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cs="宋体"/>
          <w:color w:val="000000" w:themeColor="text1"/>
          <w:sz w:val="24"/>
          <w:highlight w:val="none"/>
          <w14:textFill>
            <w14:solidFill>
              <w14:schemeClr w14:val="tx1"/>
            </w14:solidFill>
          </w14:textFill>
        </w:rPr>
        <w:t>投标人有串通投标、弄虚作假、行贿等违法行为。</w:t>
      </w:r>
    </w:p>
    <w:p w14:paraId="7D036DF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27.3如果投标文件未通过投标符合性审查，投标无效。</w:t>
      </w:r>
    </w:p>
    <w:p w14:paraId="59D9DE0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27.4评委会决定投标文件的响应性及符合性只根据投标文件本身的内容，不寻求其他外部证据。</w:t>
      </w:r>
    </w:p>
    <w:p w14:paraId="28AE043E">
      <w:pPr>
        <w:spacing w:line="360" w:lineRule="auto"/>
        <w:ind w:firstLine="549"/>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w:t>
      </w:r>
      <w:r>
        <w:rPr>
          <w:rFonts w:hint="eastAsia" w:ascii="宋体" w:hAnsi="宋体" w:cs="宋体"/>
          <w:color w:val="000000" w:themeColor="text1"/>
          <w:sz w:val="24"/>
          <w:highlight w:val="none"/>
          <w:lang w:val="en-US" w:eastAsia="zh-CN"/>
          <w14:textFill>
            <w14:solidFill>
              <w14:schemeClr w14:val="tx1"/>
            </w14:solidFill>
          </w14:textFill>
        </w:rPr>
        <w:t>4.1</w:t>
      </w:r>
      <w:r>
        <w:rPr>
          <w:rFonts w:hint="eastAsia" w:ascii="宋体" w:hAnsi="宋体" w:cs="宋体"/>
          <w:color w:val="000000" w:themeColor="text1"/>
          <w:sz w:val="24"/>
          <w:highlight w:val="none"/>
          <w14:textFill>
            <w14:solidFill>
              <w14:schemeClr w14:val="tx1"/>
            </w14:solidFill>
          </w14:textFill>
        </w:rPr>
        <w:t>投标人有串通投标、弄虚作假、行贿等违法行为</w:t>
      </w:r>
      <w:r>
        <w:rPr>
          <w:rFonts w:hint="eastAsia" w:ascii="宋体" w:hAnsi="宋体" w:cs="宋体"/>
          <w:color w:val="000000" w:themeColor="text1"/>
          <w:sz w:val="24"/>
          <w:highlight w:val="none"/>
          <w:lang w:eastAsia="zh-CN"/>
          <w14:textFill>
            <w14:solidFill>
              <w14:schemeClr w14:val="tx1"/>
            </w14:solidFill>
          </w14:textFill>
        </w:rPr>
        <w:t>；</w:t>
      </w:r>
    </w:p>
    <w:p w14:paraId="20DE63F2">
      <w:pPr>
        <w:spacing w:line="360" w:lineRule="auto"/>
        <w:ind w:firstLine="549"/>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27.4.2投标文件未编制目录及索引的；</w:t>
      </w:r>
    </w:p>
    <w:p w14:paraId="5731EE68">
      <w:pPr>
        <w:spacing w:line="360" w:lineRule="auto"/>
        <w:ind w:firstLine="549"/>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27.4.3授权委托书中法定代表人和委托代理人未在身份证扫描件正面签字的；</w:t>
      </w:r>
    </w:p>
    <w:p w14:paraId="33CE5D9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w:t>
      </w:r>
      <w:r>
        <w:rPr>
          <w:rFonts w:hint="eastAsia" w:ascii="宋体" w:hAnsi="宋体" w:cs="宋体"/>
          <w:color w:val="000000" w:themeColor="text1"/>
          <w:sz w:val="24"/>
          <w:highlight w:val="none"/>
          <w:lang w:val="en-US" w:eastAsia="zh-CN"/>
          <w14:textFill>
            <w14:solidFill>
              <w14:schemeClr w14:val="tx1"/>
            </w14:solidFill>
          </w14:textFill>
        </w:rPr>
        <w:t>4.4</w:t>
      </w:r>
      <w:r>
        <w:rPr>
          <w:rFonts w:hint="eastAsia" w:ascii="宋体" w:hAnsi="宋体" w:cs="宋体"/>
          <w:color w:val="000000" w:themeColor="text1"/>
          <w:sz w:val="24"/>
          <w:highlight w:val="none"/>
          <w14:textFill>
            <w14:solidFill>
              <w14:schemeClr w14:val="tx1"/>
            </w14:solidFill>
          </w14:textFill>
        </w:rPr>
        <w:t>如果投标文件未通过投标符合性审查，投标无效。</w:t>
      </w:r>
    </w:p>
    <w:p w14:paraId="2CA9FEB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27.4</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评委会决定投标文件的响应性及符合性只根据投标文件本身的内容，不寻求其他外部证据。</w:t>
      </w:r>
    </w:p>
    <w:p w14:paraId="7F7D7D2E">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28</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废标处理</w:t>
      </w:r>
    </w:p>
    <w:p w14:paraId="3C7B74A2">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28.1在招标采购中，出现下列情形之一的，周口市公共资源交易中心政府采购中心有权宣布废标：</w:t>
      </w:r>
    </w:p>
    <w:p w14:paraId="228CAA3B">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28.1.1符合专业条件的投标人或对招标文件作实质响应的投标人不足三家的；</w:t>
      </w:r>
    </w:p>
    <w:p w14:paraId="46FECA3E">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28.1.2投标人的报价均超过采购预算，采购人不能支付的；</w:t>
      </w:r>
    </w:p>
    <w:p w14:paraId="0042BD0E">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28.1.3出现影响采购公正的违法、违规行为的；</w:t>
      </w:r>
    </w:p>
    <w:p w14:paraId="7DC023C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28.1.4因重大变故，采购任务取消的。</w:t>
      </w:r>
    </w:p>
    <w:p w14:paraId="0C9623C7">
      <w:pPr>
        <w:pStyle w:val="7"/>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eastAsia="宋体"/>
          <w:color w:val="000000" w:themeColor="text1"/>
          <w:sz w:val="24"/>
          <w:highlight w:val="none"/>
          <w:lang w:val="en-US" w:eastAsia="zh-CN"/>
          <w14:textFill>
            <w14:solidFill>
              <w14:schemeClr w14:val="tx1"/>
            </w14:solidFill>
          </w14:textFill>
        </w:rPr>
        <w:t>28.1.5</w:t>
      </w:r>
      <w:r>
        <w:rPr>
          <w:rFonts w:hint="eastAsia" w:ascii="宋体" w:hAnsi="宋体" w:eastAsia="宋体"/>
          <w:color w:val="000000" w:themeColor="text1"/>
          <w:sz w:val="24"/>
          <w:highlight w:val="none"/>
          <w14:textFill>
            <w14:solidFill>
              <w14:schemeClr w14:val="tx1"/>
            </w14:solidFill>
          </w14:textFill>
        </w:rPr>
        <w:t>供应商提交的资料</w:t>
      </w:r>
      <w:r>
        <w:rPr>
          <w:rFonts w:hint="eastAsia" w:ascii="宋体" w:hAnsi="宋体"/>
          <w:color w:val="000000" w:themeColor="text1"/>
          <w:sz w:val="24"/>
          <w:highlight w:val="none"/>
          <w:lang w:eastAsia="zh-CN"/>
          <w14:textFill>
            <w14:solidFill>
              <w14:schemeClr w14:val="tx1"/>
            </w14:solidFill>
          </w14:textFill>
        </w:rPr>
        <w:t>未</w:t>
      </w:r>
      <w:r>
        <w:rPr>
          <w:rFonts w:hint="eastAsia" w:hAnsi="宋体"/>
          <w:color w:val="000000" w:themeColor="text1"/>
          <w:sz w:val="24"/>
          <w:highlight w:val="none"/>
          <w:lang w:eastAsia="zh-CN"/>
          <w14:textFill>
            <w14:solidFill>
              <w14:schemeClr w14:val="tx1"/>
            </w14:solidFill>
          </w14:textFill>
        </w:rPr>
        <w:t>签署</w:t>
      </w:r>
      <w:r>
        <w:rPr>
          <w:rFonts w:hint="eastAsia" w:ascii="宋体" w:hAnsi="宋体" w:eastAsia="宋体"/>
          <w:color w:val="000000" w:themeColor="text1"/>
          <w:sz w:val="24"/>
          <w:highlight w:val="none"/>
          <w14:textFill>
            <w14:solidFill>
              <w14:schemeClr w14:val="tx1"/>
            </w14:solidFill>
          </w14:textFill>
        </w:rPr>
        <w:t>“与原件一致字样”。</w:t>
      </w:r>
    </w:p>
    <w:p w14:paraId="4422B76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废标后，周口市公共资源交易中心政府采购中心会把废标理由通知所有投标人。</w:t>
      </w:r>
    </w:p>
    <w:p w14:paraId="0438297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 因上条第一款、第二款规定情形导致废标的，若采购人提出申请，报经政府采购监督管理部门批准，可现场改为竞争性谈判，投标人有下列情形之一的，不得参加谈判：</w:t>
      </w:r>
    </w:p>
    <w:p w14:paraId="1D44C86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28.2.1放弃参加投标的；</w:t>
      </w:r>
    </w:p>
    <w:p w14:paraId="0B9E124B">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28.2.2未经周口市公共资源交易中心政府采购中心允许，离开开标现场通知不上的；</w:t>
      </w:r>
    </w:p>
    <w:p w14:paraId="46F7ACA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28.2.3不符合招标文件列明的专业条件的；</w:t>
      </w:r>
    </w:p>
    <w:p w14:paraId="1975DFD8">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28.2.4未按规定交纳谈判保证金的；</w:t>
      </w:r>
    </w:p>
    <w:p w14:paraId="337B4F9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28.2.5有影响采购公正的违法、违规行为造成项目废标的；</w:t>
      </w:r>
    </w:p>
    <w:p w14:paraId="2BF106BD">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28.2.6其他不符合竞争性谈判条件的情况。</w:t>
      </w:r>
    </w:p>
    <w:p w14:paraId="3E817AF7">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28.3采购方式现场改为竞争性谈判时，</w:t>
      </w:r>
      <w:r>
        <w:rPr>
          <w:rFonts w:hint="eastAsia" w:ascii="宋体" w:hAnsi="宋体" w:cs="宋体"/>
          <w:color w:val="000000" w:themeColor="text1"/>
          <w:sz w:val="24"/>
          <w:highlight w:val="none"/>
          <w14:textFill>
            <w14:solidFill>
              <w14:schemeClr w14:val="tx1"/>
            </w14:solidFill>
          </w14:textFill>
        </w:rPr>
        <w:t>周口市公共资源交易中心政府采购中心</w:t>
      </w:r>
      <w:r>
        <w:rPr>
          <w:rFonts w:hint="eastAsia" w:ascii="宋体" w:hAnsi="宋体" w:cs="宋体"/>
          <w:color w:val="000000" w:themeColor="text1"/>
          <w:sz w:val="24"/>
          <w:szCs w:val="24"/>
          <w:highlight w:val="none"/>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3391CAF6">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28.3.1谈判时，若投标人未能在评委会指定时间内（原则上不超过60分钟）提交符合要求的补充资料或未作出实质性响应的，投标无效。经过审查符合谈判要求的有效投标人少于两家的，谈判做流标处理。</w:t>
      </w:r>
    </w:p>
    <w:p w14:paraId="1B20ABCA">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28.3.2投标文件的报价视为谈判时的首次报价，未唱标转谈判的，谈判时不公开投标人各轮报价。已经唱标而转谈判的，谈判前公布各参与谈判的投标人首轮报价。</w:t>
      </w:r>
    </w:p>
    <w:p w14:paraId="44218B74">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28.3.3在谈判内容不作实质性变更及重大调整的前提下，投标人次轮报价不得高于上一轮报价。</w:t>
      </w:r>
    </w:p>
    <w:p w14:paraId="1141E261">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29</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二次采购</w:t>
      </w:r>
    </w:p>
    <w:p w14:paraId="27600E4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项目废标后，周口市公共资源交易中心政府采购中心可能发布二次公告（投标邀请），进行二次采购。</w:t>
      </w:r>
    </w:p>
    <w:p w14:paraId="3495DF5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前款所述“二次”，系指项目废标后的重新公告及采购，并不仅限于项目的第二次公告及采购。</w:t>
      </w:r>
    </w:p>
    <w:p w14:paraId="68E10E11">
      <w:pPr>
        <w:pStyle w:val="4"/>
        <w:spacing w:line="360" w:lineRule="auto"/>
        <w:ind w:firstLine="2715" w:firstLineChars="966"/>
        <w:jc w:val="both"/>
        <w:rPr>
          <w:rFonts w:hint="eastAsia" w:hAnsi="宋体" w:cs="宋体"/>
          <w:color w:val="000000" w:themeColor="text1"/>
          <w:sz w:val="28"/>
          <w:highlight w:val="none"/>
          <w14:textFill>
            <w14:solidFill>
              <w14:schemeClr w14:val="tx1"/>
            </w14:solidFill>
          </w14:textFill>
        </w:rPr>
      </w:pPr>
      <w:bookmarkStart w:id="105" w:name="_Toc516969091"/>
      <w:bookmarkStart w:id="106" w:name="_Toc527725927"/>
      <w:bookmarkStart w:id="107" w:name="_Toc40975447"/>
      <w:r>
        <w:rPr>
          <w:rFonts w:hint="eastAsia" w:hAnsi="宋体" w:cs="宋体"/>
          <w:color w:val="000000" w:themeColor="text1"/>
          <w:sz w:val="28"/>
          <w:highlight w:val="none"/>
          <w14:textFill>
            <w14:solidFill>
              <w14:schemeClr w14:val="tx1"/>
            </w14:solidFill>
          </w14:textFill>
        </w:rPr>
        <w:t>六．定标与签订合同</w:t>
      </w:r>
      <w:bookmarkEnd w:id="105"/>
      <w:bookmarkEnd w:id="106"/>
      <w:bookmarkEnd w:id="107"/>
    </w:p>
    <w:p w14:paraId="70901958">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30.定标</w:t>
      </w:r>
    </w:p>
    <w:p w14:paraId="27E4494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30.1 投标符合性审查后，评委会应当按招标文件规定的综合评分办法提出独立评审意见，推荐中标候选人。</w:t>
      </w:r>
    </w:p>
    <w:p w14:paraId="0B3EF0CF">
      <w:pPr>
        <w:pStyle w:val="8"/>
        <w:ind w:right="-21" w:firstLine="540"/>
        <w:rPr>
          <w:rFonts w:hint="eastAsia" w:ascii="宋体" w:hAnsi="宋体" w:eastAsia="宋体" w:cs="宋体"/>
          <w:color w:val="000000" w:themeColor="text1"/>
          <w:kern w:val="2"/>
          <w:szCs w:val="20"/>
          <w:highlight w:val="none"/>
          <w:lang w:val="en-US" w:eastAsia="zh-CN"/>
          <w14:textFill>
            <w14:solidFill>
              <w14:schemeClr w14:val="tx1"/>
            </w14:solidFill>
          </w14:textFill>
        </w:rPr>
      </w:pPr>
      <w:r>
        <w:rPr>
          <w:rFonts w:hint="eastAsia" w:ascii="宋体" w:hAnsi="宋体" w:eastAsia="宋体" w:cs="宋体"/>
          <w:color w:val="000000" w:themeColor="text1"/>
          <w:kern w:val="2"/>
          <w:szCs w:val="20"/>
          <w:highlight w:val="none"/>
          <w:lang w:val="en-US" w:eastAsia="zh-CN"/>
          <w14:textFill>
            <w14:solidFill>
              <w14:schemeClr w14:val="tx1"/>
            </w14:solidFill>
          </w14:textFill>
        </w:rPr>
        <w:t>30.2采购人应当自收到评审报告之日起5个工作日内在评审报告推荐的中标或者成交候选人中按顺序确定中标或者成交供应商。</w:t>
      </w:r>
    </w:p>
    <w:p w14:paraId="79F672E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D0B755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38438A7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30.4原则上把合同授予实质上响应招标文件要求的排名最前的中标候选人或通过上条资格审查的中标候选人。</w:t>
      </w:r>
    </w:p>
    <w:p w14:paraId="2B737596">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30.5 最低报价并不是中标的保证。</w:t>
      </w:r>
    </w:p>
    <w:p w14:paraId="3DFCC78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30.6凡发现中标候选人有下列行为之一的，其中标无效，并移交政府采购监督管理部门依法处理：</w:t>
      </w:r>
    </w:p>
    <w:p w14:paraId="0E454161">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 以他人名义投标、或提供虚假材料弄虚作假谋取中标的；</w:t>
      </w:r>
    </w:p>
    <w:p w14:paraId="4BA72B83">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30.6.1.1以他人名义投标，是指使用通过受让或者租借等方式获取的资格、资质证书投标。</w:t>
      </w:r>
    </w:p>
    <w:p w14:paraId="04E82FA6">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30.6.1.2有投标人有下列情形之一的，属于弄虚作假的行为：</w:t>
      </w:r>
    </w:p>
    <w:p w14:paraId="6510C3C8">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30.6.1.2.1使用伪造、变造的许可证件；</w:t>
      </w:r>
    </w:p>
    <w:p w14:paraId="4454CA8D">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30.6.1.2.2提供虚假的财务状况或者业绩；</w:t>
      </w:r>
    </w:p>
    <w:p w14:paraId="39D4E9EC">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30.6.1.2.3提供虚假的项目负责人或者主要技术人员简历、劳动关系证明；</w:t>
      </w:r>
    </w:p>
    <w:p w14:paraId="71E9CD20">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30.6.1.2.4提供虚假的信用状况；</w:t>
      </w:r>
    </w:p>
    <w:p w14:paraId="03F3FCD6">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30.6.1.2.5其他弄虚作假的行为。</w:t>
      </w:r>
    </w:p>
    <w:p w14:paraId="6C12DDF7">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30.6.2与采购人、其他供应商或者采购代理机构名称工作人员恶意串通的；</w:t>
      </w:r>
    </w:p>
    <w:p w14:paraId="6423FECD">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30.6.3向采购人、评审专家、采购代理机构工作人员行贿或者提供其他不正当利益的；</w:t>
      </w:r>
    </w:p>
    <w:p w14:paraId="13D1341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30.6.4有法律、法规规定的其他损害采购人利益和社会公共利益情形的；</w:t>
      </w:r>
    </w:p>
    <w:p w14:paraId="015A0AB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30.6.5其他违反招投标法律、法规和规章强制性规定的行为。</w:t>
      </w:r>
    </w:p>
    <w:p w14:paraId="1869194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30.7周口市公共资源交易中心政府采购中心将在政府采购相关网站上发布评审结果公告。</w:t>
      </w:r>
    </w:p>
    <w:p w14:paraId="29D9A319">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31.中标通知书</w:t>
      </w:r>
    </w:p>
    <w:p w14:paraId="2BD0FC62">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31.1</w:t>
      </w:r>
      <w:r>
        <w:rPr>
          <w:rFonts w:hint="eastAsia" w:ascii="宋体" w:hAnsi="宋体" w:cs="宋体"/>
          <w:color w:val="000000" w:themeColor="text1"/>
          <w:sz w:val="24"/>
          <w:highlight w:val="none"/>
          <w:lang w:val="en-US" w:eastAsia="zh-CN"/>
          <w14:textFill>
            <w14:solidFill>
              <w14:schemeClr w14:val="tx1"/>
            </w14:solidFill>
          </w14:textFill>
        </w:rPr>
        <w:t>在发出中标公告后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ascii="宋体" w:hAnsi="宋体" w:eastAsia="宋体" w:cs="宋体"/>
          <w:color w:val="000000" w:themeColor="text1"/>
          <w:sz w:val="24"/>
          <w:highlight w:val="none"/>
          <w14:textFill>
            <w14:solidFill>
              <w14:schemeClr w14:val="tx1"/>
            </w14:solidFill>
          </w14:textFill>
        </w:rPr>
        <w:t>中标通知书。</w:t>
      </w:r>
    </w:p>
    <w:p w14:paraId="6E04F14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31.2周口市公共资源交易中心政府采购中心对未中标的投标人不做未中标原因的解释。</w:t>
      </w:r>
    </w:p>
    <w:p w14:paraId="148423A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31.3评审结果确定后，中标人请及时到周口市公共资源交易中心政府采购中心领取中标通知书。</w:t>
      </w:r>
    </w:p>
    <w:p w14:paraId="4179635D">
      <w:pPr>
        <w:spacing w:line="360" w:lineRule="auto"/>
        <w:ind w:firstLine="549"/>
        <w:rPr>
          <w:rFonts w:hint="eastAsia" w:ascii="宋体" w:hAnsi="宋体" w:cs="宋体"/>
          <w:color w:val="000000" w:themeColor="text1"/>
          <w:sz w:val="24"/>
          <w:szCs w:val="22"/>
          <w:highlight w:val="none"/>
          <w14:textFill>
            <w14:solidFill>
              <w14:schemeClr w14:val="tx1"/>
            </w14:solidFill>
          </w14:textFill>
        </w:rPr>
      </w:pPr>
      <w:r>
        <w:rPr>
          <w:rFonts w:hint="eastAsia" w:ascii="宋体" w:hAnsi="宋体" w:cs="宋体"/>
          <w:color w:val="000000" w:themeColor="text1"/>
          <w:sz w:val="24"/>
          <w:szCs w:val="22"/>
          <w:highlight w:val="none"/>
          <w14:textFill>
            <w14:solidFill>
              <w14:schemeClr w14:val="tx1"/>
            </w14:solidFill>
          </w14:textFill>
        </w:rPr>
        <w:t>32.中标服务费</w:t>
      </w:r>
    </w:p>
    <w:p w14:paraId="714D44ED">
      <w:pPr>
        <w:spacing w:line="36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本项目免收中标服务费</w:t>
      </w:r>
    </w:p>
    <w:p w14:paraId="1D8F9B5C">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33.履约保证金</w:t>
      </w:r>
    </w:p>
    <w:p w14:paraId="5EA22291">
      <w:pPr>
        <w:spacing w:line="360" w:lineRule="auto"/>
        <w:ind w:firstLine="549"/>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无</w:t>
      </w:r>
    </w:p>
    <w:p w14:paraId="35D0121C">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34.签订合同</w:t>
      </w:r>
    </w:p>
    <w:p w14:paraId="7761B072">
      <w:pPr>
        <w:pStyle w:val="36"/>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34.1中标人应在中标通知书发出之日起七日历日内（具体时间、地点见中标通知书）与采购人签订合同。招标文件、中标人的投标文件及澄清文件等，均作为合同的附件。</w:t>
      </w:r>
    </w:p>
    <w:p w14:paraId="06D9066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34.2 采购双方必须严格按照招标文件、投标文件及有关承诺签订采购合同，不得擅自变更。招标人和中标人不得再行订立背离合同实质性内容的其他协议。对任何因双方擅自变更合同引起的问题周口市公共资源交易中心政府采购中心概不负责，合同风险由双方自行承担。</w:t>
      </w:r>
    </w:p>
    <w:p w14:paraId="55A4D02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34.3采购人保留以书面形式要求合同的卖方对其所投货物的装运方式、交货地点及服务细则等作适当调整的权利。</w:t>
      </w:r>
    </w:p>
    <w:p w14:paraId="23FB1FC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35.验收</w:t>
      </w:r>
    </w:p>
    <w:p w14:paraId="5EBEFEB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由采购人自行组织对供应商的履约验收。</w:t>
      </w:r>
    </w:p>
    <w:p w14:paraId="1ED15193">
      <w:pPr>
        <w:spacing w:line="360" w:lineRule="auto"/>
        <w:ind w:firstLine="549"/>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36</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质疑</w:t>
      </w:r>
    </w:p>
    <w:p w14:paraId="40E62FF2">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36.1</w:t>
      </w:r>
      <w:r>
        <w:rPr>
          <w:rFonts w:hint="eastAsia" w:ascii="宋体" w:hAnsi="宋体" w:eastAsia="宋体" w:cs="宋体"/>
          <w:bCs/>
          <w:color w:val="000000" w:themeColor="text1"/>
          <w:sz w:val="24"/>
          <w:highlight w:val="none"/>
          <w14:textFill>
            <w14:solidFill>
              <w14:schemeClr w14:val="tx1"/>
            </w14:solidFill>
          </w14:textFill>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417E6277">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36.2质疑书内容应包括质疑的详细理由和依据，并提供有关证明资料。</w:t>
      </w:r>
    </w:p>
    <w:p w14:paraId="1E5D22B8">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 有以下情形之一的，视为无效质疑：</w:t>
      </w:r>
    </w:p>
    <w:p w14:paraId="0899EBFE">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36.3.1 未按规定时间或规定手续提交质疑的；</w:t>
      </w:r>
    </w:p>
    <w:p w14:paraId="6ADFD716">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36.3.2 质疑内容含糊不清、没有提供详细理由和依据，无法进行核查的；</w:t>
      </w:r>
    </w:p>
    <w:p w14:paraId="1A3CE0A0">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36.3.3 其他不符合质疑程序和有关规定的。</w:t>
      </w:r>
    </w:p>
    <w:p w14:paraId="7FDF86E8">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被判定无效质疑的，采购人将书面回复投标单位其质疑无效的理由，并记录无效质疑一次。</w:t>
      </w:r>
    </w:p>
    <w:p w14:paraId="6CC0ED89">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36.4</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将在受到书面质疑后7个工作日内审查质疑事项，作出答复或相关处理决定，并以书面形式通知质疑人，但答复的内容不涉及商业秘密。</w:t>
      </w:r>
    </w:p>
    <w:p w14:paraId="69D3302E">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w:t>
      </w:r>
      <w:r>
        <w:rPr>
          <w:rFonts w:hint="eastAsia" w:ascii="宋体" w:hAnsi="宋体" w:cs="宋体"/>
          <w:bCs/>
          <w:color w:val="000000" w:themeColor="text1"/>
          <w:sz w:val="24"/>
          <w:highlight w:val="none"/>
          <w14:textFill>
            <w14:solidFill>
              <w14:schemeClr w14:val="tx1"/>
            </w14:solidFill>
          </w14:textFill>
        </w:rPr>
        <w:t>投诉人有下列情形之一的，属于虚假、恶意投诉，</w:t>
      </w:r>
      <w:r>
        <w:rPr>
          <w:rFonts w:hint="eastAsia" w:ascii="宋体" w:hAnsi="宋体" w:cs="宋体"/>
          <w:color w:val="000000" w:themeColor="text1"/>
          <w:sz w:val="24"/>
          <w:highlight w:val="none"/>
          <w14:textFill>
            <w14:solidFill>
              <w14:schemeClr w14:val="tx1"/>
            </w14:solidFill>
          </w14:textFill>
        </w:rPr>
        <w:t>政府采购监督管理部门</w:t>
      </w:r>
      <w:r>
        <w:rPr>
          <w:rFonts w:hint="eastAsia" w:ascii="宋体" w:hAnsi="宋体" w:cs="宋体"/>
          <w:bCs/>
          <w:color w:val="000000" w:themeColor="text1"/>
          <w:sz w:val="24"/>
          <w:highlight w:val="none"/>
          <w14:textFill>
            <w14:solidFill>
              <w14:schemeClr w14:val="tx1"/>
            </w14:solidFill>
          </w14:textFill>
        </w:rPr>
        <w:t>将驳回投诉，将其列入不良行为记录名单，并依法予以处罚：</w:t>
      </w:r>
    </w:p>
    <w:p w14:paraId="27A57142">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36.5.1一年内三次以上投诉均查无实据的；</w:t>
      </w:r>
    </w:p>
    <w:p w14:paraId="1F105B62">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36.5.2捏造事实、提供虚假投诉材料或提供以非法手段取得的证明材料质疑的；</w:t>
      </w:r>
    </w:p>
    <w:p w14:paraId="49EC1A57">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36.5.3其他经认定属于虚假、恶意投诉的行为</w:t>
      </w:r>
      <w:r>
        <w:rPr>
          <w:rFonts w:hint="eastAsia" w:ascii="宋体" w:hAnsi="宋体" w:cs="宋体"/>
          <w:bCs/>
          <w:color w:val="000000" w:themeColor="text1"/>
          <w:sz w:val="24"/>
          <w:highlight w:val="none"/>
          <w14:textFill>
            <w14:solidFill>
              <w14:schemeClr w14:val="tx1"/>
            </w14:solidFill>
          </w14:textFill>
        </w:rPr>
        <w:t>。</w:t>
      </w:r>
    </w:p>
    <w:p w14:paraId="51AD4B6F">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37.未尽事宜</w:t>
      </w:r>
    </w:p>
    <w:p w14:paraId="10D2947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37.1按《中华人民共和国政府采购法》及其他有关法律法规的规定执行。</w:t>
      </w:r>
    </w:p>
    <w:p w14:paraId="6C7DE2E6">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38.解释权</w:t>
      </w:r>
    </w:p>
    <w:p w14:paraId="2AB3D519">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38.1本招标文件的解释权属于采购人。</w:t>
      </w:r>
    </w:p>
    <w:p w14:paraId="7291461D">
      <w:pPr>
        <w:spacing w:line="360" w:lineRule="auto"/>
        <w:rPr>
          <w:rFonts w:hint="eastAsia" w:ascii="宋体" w:hAnsi="宋体" w:cs="宋体"/>
          <w:bCs/>
          <w:color w:val="000000" w:themeColor="text1"/>
          <w:sz w:val="24"/>
          <w:highlight w:val="none"/>
          <w14:textFill>
            <w14:solidFill>
              <w14:schemeClr w14:val="tx1"/>
            </w14:solidFill>
          </w14:textFill>
        </w:rPr>
      </w:pPr>
    </w:p>
    <w:p w14:paraId="72AC93FC">
      <w:pPr>
        <w:pStyle w:val="3"/>
        <w:spacing w:before="0" w:after="0" w:line="500" w:lineRule="exact"/>
        <w:ind w:firstLine="0"/>
        <w:rPr>
          <w:rFonts w:hint="eastAsia" w:ascii="方正小标宋简体" w:hAnsi="黑体" w:eastAsia="方正小标宋简体" w:cs="黑体"/>
          <w:b w:val="0"/>
          <w:color w:val="000000" w:themeColor="text1"/>
          <w:sz w:val="28"/>
          <w:szCs w:val="28"/>
          <w:highlight w:val="none"/>
          <w:lang w:val="en-US"/>
          <w14:textFill>
            <w14:solidFill>
              <w14:schemeClr w14:val="tx1"/>
            </w14:solidFill>
          </w14:textFill>
        </w:rPr>
      </w:pPr>
      <w:bookmarkStart w:id="108" w:name="_Toc220232391"/>
      <w:bookmarkStart w:id="109" w:name="_Toc26087_WPSOffice_Level1"/>
      <w:r>
        <w:rPr>
          <w:rFonts w:ascii="宋体" w:hAnsi="宋体" w:eastAsia="宋体" w:cs="宋体"/>
          <w:color w:val="000000" w:themeColor="text1"/>
          <w:highlight w:val="none"/>
          <w14:textFill>
            <w14:solidFill>
              <w14:schemeClr w14:val="tx1"/>
            </w14:solidFill>
          </w14:textFill>
        </w:rPr>
        <w:br w:type="page"/>
      </w:r>
      <w:bookmarkStart w:id="110" w:name="_Toc40975448"/>
      <w:r>
        <w:rPr>
          <w:rFonts w:hint="eastAsia" w:ascii="宋体" w:hAnsi="宋体" w:eastAsia="宋体" w:cs="宋体"/>
          <w:color w:val="000000" w:themeColor="text1"/>
          <w:highlight w:val="none"/>
          <w14:textFill>
            <w14:solidFill>
              <w14:schemeClr w14:val="tx1"/>
            </w14:solidFill>
          </w14:textFill>
        </w:rPr>
        <w:t>第六章</w:t>
      </w:r>
      <w:bookmarkEnd w:id="108"/>
      <w:bookmarkStart w:id="111" w:name="_Toc220232392"/>
      <w:r>
        <w:rPr>
          <w:rFonts w:hint="eastAsia" w:ascii="宋体" w:hAnsi="宋体" w:eastAsia="宋体" w:cs="宋体"/>
          <w:color w:val="000000" w:themeColor="text1"/>
          <w:highlight w:val="none"/>
          <w14:textFill>
            <w14:solidFill>
              <w14:schemeClr w14:val="tx1"/>
            </w14:solidFill>
          </w14:textFill>
        </w:rPr>
        <w:t xml:space="preserve"> </w:t>
      </w:r>
      <w:bookmarkEnd w:id="109"/>
      <w:bookmarkEnd w:id="110"/>
      <w:bookmarkEnd w:id="111"/>
      <w:r>
        <w:rPr>
          <w:rFonts w:hint="eastAsia" w:ascii="方正小标宋简体" w:hAnsi="黑体" w:eastAsia="方正小标宋简体" w:cs="黑体"/>
          <w:b w:val="0"/>
          <w:color w:val="000000" w:themeColor="text1"/>
          <w:w w:val="92"/>
          <w:sz w:val="28"/>
          <w:szCs w:val="28"/>
          <w:highlight w:val="none"/>
          <w:lang w:val="en-US"/>
          <w14:textFill>
            <w14:solidFill>
              <w14:schemeClr w14:val="tx1"/>
            </w14:solidFill>
          </w14:textFill>
        </w:rPr>
        <w:t>周口市</w:t>
      </w:r>
      <w:r>
        <w:rPr>
          <w:rFonts w:hint="eastAsia" w:ascii="方正小标宋简体" w:hAnsi="黑体" w:eastAsia="方正小标宋简体" w:cs="黑体"/>
          <w:b w:val="0"/>
          <w:color w:val="000000" w:themeColor="text1"/>
          <w:sz w:val="28"/>
          <w:szCs w:val="28"/>
          <w:highlight w:val="none"/>
          <w:lang w:val="en-US"/>
          <w14:textFill>
            <w14:solidFill>
              <w14:schemeClr w14:val="tx1"/>
            </w14:solidFill>
          </w14:textFill>
        </w:rPr>
        <w:t>政府采购合同（货物类）标准文本</w:t>
      </w:r>
    </w:p>
    <w:p w14:paraId="44A5C0D3">
      <w:pPr>
        <w:rPr>
          <w:rFonts w:ascii="黑体" w:hAnsi="黑体" w:eastAsia="黑体" w:cs="黑体"/>
          <w:color w:val="000000" w:themeColor="text1"/>
          <w:sz w:val="28"/>
          <w:szCs w:val="28"/>
          <w:highlight w:val="none"/>
          <w:lang w:val="en-US"/>
          <w14:textFill>
            <w14:solidFill>
              <w14:schemeClr w14:val="tx1"/>
            </w14:solidFill>
          </w14:textFill>
        </w:rPr>
      </w:pPr>
    </w:p>
    <w:p w14:paraId="5FC181F1">
      <w:pPr>
        <w:pStyle w:val="33"/>
        <w:spacing w:beforeLines="0" w:afterLines="0"/>
        <w:ind w:left="0"/>
        <w:rPr>
          <w:rFonts w:ascii="黑体" w:hAnsi="黑体" w:eastAsia="黑体" w:cs="黑体"/>
          <w:color w:val="000000" w:themeColor="text1"/>
          <w:sz w:val="32"/>
          <w:szCs w:val="32"/>
          <w:highlight w:val="none"/>
          <w:lang w:val="en-US"/>
          <w14:textFill>
            <w14:solidFill>
              <w14:schemeClr w14:val="tx1"/>
            </w14:solidFill>
          </w14:textFill>
        </w:rPr>
      </w:pPr>
    </w:p>
    <w:p w14:paraId="7AE4A46E">
      <w:pPr>
        <w:pStyle w:val="33"/>
        <w:spacing w:beforeLines="0" w:afterLines="0"/>
        <w:ind w:left="0"/>
        <w:rPr>
          <w:rFonts w:ascii="黑体" w:hAnsi="黑体" w:eastAsia="黑体" w:cs="黑体"/>
          <w:color w:val="000000" w:themeColor="text1"/>
          <w:sz w:val="32"/>
          <w:szCs w:val="32"/>
          <w:highlight w:val="none"/>
          <w:lang w:val="en-US"/>
          <w14:textFill>
            <w14:solidFill>
              <w14:schemeClr w14:val="tx1"/>
            </w14:solidFill>
          </w14:textFill>
        </w:rPr>
      </w:pPr>
    </w:p>
    <w:p w14:paraId="609B5FEB">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2B3B9B88">
      <w:pPr>
        <w:pStyle w:val="3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6C0B73EB">
      <w:pPr>
        <w:pStyle w:val="3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06BAD59D">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26209E2B">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71471BBE">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32C9929D">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政府采购项目名称：</w:t>
      </w:r>
    </w:p>
    <w:p w14:paraId="7298F465">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政府采购项目编号：</w:t>
      </w:r>
    </w:p>
    <w:p w14:paraId="6A92193A">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采      购    人：</w:t>
      </w:r>
    </w:p>
    <w:p w14:paraId="782AD713">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供      应    商：</w:t>
      </w:r>
    </w:p>
    <w:p w14:paraId="6025FC7F">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合  同  签 订 地：</w:t>
      </w:r>
    </w:p>
    <w:p w14:paraId="2C8EB275">
      <w:pPr>
        <w:pStyle w:val="3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30"/>
          <w:szCs w:val="30"/>
          <w:highlight w:val="none"/>
          <w:lang w:val="en-US"/>
          <w14:textFill>
            <w14:solidFill>
              <w14:schemeClr w14:val="tx1"/>
            </w14:solidFill>
          </w14:textFill>
        </w:rPr>
        <w:t>合 同 签订 时 间：</w:t>
      </w:r>
    </w:p>
    <w:p w14:paraId="781B8CA3">
      <w:pPr>
        <w:pStyle w:val="33"/>
        <w:spacing w:beforeLines="0" w:afterLines="0"/>
        <w:ind w:left="0"/>
        <w:rPr>
          <w:rFonts w:hint="eastAsia" w:ascii="黑体" w:hAnsi="黑体" w:eastAsia="黑体" w:cs="黑体"/>
          <w:color w:val="000000" w:themeColor="text1"/>
          <w:sz w:val="30"/>
          <w:szCs w:val="30"/>
          <w:highlight w:val="none"/>
          <w:lang w:val="en-US"/>
          <w14:textFill>
            <w14:solidFill>
              <w14:schemeClr w14:val="tx1"/>
            </w14:solidFill>
          </w14:textFill>
        </w:rPr>
      </w:pPr>
    </w:p>
    <w:p w14:paraId="5CB5536D">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549A38BA">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16353288">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6F60CFF3">
      <w:pPr>
        <w:pStyle w:val="33"/>
        <w:spacing w:beforeLines="0" w:afterLines="0"/>
        <w:ind w:left="0"/>
        <w:rPr>
          <w:rFonts w:ascii="黑体" w:hAnsi="黑体" w:eastAsia="黑体" w:cs="黑体"/>
          <w:color w:val="000000" w:themeColor="text1"/>
          <w:sz w:val="30"/>
          <w:szCs w:val="30"/>
          <w:highlight w:val="none"/>
          <w:lang w:val="en-US"/>
          <w14:textFill>
            <w14:solidFill>
              <w14:schemeClr w14:val="tx1"/>
            </w14:solidFill>
          </w14:textFill>
        </w:rPr>
      </w:pPr>
    </w:p>
    <w:p w14:paraId="343C656F">
      <w:pPr>
        <w:pStyle w:val="33"/>
        <w:spacing w:beforeLines="0" w:afterLines="0"/>
        <w:ind w:left="0"/>
        <w:jc w:val="center"/>
        <w:rPr>
          <w:rFonts w:hint="eastAsia" w:ascii="方正小标宋简体" w:eastAsia="方正小标宋简体"/>
          <w:color w:val="000000" w:themeColor="text1"/>
          <w:sz w:val="32"/>
          <w:szCs w:val="32"/>
          <w:highlight w:val="none"/>
          <w14:textFill>
            <w14:solidFill>
              <w14:schemeClr w14:val="tx1"/>
            </w14:solidFill>
          </w14:textFill>
        </w:rPr>
      </w:pPr>
    </w:p>
    <w:p w14:paraId="28A38B05">
      <w:pPr>
        <w:pStyle w:val="33"/>
        <w:spacing w:beforeLines="0" w:afterLines="0" w:line="46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7A83BD2A">
      <w:pPr>
        <w:pStyle w:val="33"/>
        <w:spacing w:beforeLines="0" w:afterLines="0" w:line="460" w:lineRule="exact"/>
        <w:ind w:left="0" w:firstLine="420" w:firstLineChars="200"/>
        <w:jc w:val="both"/>
        <w:rPr>
          <w:rFonts w:hint="eastAsia"/>
          <w:color w:val="000000" w:themeColor="text1"/>
          <w:sz w:val="21"/>
          <w:szCs w:val="21"/>
          <w:highlight w:val="none"/>
          <w14:textFill>
            <w14:solidFill>
              <w14:schemeClr w14:val="tx1"/>
            </w14:solidFill>
          </w14:textFill>
        </w:rPr>
      </w:pPr>
    </w:p>
    <w:p w14:paraId="69BAD80B">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41859673">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2FDA24CB">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6608EF0C">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3、该政府采购项目评审报告；</w:t>
      </w:r>
    </w:p>
    <w:p w14:paraId="4E98E934">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4、采购单位法人授权委托书（法人到场并签字的除外）；</w:t>
      </w:r>
    </w:p>
    <w:p w14:paraId="615F3796">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5、采购单位被授权人身份证件（法人到场并签字的除外）；</w:t>
      </w:r>
    </w:p>
    <w:p w14:paraId="58121FF0">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6、采购人和中标供应商约定的其它内容（不得超出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63D0BDE3">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19F3987C">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094BCCAF">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2、针对该项目评审时评审委员会提出的质询答复（纸质并签章）；</w:t>
      </w:r>
    </w:p>
    <w:p w14:paraId="4F72736B">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3、该政府采购项目中标通知书；</w:t>
      </w:r>
    </w:p>
    <w:p w14:paraId="0BED676F">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4、供应商法人授权委托书（法人到场并签字的除外）；</w:t>
      </w:r>
    </w:p>
    <w:p w14:paraId="15CD5D07">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5、供应商被授权人身份证件（法人到场并签字的除外）；</w:t>
      </w:r>
    </w:p>
    <w:p w14:paraId="36EE106E">
      <w:pPr>
        <w:pStyle w:val="33"/>
        <w:spacing w:beforeLines="0" w:afterLines="0" w:line="46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6、供应商和采购人约定的其它内容（不得超出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7997C16">
      <w:pPr>
        <w:pStyle w:val="33"/>
        <w:spacing w:beforeLines="0" w:afterLines="0" w:line="46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4A8F9563">
      <w:pPr>
        <w:pStyle w:val="33"/>
        <w:spacing w:beforeLines="0" w:afterLines="0" w:line="460" w:lineRule="exact"/>
        <w:ind w:left="0" w:firstLine="640" w:firstLineChars="200"/>
        <w:jc w:val="center"/>
        <w:rPr>
          <w:rFonts w:hint="eastAsia" w:ascii="方正小标宋简体" w:eastAsia="方正小标宋简体"/>
          <w:bCs/>
          <w:color w:val="000000" w:themeColor="text1"/>
          <w:sz w:val="32"/>
          <w:szCs w:val="32"/>
          <w:highlight w:val="none"/>
          <w14:textFill>
            <w14:solidFill>
              <w14:schemeClr w14:val="tx1"/>
            </w14:solidFill>
          </w14:textFill>
        </w:rPr>
      </w:pPr>
    </w:p>
    <w:p w14:paraId="4585ACF0">
      <w:pPr>
        <w:pStyle w:val="33"/>
        <w:spacing w:beforeLines="0" w:afterLines="0" w:line="460" w:lineRule="exact"/>
        <w:ind w:left="0" w:firstLine="640" w:firstLineChars="20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Cs/>
          <w:color w:val="000000" w:themeColor="text1"/>
          <w:sz w:val="32"/>
          <w:szCs w:val="32"/>
          <w:highlight w:val="none"/>
          <w14:textFill>
            <w14:solidFill>
              <w14:schemeClr w14:val="tx1"/>
            </w14:solidFill>
          </w14:textFill>
        </w:rPr>
        <w:t>供应商履约验收指引</w:t>
      </w:r>
    </w:p>
    <w:p w14:paraId="7ACAD6B2">
      <w:pPr>
        <w:pStyle w:val="33"/>
        <w:numPr>
          <w:ilvl w:val="0"/>
          <w:numId w:val="5"/>
        </w:numPr>
        <w:spacing w:beforeLines="0" w:afterLines="0" w:line="46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供应商不得</w:t>
      </w:r>
      <w:r>
        <w:rPr>
          <w:rFonts w:hint="eastAsia" w:ascii="宋体" w:eastAsia="宋体"/>
          <w:color w:val="000000" w:themeColor="text1"/>
          <w:sz w:val="21"/>
          <w:szCs w:val="21"/>
          <w:highlight w:val="none"/>
          <w14:textFill>
            <w14:solidFill>
              <w14:schemeClr w14:val="tx1"/>
            </w14:solidFill>
          </w14:textFill>
        </w:rPr>
        <w:t>擅自变更合同标的物内容；</w:t>
      </w:r>
    </w:p>
    <w:p w14:paraId="492613BE">
      <w:pPr>
        <w:pStyle w:val="3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不得以次充好、高投低配，确因在合同执行中不可抗力因素造成的，应提供相关依据；</w:t>
      </w:r>
    </w:p>
    <w:p w14:paraId="1BDBADC1">
      <w:pPr>
        <w:pStyle w:val="3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7F19DF8B">
      <w:pPr>
        <w:pStyle w:val="33"/>
        <w:spacing w:beforeLines="0" w:afterLines="0" w:line="46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3596947C">
      <w:pPr>
        <w:pStyle w:val="33"/>
        <w:spacing w:beforeLines="0" w:afterLines="0" w:line="46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供应商应提供需验收物品的清单、参数、使用手册、人员培训情况等资料；</w:t>
      </w:r>
    </w:p>
    <w:p w14:paraId="6CAF8664">
      <w:pPr>
        <w:pStyle w:val="33"/>
        <w:spacing w:beforeLines="0" w:afterLines="0" w:line="46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6、采、供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74F07FA7">
      <w:pPr>
        <w:pStyle w:val="33"/>
        <w:spacing w:beforeLines="0" w:afterLines="0" w:line="46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41C56992">
      <w:pPr>
        <w:rPr>
          <w:rFonts w:hint="eastAsia" w:ascii="方正小标宋简体" w:hAnsi="宋体" w:eastAsia="方正小标宋简体"/>
          <w:b w:val="0"/>
          <w:color w:val="000000" w:themeColor="text1"/>
          <w:highlight w:val="none"/>
          <w14:textFill>
            <w14:solidFill>
              <w14:schemeClr w14:val="tx1"/>
            </w14:solidFill>
          </w14:textFill>
        </w:rPr>
      </w:pPr>
      <w:r>
        <w:rPr>
          <w:rFonts w:hint="eastAsia" w:ascii="方正小标宋简体" w:hAnsi="宋体" w:eastAsia="方正小标宋简体"/>
          <w:b w:val="0"/>
          <w:color w:val="000000" w:themeColor="text1"/>
          <w:highlight w:val="none"/>
          <w14:textFill>
            <w14:solidFill>
              <w14:schemeClr w14:val="tx1"/>
            </w14:solidFill>
          </w14:textFill>
        </w:rPr>
        <w:br w:type="page"/>
      </w:r>
    </w:p>
    <w:p w14:paraId="0A6882EE">
      <w:pPr>
        <w:pStyle w:val="3"/>
        <w:spacing w:before="0" w:after="0" w:line="520" w:lineRule="exact"/>
        <w:ind w:left="0" w:leftChars="0" w:firstLine="0" w:firstLineChars="0"/>
        <w:jc w:val="center"/>
        <w:rPr>
          <w:rFonts w:hint="eastAsia" w:ascii="方正小标宋简体" w:hAnsi="宋体" w:eastAsia="方正小标宋简体"/>
          <w:b w:val="0"/>
          <w:color w:val="000000" w:themeColor="text1"/>
          <w:szCs w:val="36"/>
          <w:highlight w:val="none"/>
          <w14:textFill>
            <w14:solidFill>
              <w14:schemeClr w14:val="tx1"/>
            </w14:solidFill>
          </w14:textFill>
        </w:rPr>
      </w:pPr>
      <w:r>
        <w:rPr>
          <w:rFonts w:hint="eastAsia" w:ascii="方正小标宋简体" w:hAnsi="宋体" w:eastAsia="方正小标宋简体"/>
          <w:b w:val="0"/>
          <w:color w:val="000000" w:themeColor="text1"/>
          <w:highlight w:val="none"/>
          <w14:textFill>
            <w14:solidFill>
              <w14:schemeClr w14:val="tx1"/>
            </w14:solidFill>
          </w14:textFill>
        </w:rPr>
        <w:t>采购合同内容</w:t>
      </w:r>
    </w:p>
    <w:p w14:paraId="097CF194">
      <w:pPr>
        <w:spacing w:line="520" w:lineRule="exact"/>
        <w:ind w:firstLine="420" w:firstLineChars="200"/>
        <w:jc w:val="both"/>
        <w:rPr>
          <w:rFonts w:hint="eastAsia"/>
          <w:color w:val="000000" w:themeColor="text1"/>
          <w:szCs w:val="27"/>
          <w:highlight w:val="none"/>
          <w14:textFill>
            <w14:solidFill>
              <w14:schemeClr w14:val="tx1"/>
            </w14:solidFill>
          </w14:textFill>
        </w:rPr>
      </w:pPr>
    </w:p>
    <w:p w14:paraId="4FE9D08C">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采购人</w:t>
      </w:r>
      <w:r>
        <w:rPr>
          <w:color w:val="000000" w:themeColor="text1"/>
          <w:szCs w:val="27"/>
          <w:highlight w:val="none"/>
          <w14:textFill>
            <w14:solidFill>
              <w14:schemeClr w14:val="tx1"/>
            </w14:solidFill>
          </w14:textFill>
        </w:rPr>
        <w:t>（甲方）：</w:t>
      </w:r>
      <w:r>
        <w:rPr>
          <w:rFonts w:hint="eastAsia"/>
          <w:color w:val="000000" w:themeColor="text1"/>
          <w:szCs w:val="27"/>
          <w:highlight w:val="none"/>
          <w14:textFill>
            <w14:solidFill>
              <w14:schemeClr w14:val="tx1"/>
            </w14:solidFill>
          </w14:textFill>
        </w:rPr>
        <w:t xml:space="preserve"> </w:t>
      </w:r>
    </w:p>
    <w:p w14:paraId="2D68D9CF">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供应商</w:t>
      </w:r>
      <w:r>
        <w:rPr>
          <w:color w:val="000000" w:themeColor="text1"/>
          <w:szCs w:val="27"/>
          <w:highlight w:val="none"/>
          <w14:textFill>
            <w14:solidFill>
              <w14:schemeClr w14:val="tx1"/>
            </w14:solidFill>
          </w14:textFill>
        </w:rPr>
        <w:t>（乙方）</w:t>
      </w:r>
      <w:r>
        <w:rPr>
          <w:rFonts w:hint="eastAsia"/>
          <w:color w:val="000000" w:themeColor="text1"/>
          <w:szCs w:val="27"/>
          <w:highlight w:val="none"/>
          <w14:textFill>
            <w14:solidFill>
              <w14:schemeClr w14:val="tx1"/>
            </w14:solidFill>
          </w14:textFill>
        </w:rPr>
        <w:t>：</w:t>
      </w:r>
    </w:p>
    <w:p w14:paraId="219792BA">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签订地点：</w:t>
      </w:r>
    </w:p>
    <w:p w14:paraId="34BB529B">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项目名称：</w:t>
      </w:r>
    </w:p>
    <w:p w14:paraId="712AB20A">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项目编号：</w:t>
      </w:r>
    </w:p>
    <w:p w14:paraId="4F7ED341">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财政委托号：</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(财政资金项目必须填写)</w:t>
      </w:r>
    </w:p>
    <w:p w14:paraId="5E46B9A2">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本项目经批准采用</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highlight w:val="none"/>
          <w14:textFill>
            <w14:solidFill>
              <w14:schemeClr w14:val="tx1"/>
            </w14:solidFill>
          </w14:textFill>
        </w:rPr>
        <w:t>根据《中华人民共和</w:t>
      </w:r>
      <w:r>
        <w:rPr>
          <w:rFonts w:hint="eastAsia"/>
          <w:color w:val="000000" w:themeColor="text1"/>
          <w:szCs w:val="27"/>
          <w:highlight w:val="none"/>
          <w14:textFill>
            <w14:solidFill>
              <w14:schemeClr w14:val="tx1"/>
            </w14:solidFill>
          </w14:textFill>
        </w:rPr>
        <w:t>国采购法</w:t>
      </w:r>
      <w:r>
        <w:rPr>
          <w:color w:val="000000" w:themeColor="text1"/>
          <w:szCs w:val="27"/>
          <w:highlight w:val="none"/>
          <w14:textFill>
            <w14:solidFill>
              <w14:schemeClr w14:val="tx1"/>
            </w14:solidFill>
          </w14:textFill>
        </w:rPr>
        <w:t>法》</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《中华人民共和国合同法》之规定，经甲乙双方充分协商，特订立</w:t>
      </w:r>
      <w:r>
        <w:rPr>
          <w:rFonts w:hint="eastAsia"/>
          <w:color w:val="000000" w:themeColor="text1"/>
          <w:szCs w:val="27"/>
          <w:highlight w:val="none"/>
          <w14:textFill>
            <w14:solidFill>
              <w14:schemeClr w14:val="tx1"/>
            </w14:solidFill>
          </w14:textFill>
        </w:rPr>
        <w:t>本</w:t>
      </w:r>
      <w:r>
        <w:rPr>
          <w:color w:val="000000" w:themeColor="text1"/>
          <w:szCs w:val="27"/>
          <w:highlight w:val="none"/>
          <w14:textFill>
            <w14:solidFill>
              <w14:schemeClr w14:val="tx1"/>
            </w14:solidFill>
          </w14:textFill>
        </w:rPr>
        <w:t>合同，以便共同遵守。</w:t>
      </w:r>
    </w:p>
    <w:p w14:paraId="15012593">
      <w:pPr>
        <w:spacing w:line="360" w:lineRule="auto"/>
        <w:ind w:firstLine="422" w:firstLineChars="200"/>
        <w:jc w:val="both"/>
        <w:rPr>
          <w:color w:val="000000" w:themeColor="text1"/>
          <w:highlight w:val="none"/>
          <w:u w:val="single"/>
          <w14:textFill>
            <w14:solidFill>
              <w14:schemeClr w14:val="tx1"/>
            </w14:solidFill>
          </w14:textFill>
        </w:rPr>
      </w:pPr>
      <w:r>
        <w:rPr>
          <w:b/>
          <w:bCs/>
          <w:color w:val="000000" w:themeColor="text1"/>
          <w:szCs w:val="27"/>
          <w:highlight w:val="none"/>
          <w14:textFill>
            <w14:solidFill>
              <w14:schemeClr w14:val="tx1"/>
            </w14:solidFill>
          </w14:textFill>
        </w:rPr>
        <w:t>第一条</w:t>
      </w:r>
      <w:r>
        <w:rPr>
          <w:color w:val="000000" w:themeColor="text1"/>
          <w:szCs w:val="27"/>
          <w:highlight w:val="none"/>
          <w14:textFill>
            <w14:solidFill>
              <w14:schemeClr w14:val="tx1"/>
            </w14:solidFill>
          </w14:textFill>
        </w:rPr>
        <w:t> </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产品的名称、品种、规格</w:t>
      </w:r>
      <w:r>
        <w:rPr>
          <w:rFonts w:hint="eastAsia"/>
          <w:color w:val="000000" w:themeColor="text1"/>
          <w:szCs w:val="27"/>
          <w:highlight w:val="none"/>
          <w14:textFill>
            <w14:solidFill>
              <w14:schemeClr w14:val="tx1"/>
            </w14:solidFill>
          </w14:textFill>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1979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533D49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产品名称</w:t>
            </w:r>
          </w:p>
        </w:tc>
        <w:tc>
          <w:tcPr>
            <w:tcW w:w="1623" w:type="dxa"/>
            <w:noWrap w:val="0"/>
            <w:vAlign w:val="top"/>
          </w:tcPr>
          <w:p w14:paraId="341FD725">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规格型号</w:t>
            </w:r>
          </w:p>
        </w:tc>
        <w:tc>
          <w:tcPr>
            <w:tcW w:w="902" w:type="dxa"/>
            <w:noWrap w:val="0"/>
            <w:vAlign w:val="top"/>
          </w:tcPr>
          <w:p w14:paraId="366BBE92">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w:t>
            </w:r>
          </w:p>
        </w:tc>
        <w:tc>
          <w:tcPr>
            <w:tcW w:w="902" w:type="dxa"/>
            <w:noWrap w:val="0"/>
            <w:vAlign w:val="top"/>
          </w:tcPr>
          <w:p w14:paraId="0BC13709">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数量</w:t>
            </w:r>
          </w:p>
        </w:tc>
        <w:tc>
          <w:tcPr>
            <w:tcW w:w="1071" w:type="dxa"/>
            <w:noWrap w:val="0"/>
            <w:vAlign w:val="top"/>
          </w:tcPr>
          <w:p w14:paraId="3799AB7E">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单价</w:t>
            </w:r>
          </w:p>
        </w:tc>
        <w:tc>
          <w:tcPr>
            <w:tcW w:w="1250" w:type="dxa"/>
            <w:noWrap w:val="0"/>
            <w:vAlign w:val="top"/>
          </w:tcPr>
          <w:p w14:paraId="1A06CDD1">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小计</w:t>
            </w:r>
          </w:p>
        </w:tc>
        <w:tc>
          <w:tcPr>
            <w:tcW w:w="1106" w:type="dxa"/>
            <w:noWrap w:val="0"/>
            <w:vAlign w:val="top"/>
          </w:tcPr>
          <w:p w14:paraId="6B376DA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222B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308143">
            <w:pPr>
              <w:spacing w:line="360" w:lineRule="auto"/>
              <w:ind w:firstLine="420" w:firstLineChars="200"/>
              <w:jc w:val="both"/>
              <w:rPr>
                <w:color w:val="000000" w:themeColor="text1"/>
                <w:highlight w:val="none"/>
                <w14:textFill>
                  <w14:solidFill>
                    <w14:schemeClr w14:val="tx1"/>
                  </w14:solidFill>
                </w14:textFill>
              </w:rPr>
            </w:pPr>
          </w:p>
        </w:tc>
        <w:tc>
          <w:tcPr>
            <w:tcW w:w="1623" w:type="dxa"/>
            <w:noWrap w:val="0"/>
            <w:vAlign w:val="top"/>
          </w:tcPr>
          <w:p w14:paraId="531B50CC">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2FE51FCB">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136671F1">
            <w:pPr>
              <w:spacing w:line="360" w:lineRule="auto"/>
              <w:ind w:firstLine="420" w:firstLineChars="200"/>
              <w:jc w:val="both"/>
              <w:rPr>
                <w:color w:val="000000" w:themeColor="text1"/>
                <w:highlight w:val="none"/>
                <w14:textFill>
                  <w14:solidFill>
                    <w14:schemeClr w14:val="tx1"/>
                  </w14:solidFill>
                </w14:textFill>
              </w:rPr>
            </w:pPr>
          </w:p>
        </w:tc>
        <w:tc>
          <w:tcPr>
            <w:tcW w:w="1071" w:type="dxa"/>
            <w:noWrap w:val="0"/>
            <w:vAlign w:val="top"/>
          </w:tcPr>
          <w:p w14:paraId="71900651">
            <w:pPr>
              <w:spacing w:line="360" w:lineRule="auto"/>
              <w:ind w:firstLine="420" w:firstLineChars="200"/>
              <w:jc w:val="both"/>
              <w:rPr>
                <w:color w:val="000000" w:themeColor="text1"/>
                <w:highlight w:val="none"/>
                <w14:textFill>
                  <w14:solidFill>
                    <w14:schemeClr w14:val="tx1"/>
                  </w14:solidFill>
                </w14:textFill>
              </w:rPr>
            </w:pPr>
          </w:p>
        </w:tc>
        <w:tc>
          <w:tcPr>
            <w:tcW w:w="1250" w:type="dxa"/>
            <w:noWrap w:val="0"/>
            <w:vAlign w:val="top"/>
          </w:tcPr>
          <w:p w14:paraId="694DE497">
            <w:pPr>
              <w:spacing w:line="360" w:lineRule="auto"/>
              <w:ind w:firstLine="420" w:firstLineChars="200"/>
              <w:jc w:val="both"/>
              <w:rPr>
                <w:color w:val="000000" w:themeColor="text1"/>
                <w:highlight w:val="none"/>
                <w14:textFill>
                  <w14:solidFill>
                    <w14:schemeClr w14:val="tx1"/>
                  </w14:solidFill>
                </w14:textFill>
              </w:rPr>
            </w:pPr>
          </w:p>
        </w:tc>
        <w:tc>
          <w:tcPr>
            <w:tcW w:w="1106" w:type="dxa"/>
            <w:noWrap w:val="0"/>
            <w:vAlign w:val="top"/>
          </w:tcPr>
          <w:p w14:paraId="22F98801">
            <w:pPr>
              <w:spacing w:line="360" w:lineRule="auto"/>
              <w:ind w:firstLine="420" w:firstLineChars="200"/>
              <w:jc w:val="both"/>
              <w:rPr>
                <w:color w:val="000000" w:themeColor="text1"/>
                <w:highlight w:val="none"/>
                <w14:textFill>
                  <w14:solidFill>
                    <w14:schemeClr w14:val="tx1"/>
                  </w14:solidFill>
                </w14:textFill>
              </w:rPr>
            </w:pPr>
          </w:p>
        </w:tc>
      </w:tr>
      <w:tr w14:paraId="2993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CB20668">
            <w:pPr>
              <w:spacing w:line="360" w:lineRule="auto"/>
              <w:ind w:firstLine="420" w:firstLineChars="200"/>
              <w:jc w:val="both"/>
              <w:rPr>
                <w:color w:val="000000" w:themeColor="text1"/>
                <w:highlight w:val="none"/>
                <w14:textFill>
                  <w14:solidFill>
                    <w14:schemeClr w14:val="tx1"/>
                  </w14:solidFill>
                </w14:textFill>
              </w:rPr>
            </w:pPr>
          </w:p>
        </w:tc>
        <w:tc>
          <w:tcPr>
            <w:tcW w:w="1623" w:type="dxa"/>
            <w:noWrap w:val="0"/>
            <w:vAlign w:val="top"/>
          </w:tcPr>
          <w:p w14:paraId="4B9E2BAB">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0FFE28C5">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68C251BC">
            <w:pPr>
              <w:spacing w:line="360" w:lineRule="auto"/>
              <w:ind w:firstLine="420" w:firstLineChars="200"/>
              <w:jc w:val="both"/>
              <w:rPr>
                <w:color w:val="000000" w:themeColor="text1"/>
                <w:highlight w:val="none"/>
                <w14:textFill>
                  <w14:solidFill>
                    <w14:schemeClr w14:val="tx1"/>
                  </w14:solidFill>
                </w14:textFill>
              </w:rPr>
            </w:pPr>
          </w:p>
        </w:tc>
        <w:tc>
          <w:tcPr>
            <w:tcW w:w="1071" w:type="dxa"/>
            <w:noWrap w:val="0"/>
            <w:vAlign w:val="top"/>
          </w:tcPr>
          <w:p w14:paraId="7DE1B2A9">
            <w:pPr>
              <w:spacing w:line="360" w:lineRule="auto"/>
              <w:ind w:firstLine="420" w:firstLineChars="200"/>
              <w:jc w:val="both"/>
              <w:rPr>
                <w:color w:val="000000" w:themeColor="text1"/>
                <w:highlight w:val="none"/>
                <w14:textFill>
                  <w14:solidFill>
                    <w14:schemeClr w14:val="tx1"/>
                  </w14:solidFill>
                </w14:textFill>
              </w:rPr>
            </w:pPr>
          </w:p>
        </w:tc>
        <w:tc>
          <w:tcPr>
            <w:tcW w:w="1250" w:type="dxa"/>
            <w:noWrap w:val="0"/>
            <w:vAlign w:val="top"/>
          </w:tcPr>
          <w:p w14:paraId="0E571BC0">
            <w:pPr>
              <w:spacing w:line="360" w:lineRule="auto"/>
              <w:ind w:firstLine="420" w:firstLineChars="200"/>
              <w:jc w:val="both"/>
              <w:rPr>
                <w:color w:val="000000" w:themeColor="text1"/>
                <w:highlight w:val="none"/>
                <w14:textFill>
                  <w14:solidFill>
                    <w14:schemeClr w14:val="tx1"/>
                  </w14:solidFill>
                </w14:textFill>
              </w:rPr>
            </w:pPr>
          </w:p>
        </w:tc>
        <w:tc>
          <w:tcPr>
            <w:tcW w:w="1106" w:type="dxa"/>
            <w:noWrap w:val="0"/>
            <w:vAlign w:val="top"/>
          </w:tcPr>
          <w:p w14:paraId="079E9F34">
            <w:pPr>
              <w:spacing w:line="360" w:lineRule="auto"/>
              <w:ind w:firstLine="420" w:firstLineChars="200"/>
              <w:jc w:val="both"/>
              <w:rPr>
                <w:color w:val="000000" w:themeColor="text1"/>
                <w:highlight w:val="none"/>
                <w14:textFill>
                  <w14:solidFill>
                    <w14:schemeClr w14:val="tx1"/>
                  </w14:solidFill>
                </w14:textFill>
              </w:rPr>
            </w:pPr>
          </w:p>
        </w:tc>
      </w:tr>
      <w:tr w14:paraId="798C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06B75FC">
            <w:pPr>
              <w:spacing w:line="360" w:lineRule="auto"/>
              <w:ind w:firstLine="420" w:firstLineChars="200"/>
              <w:jc w:val="both"/>
              <w:rPr>
                <w:color w:val="000000" w:themeColor="text1"/>
                <w:highlight w:val="none"/>
                <w14:textFill>
                  <w14:solidFill>
                    <w14:schemeClr w14:val="tx1"/>
                  </w14:solidFill>
                </w14:textFill>
              </w:rPr>
            </w:pPr>
          </w:p>
        </w:tc>
        <w:tc>
          <w:tcPr>
            <w:tcW w:w="1623" w:type="dxa"/>
            <w:noWrap w:val="0"/>
            <w:vAlign w:val="top"/>
          </w:tcPr>
          <w:p w14:paraId="11160F44">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60359CB4">
            <w:pPr>
              <w:spacing w:line="360" w:lineRule="auto"/>
              <w:ind w:firstLine="420" w:firstLineChars="200"/>
              <w:jc w:val="both"/>
              <w:rPr>
                <w:color w:val="000000" w:themeColor="text1"/>
                <w:highlight w:val="none"/>
                <w14:textFill>
                  <w14:solidFill>
                    <w14:schemeClr w14:val="tx1"/>
                  </w14:solidFill>
                </w14:textFill>
              </w:rPr>
            </w:pPr>
          </w:p>
        </w:tc>
        <w:tc>
          <w:tcPr>
            <w:tcW w:w="902" w:type="dxa"/>
            <w:noWrap w:val="0"/>
            <w:vAlign w:val="top"/>
          </w:tcPr>
          <w:p w14:paraId="047E91E9">
            <w:pPr>
              <w:spacing w:line="360" w:lineRule="auto"/>
              <w:ind w:firstLine="420" w:firstLineChars="200"/>
              <w:jc w:val="both"/>
              <w:rPr>
                <w:color w:val="000000" w:themeColor="text1"/>
                <w:highlight w:val="none"/>
                <w14:textFill>
                  <w14:solidFill>
                    <w14:schemeClr w14:val="tx1"/>
                  </w14:solidFill>
                </w14:textFill>
              </w:rPr>
            </w:pPr>
          </w:p>
        </w:tc>
        <w:tc>
          <w:tcPr>
            <w:tcW w:w="1071" w:type="dxa"/>
            <w:noWrap w:val="0"/>
            <w:vAlign w:val="top"/>
          </w:tcPr>
          <w:p w14:paraId="4613DC04">
            <w:pPr>
              <w:spacing w:line="360" w:lineRule="auto"/>
              <w:ind w:firstLine="420" w:firstLineChars="200"/>
              <w:jc w:val="both"/>
              <w:rPr>
                <w:color w:val="000000" w:themeColor="text1"/>
                <w:highlight w:val="none"/>
                <w14:textFill>
                  <w14:solidFill>
                    <w14:schemeClr w14:val="tx1"/>
                  </w14:solidFill>
                </w14:textFill>
              </w:rPr>
            </w:pPr>
          </w:p>
        </w:tc>
        <w:tc>
          <w:tcPr>
            <w:tcW w:w="1250" w:type="dxa"/>
            <w:noWrap w:val="0"/>
            <w:vAlign w:val="top"/>
          </w:tcPr>
          <w:p w14:paraId="3B0205D3">
            <w:pPr>
              <w:spacing w:line="360" w:lineRule="auto"/>
              <w:ind w:firstLine="420" w:firstLineChars="200"/>
              <w:jc w:val="both"/>
              <w:rPr>
                <w:color w:val="000000" w:themeColor="text1"/>
                <w:highlight w:val="none"/>
                <w14:textFill>
                  <w14:solidFill>
                    <w14:schemeClr w14:val="tx1"/>
                  </w14:solidFill>
                </w14:textFill>
              </w:rPr>
            </w:pPr>
          </w:p>
        </w:tc>
        <w:tc>
          <w:tcPr>
            <w:tcW w:w="1106" w:type="dxa"/>
            <w:noWrap w:val="0"/>
            <w:vAlign w:val="top"/>
          </w:tcPr>
          <w:p w14:paraId="3249293E">
            <w:pPr>
              <w:spacing w:line="360" w:lineRule="auto"/>
              <w:ind w:firstLine="420" w:firstLineChars="200"/>
              <w:jc w:val="both"/>
              <w:rPr>
                <w:color w:val="000000" w:themeColor="text1"/>
                <w:highlight w:val="none"/>
                <w14:textFill>
                  <w14:solidFill>
                    <w14:schemeClr w14:val="tx1"/>
                  </w14:solidFill>
                </w14:textFill>
              </w:rPr>
            </w:pPr>
          </w:p>
        </w:tc>
      </w:tr>
      <w:tr w14:paraId="1380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F719CF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合同总价款（大小写）：</w:t>
            </w:r>
          </w:p>
          <w:p w14:paraId="6CBFC81C">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8"/>
                <w:highlight w:val="none"/>
                <w14:textFill>
                  <w14:solidFill>
                    <w14:schemeClr w14:val="tx1"/>
                  </w14:solidFill>
                </w14:textFill>
              </w:rPr>
              <w:t>备注：上述产品报价含产品生产、运输&lt;送达至甲方指定地点并下货&gt;、安装、调试、检验及售后服务、税金、劳保基金、人员培训等费用。</w:t>
            </w:r>
          </w:p>
        </w:tc>
      </w:tr>
    </w:tbl>
    <w:p w14:paraId="54EFA7EE">
      <w:pPr>
        <w:spacing w:line="360" w:lineRule="auto"/>
        <w:ind w:firstLine="422" w:firstLineChars="200"/>
        <w:jc w:val="both"/>
        <w:rPr>
          <w:color w:val="000000" w:themeColor="text1"/>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第二条  </w:t>
      </w:r>
      <w:r>
        <w:rPr>
          <w:color w:val="000000" w:themeColor="text1"/>
          <w:szCs w:val="27"/>
          <w:highlight w:val="none"/>
          <w14:textFill>
            <w14:solidFill>
              <w14:schemeClr w14:val="tx1"/>
            </w14:solidFill>
          </w14:textFill>
        </w:rPr>
        <w:t>产品的技术标准（包括质量要求），按下列第（ ）项执行：</w:t>
      </w:r>
    </w:p>
    <w:p w14:paraId="382B262E">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①</w:t>
      </w:r>
      <w:r>
        <w:rPr>
          <w:color w:val="000000" w:themeColor="text1"/>
          <w:szCs w:val="27"/>
          <w:highlight w:val="none"/>
          <w14:textFill>
            <w14:solidFill>
              <w14:schemeClr w14:val="tx1"/>
            </w14:solidFill>
          </w14:textFill>
        </w:rPr>
        <w:t>按国家标准执行；</w:t>
      </w:r>
      <w:r>
        <w:rPr>
          <w:rFonts w:hint="eastAsia"/>
          <w:color w:val="000000" w:themeColor="text1"/>
          <w:szCs w:val="27"/>
          <w:highlight w:val="none"/>
          <w14:textFill>
            <w14:solidFill>
              <w14:schemeClr w14:val="tx1"/>
            </w14:solidFill>
          </w14:textFill>
        </w:rPr>
        <w:t>②</w:t>
      </w:r>
      <w:r>
        <w:rPr>
          <w:color w:val="000000" w:themeColor="text1"/>
          <w:szCs w:val="27"/>
          <w:highlight w:val="none"/>
          <w14:textFill>
            <w14:solidFill>
              <w14:schemeClr w14:val="tx1"/>
            </w14:solidFill>
          </w14:textFill>
        </w:rPr>
        <w:t>按部颁标准执行；</w:t>
      </w:r>
      <w:r>
        <w:rPr>
          <w:rFonts w:hint="eastAsia"/>
          <w:color w:val="000000" w:themeColor="text1"/>
          <w:szCs w:val="27"/>
          <w:highlight w:val="none"/>
          <w14:textFill>
            <w14:solidFill>
              <w14:schemeClr w14:val="tx1"/>
            </w14:solidFill>
          </w14:textFill>
        </w:rPr>
        <w:t>③若无以上标准，则应不低于同行业质量标准；④</w:t>
      </w:r>
      <w:r>
        <w:rPr>
          <w:color w:val="000000" w:themeColor="text1"/>
          <w:szCs w:val="27"/>
          <w:highlight w:val="none"/>
          <w14:textFill>
            <w14:solidFill>
              <w14:schemeClr w14:val="tx1"/>
            </w14:solidFill>
          </w14:textFill>
        </w:rPr>
        <w:t>有特殊要求的，按甲乙双方在合同中商定的技术条件、样品或补充的技术要求执行</w:t>
      </w:r>
      <w:r>
        <w:rPr>
          <w:rFonts w:hint="eastAsia"/>
          <w:color w:val="000000" w:themeColor="text1"/>
          <w:szCs w:val="27"/>
          <w:highlight w:val="none"/>
          <w14:textFill>
            <w14:solidFill>
              <w14:schemeClr w14:val="tx1"/>
            </w14:solidFill>
          </w14:textFill>
        </w:rPr>
        <w:t>；</w:t>
      </w:r>
    </w:p>
    <w:p w14:paraId="55DA7D85">
      <w:pPr>
        <w:spacing w:line="360" w:lineRule="auto"/>
        <w:ind w:firstLine="420"/>
        <w:rPr>
          <w:rFonts w:ascii="Times New Roman" w:hAnsi="Times New Roman" w:eastAsia="Times New Roman" w:cs="Times New Roman"/>
          <w:color w:val="000000" w:themeColor="text1"/>
          <w:highlight w:val="none"/>
          <w14:textFill>
            <w14:solidFill>
              <w14:schemeClr w14:val="tx1"/>
            </w14:solidFill>
          </w14:textFill>
        </w:rPr>
      </w:pPr>
      <w:r>
        <w:rPr>
          <w:rFonts w:ascii="宋体" w:hAnsi="宋体" w:eastAsia="宋体" w:cs="宋体"/>
          <w:color w:val="000000" w:themeColor="text1"/>
          <w:highlight w:val="none"/>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40693A39">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进口产品的质量标准为                                             。</w:t>
      </w:r>
    </w:p>
    <w:p w14:paraId="762AF7C3">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乙方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7591E30">
      <w:pPr>
        <w:pStyle w:val="12"/>
        <w:spacing w:line="360" w:lineRule="auto"/>
        <w:ind w:left="0" w:firstLine="482" w:firstLineChars="200"/>
        <w:jc w:val="both"/>
        <w:rPr>
          <w:rFonts w:ascii="宋体" w:hAnsi="宋体" w:eastAsia="宋体"/>
          <w:color w:val="000000" w:themeColor="text1"/>
          <w:sz w:val="24"/>
          <w:highlight w:val="none"/>
          <w14:textFill>
            <w14:solidFill>
              <w14:schemeClr w14:val="tx1"/>
            </w14:solidFill>
          </w14:textFill>
        </w:rPr>
      </w:pPr>
      <w:r>
        <w:rPr>
          <w:rFonts w:hint="eastAsia" w:ascii="宋体" w:hAnsi="宋体" w:eastAsia="宋体"/>
          <w:b/>
          <w:bCs/>
          <w:color w:val="000000" w:themeColor="text1"/>
          <w:sz w:val="24"/>
          <w:highlight w:val="none"/>
          <w14:textFill>
            <w14:solidFill>
              <w14:schemeClr w14:val="tx1"/>
            </w14:solidFill>
          </w14:textFill>
        </w:rPr>
        <w:t>第</w:t>
      </w:r>
      <w:r>
        <w:rPr>
          <w:rFonts w:ascii="宋体" w:hAnsi="宋体" w:eastAsia="宋体"/>
          <w:b/>
          <w:bCs/>
          <w:color w:val="000000" w:themeColor="text1"/>
          <w:sz w:val="24"/>
          <w:highlight w:val="none"/>
          <w14:textFill>
            <w14:solidFill>
              <w14:schemeClr w14:val="tx1"/>
            </w14:solidFill>
          </w14:textFill>
        </w:rPr>
        <w:t>三</w:t>
      </w:r>
      <w:r>
        <w:rPr>
          <w:rFonts w:hint="eastAsia" w:ascii="宋体" w:hAnsi="宋体" w:eastAsia="宋体"/>
          <w:b/>
          <w:bCs/>
          <w:color w:val="000000" w:themeColor="text1"/>
          <w:sz w:val="24"/>
          <w:highlight w:val="none"/>
          <w14:textFill>
            <w14:solidFill>
              <w14:schemeClr w14:val="tx1"/>
            </w14:solidFill>
          </w14:textFill>
        </w:rPr>
        <w:t>条</w:t>
      </w:r>
      <w:r>
        <w:rPr>
          <w:rFonts w:ascii="Times New Roman" w:hAnsi="Times New Roman" w:eastAsia="宋体" w:cs="Times New Roman"/>
          <w:color w:val="000000" w:themeColor="text1"/>
          <w:kern w:val="2"/>
          <w:sz w:val="21"/>
          <w:szCs w:val="27"/>
          <w:highlight w:val="none"/>
          <w:lang w:val="en-US" w:eastAsia="zh-CN" w:bidi="ar-SA"/>
          <w14:textFill>
            <w14:solidFill>
              <w14:schemeClr w14:val="tx1"/>
            </w14:solidFill>
          </w14:textFill>
        </w:rPr>
        <w:t>产品的包装标准和包装物的供应与回收       </w:t>
      </w:r>
      <w:r>
        <w:rPr>
          <w:rFonts w:hint="eastAsia" w:ascii="Times New Roman" w:hAnsi="Times New Roman" w:eastAsia="宋体" w:cs="Times New Roman"/>
          <w:color w:val="000000" w:themeColor="text1"/>
          <w:kern w:val="2"/>
          <w:sz w:val="21"/>
          <w:szCs w:val="27"/>
          <w:highlight w:val="none"/>
          <w:lang w:val="en-US" w:eastAsia="zh-CN" w:bidi="ar-SA"/>
          <w14:textFill>
            <w14:solidFill>
              <w14:schemeClr w14:val="tx1"/>
            </w14:solidFill>
          </w14:textFill>
        </w:rPr>
        <w:t xml:space="preserve">          。</w:t>
      </w:r>
    </w:p>
    <w:p w14:paraId="6F754FA8">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（国家或</w:t>
      </w:r>
      <w:r>
        <w:rPr>
          <w:rFonts w:hint="eastAsia"/>
          <w:color w:val="000000" w:themeColor="text1"/>
          <w:szCs w:val="27"/>
          <w:highlight w:val="none"/>
          <w14:textFill>
            <w14:solidFill>
              <w14:schemeClr w14:val="tx1"/>
            </w14:solidFill>
          </w14:textFill>
        </w:rPr>
        <w:t>行业</w:t>
      </w:r>
      <w:r>
        <w:rPr>
          <w:color w:val="000000" w:themeColor="text1"/>
          <w:szCs w:val="27"/>
          <w:highlight w:val="none"/>
          <w14:textFill>
            <w14:solidFill>
              <w14:schemeClr w14:val="tx1"/>
            </w14:solidFill>
          </w14:textFill>
        </w:rPr>
        <w:t>主管部门有技术规定的，按技术规定执行；国家与</w:t>
      </w:r>
      <w:r>
        <w:rPr>
          <w:rFonts w:hint="eastAsia"/>
          <w:color w:val="000000" w:themeColor="text1"/>
          <w:szCs w:val="27"/>
          <w:highlight w:val="none"/>
          <w14:textFill>
            <w14:solidFill>
              <w14:schemeClr w14:val="tx1"/>
            </w14:solidFill>
          </w14:textFill>
        </w:rPr>
        <w:t>行业</w:t>
      </w:r>
      <w:r>
        <w:rPr>
          <w:color w:val="000000" w:themeColor="text1"/>
          <w:szCs w:val="27"/>
          <w:highlight w:val="none"/>
          <w14:textFill>
            <w14:solidFill>
              <w14:schemeClr w14:val="tx1"/>
            </w14:solidFill>
          </w14:textFill>
        </w:rPr>
        <w:t>主管部门无技术规定的，由甲乙双方商定。）</w:t>
      </w:r>
    </w:p>
    <w:p w14:paraId="4E1423D4">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第四条  </w:t>
      </w:r>
      <w:r>
        <w:rPr>
          <w:color w:val="000000" w:themeColor="text1"/>
          <w:szCs w:val="27"/>
          <w:highlight w:val="none"/>
          <w14:textFill>
            <w14:solidFill>
              <w14:schemeClr w14:val="tx1"/>
            </w14:solidFill>
          </w14:textFill>
        </w:rPr>
        <w:t>产品的交货方法、到货地点</w:t>
      </w:r>
      <w:r>
        <w:rPr>
          <w:rFonts w:hint="eastAsia"/>
          <w:color w:val="000000" w:themeColor="text1"/>
          <w:szCs w:val="27"/>
          <w:highlight w:val="none"/>
          <w14:textFill>
            <w14:solidFill>
              <w14:schemeClr w14:val="tx1"/>
            </w14:solidFill>
          </w14:textFill>
        </w:rPr>
        <w:t>和交货期限</w:t>
      </w:r>
    </w:p>
    <w:p w14:paraId="6E39106D">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交货方法，按下列第（ ）项执行：</w:t>
      </w:r>
    </w:p>
    <w:p w14:paraId="0DE7473E">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①</w:t>
      </w:r>
      <w:r>
        <w:rPr>
          <w:color w:val="000000" w:themeColor="text1"/>
          <w:szCs w:val="27"/>
          <w:highlight w:val="none"/>
          <w14:textFill>
            <w14:solidFill>
              <w14:schemeClr w14:val="tx1"/>
            </w14:solidFill>
          </w14:textFill>
        </w:rPr>
        <w:t>乙方送货</w:t>
      </w:r>
      <w:r>
        <w:rPr>
          <w:rFonts w:hint="eastAsia"/>
          <w:color w:val="000000" w:themeColor="text1"/>
          <w:szCs w:val="27"/>
          <w:highlight w:val="none"/>
          <w14:textFill>
            <w14:solidFill>
              <w14:schemeClr w14:val="tx1"/>
            </w14:solidFill>
          </w14:textFill>
        </w:rPr>
        <w:t>上门；②</w:t>
      </w:r>
      <w:r>
        <w:rPr>
          <w:color w:val="000000" w:themeColor="text1"/>
          <w:szCs w:val="27"/>
          <w:highlight w:val="none"/>
          <w14:textFill>
            <w14:solidFill>
              <w14:schemeClr w14:val="tx1"/>
            </w14:solidFill>
          </w14:textFill>
        </w:rPr>
        <w:t>乙方代运；</w:t>
      </w:r>
      <w:r>
        <w:rPr>
          <w:rFonts w:hint="eastAsia"/>
          <w:color w:val="000000" w:themeColor="text1"/>
          <w:szCs w:val="27"/>
          <w:highlight w:val="none"/>
          <w14:textFill>
            <w14:solidFill>
              <w14:schemeClr w14:val="tx1"/>
            </w14:solidFill>
          </w14:textFill>
        </w:rPr>
        <w:t>③</w:t>
      </w:r>
      <w:r>
        <w:rPr>
          <w:color w:val="000000" w:themeColor="text1"/>
          <w:szCs w:val="27"/>
          <w:highlight w:val="none"/>
          <w14:textFill>
            <w14:solidFill>
              <w14:schemeClr w14:val="tx1"/>
            </w14:solidFill>
          </w14:textFill>
        </w:rPr>
        <w:t>甲方自提自运。</w:t>
      </w:r>
    </w:p>
    <w:p w14:paraId="079DE566">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到货地点</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甲方指定的任何地点，安装并调试.)</w:t>
      </w:r>
    </w:p>
    <w:p w14:paraId="70F164BD">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产品</w:t>
      </w:r>
      <w:r>
        <w:rPr>
          <w:rFonts w:hint="eastAsia"/>
          <w:color w:val="000000" w:themeColor="text1"/>
          <w:szCs w:val="27"/>
          <w:highlight w:val="none"/>
          <w14:textFill>
            <w14:solidFill>
              <w14:schemeClr w14:val="tx1"/>
            </w14:solidFill>
          </w14:textFill>
        </w:rPr>
        <w:t>的交货期限</w:t>
      </w:r>
      <w:r>
        <w:rPr>
          <w:color w:val="000000" w:themeColor="text1"/>
          <w:szCs w:val="27"/>
          <w:highlight w:val="none"/>
          <w:u w:val="single"/>
          <w14:textFill>
            <w14:solidFill>
              <w14:schemeClr w14:val="tx1"/>
            </w14:solidFill>
          </w14:textFill>
        </w:rPr>
        <w:t>                         </w:t>
      </w:r>
      <w:r>
        <w:rPr>
          <w:color w:val="000000" w:themeColor="text1"/>
          <w:szCs w:val="27"/>
          <w:highlight w:val="none"/>
          <w14:textFill>
            <w14:solidFill>
              <w14:schemeClr w14:val="tx1"/>
            </w14:solidFill>
          </w14:textFill>
        </w:rPr>
        <w:t>。</w:t>
      </w:r>
    </w:p>
    <w:p w14:paraId="0847D3CA">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第五条</w:t>
      </w:r>
      <w:r>
        <w:rPr>
          <w:rFonts w:hint="eastAsia"/>
          <w:color w:val="000000" w:themeColor="text1"/>
          <w:szCs w:val="27"/>
          <w:highlight w:val="none"/>
          <w14:textFill>
            <w14:solidFill>
              <w14:schemeClr w14:val="tx1"/>
            </w14:solidFill>
          </w14:textFill>
        </w:rPr>
        <w:t xml:space="preserve">  合同总价款</w:t>
      </w:r>
    </w:p>
    <w:p w14:paraId="493E68EB">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合同总价款（大小写）：</w:t>
      </w:r>
      <w:r>
        <w:rPr>
          <w:rFonts w:hint="eastAsia"/>
          <w:color w:val="000000" w:themeColor="text1"/>
          <w:szCs w:val="27"/>
          <w:highlight w:val="none"/>
          <w:u w:val="single"/>
          <w14:textFill>
            <w14:solidFill>
              <w14:schemeClr w14:val="tx1"/>
            </w14:solidFill>
          </w14:textFill>
        </w:rPr>
        <w:t xml:space="preserve">                        </w:t>
      </w:r>
    </w:p>
    <w:p w14:paraId="13A66AB0">
      <w:pPr>
        <w:numPr>
          <w:ilvl w:val="0"/>
          <w:numId w:val="6"/>
        </w:numPr>
        <w:spacing w:line="360" w:lineRule="auto"/>
        <w:ind w:left="0"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付款条件                  </w:t>
      </w:r>
    </w:p>
    <w:p w14:paraId="70623D1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本合同以人民币付款。</w:t>
      </w:r>
    </w:p>
    <w:p w14:paraId="5DDE2703">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该项目是否实行预付款：</w:t>
      </w:r>
    </w:p>
    <w:p w14:paraId="14D7610A">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实行预付款的条件和比例：</w:t>
      </w:r>
    </w:p>
    <w:p w14:paraId="408FA309">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合同款项结算方式和支付比例：</w:t>
      </w:r>
      <w:r>
        <w:rPr>
          <w:rFonts w:hint="eastAsia"/>
          <w:color w:val="000000" w:themeColor="text1"/>
          <w:highlight w:val="none"/>
          <w:lang w:val="en-US"/>
          <w14:textFill>
            <w14:solidFill>
              <w14:schemeClr w14:val="tx1"/>
            </w14:solidFill>
          </w14:textFill>
        </w:rPr>
        <w:t xml:space="preserve">   </w:t>
      </w:r>
    </w:p>
    <w:p w14:paraId="129AE206">
      <w:pPr>
        <w:spacing w:line="360" w:lineRule="auto"/>
        <w:ind w:firstLine="420" w:firstLineChars="200"/>
        <w:jc w:val="both"/>
        <w:rPr>
          <w:b/>
          <w:bCs/>
          <w:color w:val="000000" w:themeColor="text1"/>
          <w:szCs w:val="27"/>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具体付款方式</w:t>
      </w:r>
      <w:r>
        <w:rPr>
          <w:rFonts w:hint="eastAsia"/>
          <w:color w:val="000000" w:themeColor="text1"/>
          <w:highlight w:val="none"/>
          <w:u w:val="single"/>
          <w14:textFill>
            <w14:solidFill>
              <w14:schemeClr w14:val="tx1"/>
            </w14:solidFill>
          </w14:textFill>
        </w:rPr>
        <w:t>按投标人须知前附表以及采、购双方的具体约定</w:t>
      </w:r>
    </w:p>
    <w:p w14:paraId="763EE12D">
      <w:pPr>
        <w:numPr>
          <w:ilvl w:val="0"/>
          <w:numId w:val="6"/>
        </w:numPr>
        <w:spacing w:line="360" w:lineRule="auto"/>
        <w:ind w:left="0"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验收方法</w:t>
      </w:r>
    </w:p>
    <w:p w14:paraId="29EA90DB">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1.乙方安装调试后，在      天内通知甲方组织验收，采购代理机构保留受托参与本项目验收的权利。验收不合格的，乙方应负责重新提供达到本合同约定的质量要求的产品。</w:t>
      </w:r>
    </w:p>
    <w:p w14:paraId="03FD32C8">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135307D3">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46F8B87">
      <w:pPr>
        <w:spacing w:line="360" w:lineRule="auto"/>
        <w:ind w:firstLine="420" w:firstLineChars="200"/>
        <w:jc w:val="both"/>
        <w:rPr>
          <w:rFonts w:hint="eastAsia" w:ascii="Times New Roman" w:hAnsi="Times New Roman" w:eastAsia="宋体" w:cs="Times New Roman"/>
          <w:color w:val="000000" w:themeColor="text1"/>
          <w:highlight w:val="none"/>
          <w:lang w:val="en-US"/>
          <w14:textFill>
            <w14:solidFill>
              <w14:schemeClr w14:val="tx1"/>
            </w14:solidFill>
          </w14:textFill>
        </w:rPr>
      </w:pPr>
      <w:r>
        <w:rPr>
          <w:rFonts w:hint="eastAsia" w:ascii="Times New Roman" w:hAnsi="Times New Roman" w:eastAsia="宋体" w:cs="Times New Roman"/>
          <w:color w:val="000000" w:themeColor="text1"/>
          <w:highlight w:val="none"/>
          <w:lang w:val="en-US"/>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67D4299D">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lang w:val="en-US"/>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涉及安全、消防、环保等其他需要由质检或行业主管部门进行验收的项目，必须邀请相关部门或相关专家参与验收。</w:t>
      </w:r>
    </w:p>
    <w:p w14:paraId="3DF1B421">
      <w:pPr>
        <w:spacing w:line="360" w:lineRule="auto"/>
        <w:ind w:firstLine="420" w:firstLineChars="200"/>
        <w:jc w:val="both"/>
        <w:rPr>
          <w:rFonts w:ascii="宋体" w:eastAsia="宋体"/>
          <w:b/>
          <w:bCs/>
          <w:color w:val="000000" w:themeColor="text1"/>
          <w:sz w:val="24"/>
          <w:highlight w:val="none"/>
          <w:u w:val="singl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检测、验收费用承担方式：</w:t>
      </w:r>
    </w:p>
    <w:p w14:paraId="2F85190F">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第八条 </w:t>
      </w:r>
      <w:r>
        <w:rPr>
          <w:color w:val="000000" w:themeColor="text1"/>
          <w:szCs w:val="27"/>
          <w:highlight w:val="none"/>
          <w14:textFill>
            <w14:solidFill>
              <w14:schemeClr w14:val="tx1"/>
            </w14:solidFill>
          </w14:textFill>
        </w:rPr>
        <w:t xml:space="preserve"> 对产品提出异议的时间和办法</w:t>
      </w:r>
    </w:p>
    <w:p w14:paraId="3A1620CB">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甲方在验收中，如果发现产品不</w:t>
      </w:r>
      <w:r>
        <w:rPr>
          <w:rFonts w:hint="eastAsia"/>
          <w:color w:val="000000" w:themeColor="text1"/>
          <w:szCs w:val="27"/>
          <w:highlight w:val="none"/>
          <w14:textFill>
            <w14:solidFill>
              <w14:schemeClr w14:val="tx1"/>
            </w14:solidFill>
          </w14:textFill>
        </w:rPr>
        <w:t>符合合同约定的</w:t>
      </w:r>
      <w:r>
        <w:rPr>
          <w:color w:val="000000" w:themeColor="text1"/>
          <w:szCs w:val="27"/>
          <w:highlight w:val="none"/>
          <w14:textFill>
            <w14:solidFill>
              <w14:schemeClr w14:val="tx1"/>
            </w14:solidFill>
          </w14:textFill>
        </w:rPr>
        <w:t>，应一面妥为保管，一面在</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工作日</w:t>
      </w:r>
      <w:r>
        <w:rPr>
          <w:color w:val="000000" w:themeColor="text1"/>
          <w:szCs w:val="27"/>
          <w:highlight w:val="none"/>
          <w14:textFill>
            <w14:solidFill>
              <w14:schemeClr w14:val="tx1"/>
            </w14:solidFill>
          </w14:textFill>
        </w:rPr>
        <w:t>内向乙方</w:t>
      </w:r>
      <w:r>
        <w:rPr>
          <w:rFonts w:hint="eastAsia"/>
          <w:color w:val="000000" w:themeColor="text1"/>
          <w:szCs w:val="27"/>
          <w:highlight w:val="none"/>
          <w14:textFill>
            <w14:solidFill>
              <w14:schemeClr w14:val="tx1"/>
            </w14:solidFill>
          </w14:textFill>
        </w:rPr>
        <w:t>书面</w:t>
      </w:r>
      <w:r>
        <w:rPr>
          <w:color w:val="000000" w:themeColor="text1"/>
          <w:szCs w:val="27"/>
          <w:highlight w:val="none"/>
          <w14:textFill>
            <w14:solidFill>
              <w14:schemeClr w14:val="tx1"/>
            </w14:solidFill>
          </w14:textFill>
        </w:rPr>
        <w:t>提出异议</w:t>
      </w:r>
      <w:r>
        <w:rPr>
          <w:rFonts w:hint="eastAsia"/>
          <w:color w:val="000000" w:themeColor="text1"/>
          <w:szCs w:val="27"/>
          <w:highlight w:val="none"/>
          <w14:textFill>
            <w14:solidFill>
              <w14:schemeClr w14:val="tx1"/>
            </w14:solidFill>
          </w14:textFill>
        </w:rPr>
        <w:t>，并抄送采购代理机构，具体说明产品</w:t>
      </w:r>
      <w:r>
        <w:rPr>
          <w:color w:val="000000" w:themeColor="text1"/>
          <w:szCs w:val="27"/>
          <w:highlight w:val="none"/>
          <w14:textFill>
            <w14:solidFill>
              <w14:schemeClr w14:val="tx1"/>
            </w14:solidFill>
          </w14:textFill>
        </w:rPr>
        <w:t>不符合规定的</w:t>
      </w:r>
      <w:r>
        <w:rPr>
          <w:rFonts w:hint="eastAsia"/>
          <w:color w:val="000000" w:themeColor="text1"/>
          <w:szCs w:val="27"/>
          <w:highlight w:val="none"/>
          <w14:textFill>
            <w14:solidFill>
              <w14:schemeClr w14:val="tx1"/>
            </w14:solidFill>
          </w14:textFill>
        </w:rPr>
        <w:t>内容并附相关验收材料，同时</w:t>
      </w:r>
      <w:r>
        <w:rPr>
          <w:color w:val="000000" w:themeColor="text1"/>
          <w:szCs w:val="27"/>
          <w:highlight w:val="none"/>
          <w14:textFill>
            <w14:solidFill>
              <w14:schemeClr w14:val="tx1"/>
            </w14:solidFill>
          </w14:textFill>
        </w:rPr>
        <w:t>提出不符合规定产品的处理意见。</w:t>
      </w:r>
    </w:p>
    <w:p w14:paraId="1E384C59">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甲方因使用、保管、保养不善等造成产品质量下降的，不得提出异议。</w:t>
      </w:r>
    </w:p>
    <w:p w14:paraId="1DAC084F">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乙方在接到</w:t>
      </w:r>
      <w:r>
        <w:rPr>
          <w:rFonts w:hint="eastAsia"/>
          <w:color w:val="000000" w:themeColor="text1"/>
          <w:szCs w:val="27"/>
          <w:highlight w:val="none"/>
          <w14:textFill>
            <w14:solidFill>
              <w14:schemeClr w14:val="tx1"/>
            </w14:solidFill>
          </w14:textFill>
        </w:rPr>
        <w:t>甲</w:t>
      </w:r>
      <w:r>
        <w:rPr>
          <w:color w:val="000000" w:themeColor="text1"/>
          <w:szCs w:val="27"/>
          <w:highlight w:val="none"/>
          <w14:textFill>
            <w14:solidFill>
              <w14:schemeClr w14:val="tx1"/>
            </w14:solidFill>
          </w14:textFill>
        </w:rPr>
        <w:t>方异议后，应在</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 xml:space="preserve"> 工作日</w:t>
      </w:r>
      <w:r>
        <w:rPr>
          <w:color w:val="000000" w:themeColor="text1"/>
          <w:szCs w:val="27"/>
          <w:highlight w:val="none"/>
          <w14:textFill>
            <w14:solidFill>
              <w14:schemeClr w14:val="tx1"/>
            </w14:solidFill>
          </w14:textFill>
        </w:rPr>
        <w:t>内负责处理，否则，即视为默认甲方提出的异议和处理意见。</w:t>
      </w:r>
    </w:p>
    <w:p w14:paraId="1763F9D8">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第九条</w:t>
      </w:r>
      <w:r>
        <w:rPr>
          <w:rFonts w:hint="eastAsia"/>
          <w:color w:val="000000" w:themeColor="text1"/>
          <w:szCs w:val="27"/>
          <w:highlight w:val="none"/>
          <w14:textFill>
            <w14:solidFill>
              <w14:schemeClr w14:val="tx1"/>
            </w14:solidFill>
          </w14:textFill>
        </w:rPr>
        <w:t xml:space="preserve">  乙方应提供完善周到的技术支持和售后服务，否则甲方视情节轻重从乙方的质量保证金中扣除部分或全部补偿甲方。</w:t>
      </w:r>
    </w:p>
    <w:p w14:paraId="0BB9ECB7">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1.保修</w:t>
      </w:r>
    </w:p>
    <w:p w14:paraId="56DBC33B">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乙方对其所提供的货物免费保修</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年，保修期从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开始。乙方应在接到报修通知后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天内上门维修，负责更换有瑕疵的货物、部件或提供相应的质量保证期内的服务。由此造成的损失，甲方保留索赔的权利。</w:t>
      </w:r>
    </w:p>
    <w:p w14:paraId="410538D5">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如果乙方在收到报修通知后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天内没有弥补缺陷，甲方可采取必要的补救措施，但费用和风险由乙方承担。</w:t>
      </w:r>
    </w:p>
    <w:p w14:paraId="3798B983">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2.维修</w:t>
      </w:r>
    </w:p>
    <w:p w14:paraId="039DED4D">
      <w:pPr>
        <w:spacing w:line="360" w:lineRule="auto"/>
        <w:ind w:firstLine="420" w:firstLineChars="200"/>
        <w:jc w:val="both"/>
        <w:rPr>
          <w:rFonts w:hint="eastAsia" w:ascii="Times New Roman" w:hAnsi="Times New Roman" w:eastAsia="宋体" w:cs="Times New Roman"/>
          <w:color w:val="000000" w:themeColor="text1"/>
          <w:szCs w:val="27"/>
          <w:highlight w:val="none"/>
          <w14:textFill>
            <w14:solidFill>
              <w14:schemeClr w14:val="tx1"/>
            </w14:solidFill>
          </w14:textFill>
        </w:rPr>
      </w:pPr>
      <w:r>
        <w:rPr>
          <w:rFonts w:hint="eastAsia" w:ascii="Times New Roman" w:hAnsi="Times New Roman" w:eastAsia="宋体" w:cs="Times New Roman"/>
          <w:color w:val="000000" w:themeColor="text1"/>
          <w:szCs w:val="27"/>
          <w:highlight w:val="none"/>
          <w14:textFill>
            <w14:solidFill>
              <w14:schemeClr w14:val="tx1"/>
            </w14:solidFill>
          </w14:textFill>
        </w:rPr>
        <w:t>保修期届满后，乙方应对其提供的货物负有维修义务，但所涉及的费用由甲方承担。</w:t>
      </w:r>
    </w:p>
    <w:p w14:paraId="0C940F75">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w:t>
      </w:r>
      <w:r>
        <w:rPr>
          <w:rFonts w:hint="eastAsia"/>
          <w:b/>
          <w:bCs/>
          <w:color w:val="000000" w:themeColor="text1"/>
          <w:szCs w:val="27"/>
          <w:highlight w:val="none"/>
          <w14:textFill>
            <w14:solidFill>
              <w14:schemeClr w14:val="tx1"/>
            </w14:solidFill>
          </w14:textFill>
        </w:rPr>
        <w:t>十</w:t>
      </w:r>
      <w:r>
        <w:rPr>
          <w:b/>
          <w:bCs/>
          <w:color w:val="000000" w:themeColor="text1"/>
          <w:szCs w:val="27"/>
          <w:highlight w:val="none"/>
          <w14:textFill>
            <w14:solidFill>
              <w14:schemeClr w14:val="tx1"/>
            </w14:solidFill>
          </w14:textFill>
        </w:rPr>
        <w:t>条</w:t>
      </w:r>
      <w:r>
        <w:rPr>
          <w:color w:val="000000" w:themeColor="text1"/>
          <w:szCs w:val="27"/>
          <w:highlight w:val="none"/>
          <w14:textFill>
            <w14:solidFill>
              <w14:schemeClr w14:val="tx1"/>
            </w14:solidFill>
          </w14:textFill>
        </w:rPr>
        <w:t>  乙方的违约责任</w:t>
      </w:r>
    </w:p>
    <w:p w14:paraId="1BBB2201">
      <w:pPr>
        <w:spacing w:line="360" w:lineRule="auto"/>
        <w:ind w:firstLine="420" w:firstLineChars="200"/>
        <w:jc w:val="both"/>
        <w:rPr>
          <w:color w:val="000000" w:themeColor="text1"/>
          <w:highlight w:val="none"/>
          <w14:textFill>
            <w14:solidFill>
              <w14:schemeClr w14:val="tx1"/>
            </w14:solidFill>
          </w14:textFill>
        </w:rPr>
      </w:pPr>
      <w:r>
        <w:rPr>
          <w:color w:val="000000" w:themeColor="text1"/>
          <w:szCs w:val="27"/>
          <w:highlight w:val="none"/>
          <w14:textFill>
            <w14:solidFill>
              <w14:schemeClr w14:val="tx1"/>
            </w14:solidFill>
          </w14:textFill>
        </w:rPr>
        <w:t>1.乙方不能交货的，应向甲方偿付不能交货部分货款的</w:t>
      </w:r>
      <w:r>
        <w:rPr>
          <w:color w:val="000000" w:themeColor="text1"/>
          <w:szCs w:val="27"/>
          <w:highlight w:val="none"/>
          <w:u w:val="single"/>
          <w14:textFill>
            <w14:solidFill>
              <w14:schemeClr w14:val="tx1"/>
            </w14:solidFill>
          </w14:textFill>
        </w:rPr>
        <w:t>      %</w:t>
      </w:r>
      <w:r>
        <w:rPr>
          <w:color w:val="000000" w:themeColor="text1"/>
          <w:szCs w:val="27"/>
          <w:highlight w:val="none"/>
          <w14:textFill>
            <w14:solidFill>
              <w14:schemeClr w14:val="tx1"/>
            </w14:solidFill>
          </w14:textFill>
        </w:rPr>
        <w:t>（通用产品的幅度为</w:t>
      </w:r>
      <w:r>
        <w:rPr>
          <w:rFonts w:hint="eastAsia"/>
          <w:color w:val="000000" w:themeColor="text1"/>
          <w:szCs w:val="27"/>
          <w:highlight w:val="none"/>
          <w14:textFill>
            <w14:solidFill>
              <w14:schemeClr w14:val="tx1"/>
            </w14:solidFill>
          </w14:textFill>
        </w:rPr>
        <w:t>1%－5%</w:t>
      </w:r>
      <w:r>
        <w:rPr>
          <w:color w:val="000000" w:themeColor="text1"/>
          <w:szCs w:val="27"/>
          <w:highlight w:val="none"/>
          <w14:textFill>
            <w14:solidFill>
              <w14:schemeClr w14:val="tx1"/>
            </w14:solidFill>
          </w14:textFill>
        </w:rPr>
        <w:t>，专用产品的幅度为</w:t>
      </w:r>
      <w:r>
        <w:rPr>
          <w:rFonts w:hint="eastAsia"/>
          <w:color w:val="000000" w:themeColor="text1"/>
          <w:szCs w:val="27"/>
          <w:highlight w:val="none"/>
          <w14:textFill>
            <w14:solidFill>
              <w14:schemeClr w14:val="tx1"/>
            </w14:solidFill>
          </w14:textFill>
        </w:rPr>
        <w:t>10%－30%</w:t>
      </w:r>
      <w:r>
        <w:rPr>
          <w:color w:val="000000" w:themeColor="text1"/>
          <w:szCs w:val="27"/>
          <w:highlight w:val="none"/>
          <w14:textFill>
            <w14:solidFill>
              <w14:schemeClr w14:val="tx1"/>
            </w14:solidFill>
          </w14:textFill>
        </w:rPr>
        <w:t>）的违约金。</w:t>
      </w:r>
    </w:p>
    <w:p w14:paraId="4888292D">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highlight w:val="none"/>
          <w14:textFill>
            <w14:solidFill>
              <w14:schemeClr w14:val="tx1"/>
            </w14:solidFill>
          </w14:textFill>
        </w:rPr>
        <w:t>同时，乙方应按规定，对更换件相应延长质量保证期，并赔偿甲方相应的损失。</w:t>
      </w:r>
      <w:r>
        <w:rPr>
          <w:color w:val="000000" w:themeColor="text1"/>
          <w:szCs w:val="27"/>
          <w:highlight w:val="none"/>
          <w14:textFill>
            <w14:solidFill>
              <w14:schemeClr w14:val="tx1"/>
            </w14:solidFill>
          </w14:textFill>
        </w:rPr>
        <w:t>乙方不能修理或者不能调换的，按不能交货处理。</w:t>
      </w:r>
    </w:p>
    <w:p w14:paraId="004DAE9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highlight w:val="none"/>
          <w14:textFill>
            <w14:solidFill>
              <w14:schemeClr w14:val="tx1"/>
            </w14:solidFill>
          </w14:textFill>
        </w:rPr>
        <w:t>每件货物包装箱内应附一份详细装箱单和质量证书。为进口件的，应出具报关手续和原产地、原产工厂证明、报关手续和商检证明等。</w:t>
      </w:r>
    </w:p>
    <w:p w14:paraId="70DBC5F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4.</w:t>
      </w:r>
      <w:r>
        <w:rPr>
          <w:rFonts w:hint="eastAsia"/>
          <w:color w:val="000000" w:themeColor="text1"/>
          <w:highlight w:val="none"/>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highlight w:val="none"/>
          <w14:textFill>
            <w14:solidFill>
              <w14:schemeClr w14:val="tx1"/>
            </w14:solidFill>
          </w14:textFill>
        </w:rPr>
        <w:t>由此给甲方造成的损失由乙方承担</w:t>
      </w:r>
      <w:r>
        <w:rPr>
          <w:color w:val="000000" w:themeColor="text1"/>
          <w:szCs w:val="27"/>
          <w:highlight w:val="none"/>
          <w14:textFill>
            <w14:solidFill>
              <w14:schemeClr w14:val="tx1"/>
            </w14:solidFill>
          </w14:textFill>
        </w:rPr>
        <w:t>。</w:t>
      </w:r>
    </w:p>
    <w:p w14:paraId="74D2D76B">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5.</w:t>
      </w:r>
      <w:r>
        <w:rPr>
          <w:color w:val="000000" w:themeColor="text1"/>
          <w:szCs w:val="27"/>
          <w:highlight w:val="none"/>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367162C5">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44BECD05">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7.任何一方未经对方同意而单方面终止合同的，应向对方赔偿相当于本合同总价款</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违约金。</w:t>
      </w:r>
    </w:p>
    <w:p w14:paraId="042276FA">
      <w:pPr>
        <w:spacing w:line="360" w:lineRule="auto"/>
        <w:ind w:firstLine="422" w:firstLineChars="200"/>
        <w:jc w:val="both"/>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一</w:t>
      </w:r>
      <w:r>
        <w:rPr>
          <w:b/>
          <w:bCs/>
          <w:color w:val="000000" w:themeColor="text1"/>
          <w:szCs w:val="27"/>
          <w:highlight w:val="none"/>
          <w14:textFill>
            <w14:solidFill>
              <w14:schemeClr w14:val="tx1"/>
            </w14:solidFill>
          </w14:textFill>
        </w:rPr>
        <w:t>条</w:t>
      </w:r>
      <w:r>
        <w:rPr>
          <w:color w:val="000000" w:themeColor="text1"/>
          <w:szCs w:val="27"/>
          <w:highlight w:val="none"/>
          <w14:textFill>
            <w14:solidFill>
              <w14:schemeClr w14:val="tx1"/>
            </w14:solidFill>
          </w14:textFill>
        </w:rPr>
        <w:t>  甲方的违约责任</w:t>
      </w:r>
    </w:p>
    <w:p w14:paraId="55FE5E8C">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甲方中途退货，应向乙方偿付退货部分货款</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（通用产品的幅度为1%</w:t>
      </w:r>
      <w:r>
        <w:rPr>
          <w:rFonts w:hint="eastAsia"/>
          <w:color w:val="000000" w:themeColor="text1"/>
          <w:szCs w:val="27"/>
          <w:highlight w:val="none"/>
          <w14:textFill>
            <w14:solidFill>
              <w14:schemeClr w14:val="tx1"/>
            </w14:solidFill>
          </w14:textFill>
        </w:rPr>
        <w:t>~5%</w:t>
      </w:r>
      <w:r>
        <w:rPr>
          <w:color w:val="000000" w:themeColor="text1"/>
          <w:szCs w:val="27"/>
          <w:highlight w:val="none"/>
          <w14:textFill>
            <w14:solidFill>
              <w14:schemeClr w14:val="tx1"/>
            </w14:solidFill>
          </w14:textFill>
        </w:rPr>
        <w:t>专用产品的幅度为</w:t>
      </w:r>
      <w:r>
        <w:rPr>
          <w:rFonts w:hint="eastAsia"/>
          <w:color w:val="000000" w:themeColor="text1"/>
          <w:szCs w:val="27"/>
          <w:highlight w:val="none"/>
          <w14:textFill>
            <w14:solidFill>
              <w14:schemeClr w14:val="tx1"/>
            </w14:solidFill>
          </w14:textFill>
        </w:rPr>
        <w:t>15%-30%</w:t>
      </w:r>
      <w:r>
        <w:rPr>
          <w:color w:val="000000" w:themeColor="text1"/>
          <w:szCs w:val="27"/>
          <w:highlight w:val="none"/>
          <w14:textFill>
            <w14:solidFill>
              <w14:schemeClr w14:val="tx1"/>
            </w14:solidFill>
          </w14:textFill>
        </w:rPr>
        <w:t>）的违约金。</w:t>
      </w:r>
    </w:p>
    <w:p w14:paraId="10AE9B91">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甲方违反合同规定拒绝接货的，应当承担由此造成的损失。</w:t>
      </w:r>
    </w:p>
    <w:p w14:paraId="5340EBE1">
      <w:pPr>
        <w:spacing w:line="360" w:lineRule="auto"/>
        <w:ind w:firstLine="420" w:firstLineChars="200"/>
        <w:jc w:val="both"/>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 xml:space="preserve"> 甲方未按照合同约定支付货款，应向乙方</w:t>
      </w:r>
      <w:r>
        <w:rPr>
          <w:rFonts w:hint="eastAsia"/>
          <w:color w:val="000000" w:themeColor="text1"/>
          <w:szCs w:val="27"/>
          <w:highlight w:val="none"/>
          <w14:textFill>
            <w14:solidFill>
              <w14:schemeClr w14:val="tx1"/>
            </w14:solidFill>
          </w14:textFill>
        </w:rPr>
        <w:t>违约金</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元。</w:t>
      </w:r>
    </w:p>
    <w:p w14:paraId="1AC2D80E">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二</w:t>
      </w:r>
      <w:r>
        <w:rPr>
          <w:b/>
          <w:bCs/>
          <w:color w:val="000000" w:themeColor="text1"/>
          <w:szCs w:val="27"/>
          <w:highlight w:val="none"/>
          <w14:textFill>
            <w14:solidFill>
              <w14:schemeClr w14:val="tx1"/>
            </w14:solidFill>
          </w14:textFill>
        </w:rPr>
        <w:t>条 </w:t>
      </w:r>
      <w:r>
        <w:rPr>
          <w:color w:val="000000" w:themeColor="text1"/>
          <w:szCs w:val="27"/>
          <w:highlight w:val="none"/>
          <w14:textFill>
            <w14:solidFill>
              <w14:schemeClr w14:val="tx1"/>
            </w14:solidFill>
          </w14:textFill>
        </w:rPr>
        <w:t xml:space="preserve"> 不可抗力</w:t>
      </w:r>
    </w:p>
    <w:p w14:paraId="4F424C7D">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978DD8">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highlight w:val="none"/>
          <w14:textFill>
            <w14:solidFill>
              <w14:schemeClr w14:val="tx1"/>
            </w14:solidFill>
          </w14:textFill>
        </w:rPr>
        <w:t>部门</w:t>
      </w:r>
      <w:r>
        <w:rPr>
          <w:color w:val="000000" w:themeColor="text1"/>
          <w:szCs w:val="27"/>
          <w:highlight w:val="none"/>
          <w14:textFill>
            <w14:solidFill>
              <w14:schemeClr w14:val="tx1"/>
            </w14:solidFill>
          </w14:textFill>
        </w:rPr>
        <w:t>证明以后，允许延期履行、部分履行或者不履行合同，并根据情况可部分或全部免予承担违约责任。</w:t>
      </w:r>
    </w:p>
    <w:p w14:paraId="00EBF506">
      <w:pPr>
        <w:spacing w:line="360" w:lineRule="auto"/>
        <w:ind w:firstLine="422" w:firstLineChars="200"/>
        <w:jc w:val="both"/>
        <w:rPr>
          <w:b/>
          <w:bCs/>
          <w:color w:val="000000" w:themeColor="text1"/>
          <w:szCs w:val="27"/>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三</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履约（或质量）保证金</w:t>
      </w:r>
    </w:p>
    <w:p w14:paraId="2BCFC872">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7FB4BDA1">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2.若确需质量保证金的，质量保证金不得超过合同总价款的</w:t>
      </w:r>
      <w:r>
        <w:rPr>
          <w:rFonts w:hint="eastAsia" w:ascii="Times New Roman" w:hAnsi="Times New Roman" w:eastAsia="宋体" w:cs="Times New Roman"/>
          <w:color w:val="000000" w:themeColor="text1"/>
          <w:highlight w:val="none"/>
          <w:lang w:val="en-US"/>
          <w14:textFill>
            <w14:solidFill>
              <w14:schemeClr w14:val="tx1"/>
            </w14:solidFill>
          </w14:textFill>
        </w:rPr>
        <w:t>5%。</w:t>
      </w:r>
    </w:p>
    <w:p w14:paraId="136218C1">
      <w:pPr>
        <w:spacing w:line="360" w:lineRule="auto"/>
        <w:ind w:firstLine="42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3.如乙方未能履行其合同规定的任何义务，甲方有权从履约保证金中取得补偿。</w:t>
      </w:r>
    </w:p>
    <w:p w14:paraId="144725B0">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四</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bCs/>
          <w:color w:val="000000" w:themeColor="text1"/>
          <w:highlight w:val="none"/>
          <w14:textFill>
            <w14:solidFill>
              <w14:schemeClr w14:val="tx1"/>
            </w14:solidFill>
          </w14:textFill>
        </w:rPr>
        <w:t>转让与分包</w:t>
      </w:r>
    </w:p>
    <w:p w14:paraId="51BE9334">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除甲方事先书面同意外，乙方不得部分转让或全部转让其应履行的合同义务。</w:t>
      </w:r>
    </w:p>
    <w:p w14:paraId="5D00F21C">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7C3ABED2">
      <w:pPr>
        <w:spacing w:line="360" w:lineRule="auto"/>
        <w:ind w:firstLine="422" w:firstLineChars="200"/>
        <w:jc w:val="both"/>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五</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bCs/>
          <w:color w:val="000000" w:themeColor="text1"/>
          <w:highlight w:val="none"/>
          <w14:textFill>
            <w14:solidFill>
              <w14:schemeClr w14:val="tx1"/>
            </w14:solidFill>
          </w14:textFill>
        </w:rPr>
        <w:t>合同文件及资料的使用</w:t>
      </w:r>
    </w:p>
    <w:p w14:paraId="5B500A15">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1CE6F61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除非执行合同需要，在事先未得到甲方同意的情况下，乙方不得使用前款所列的任何文件和资料。</w:t>
      </w:r>
    </w:p>
    <w:p w14:paraId="0B120697">
      <w:pPr>
        <w:spacing w:line="360" w:lineRule="auto"/>
        <w:ind w:firstLine="422" w:firstLineChars="200"/>
        <w:jc w:val="both"/>
        <w:rPr>
          <w:color w:val="000000" w:themeColor="text1"/>
          <w:szCs w:val="27"/>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六</w:t>
      </w:r>
      <w:r>
        <w:rPr>
          <w:b/>
          <w:bCs/>
          <w:color w:val="000000" w:themeColor="text1"/>
          <w:szCs w:val="27"/>
          <w:highlight w:val="none"/>
          <w14:textFill>
            <w14:solidFill>
              <w14:schemeClr w14:val="tx1"/>
            </w14:solidFill>
          </w14:textFill>
        </w:rPr>
        <w:t>条 </w:t>
      </w:r>
      <w:r>
        <w:rPr>
          <w:rFonts w:hint="eastAsia"/>
          <w:color w:val="000000" w:themeColor="text1"/>
          <w:szCs w:val="27"/>
          <w:highlight w:val="none"/>
          <w14:textFill>
            <w14:solidFill>
              <w14:schemeClr w14:val="tx1"/>
            </w14:solidFill>
          </w14:textFill>
        </w:rPr>
        <w:t>合同纠纷调处</w:t>
      </w:r>
    </w:p>
    <w:p w14:paraId="7A4C85DF">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szCs w:val="27"/>
          <w:highlight w:val="none"/>
          <w14:textFill>
            <w14:solidFill>
              <w14:schemeClr w14:val="tx1"/>
            </w14:solidFill>
          </w14:textFill>
        </w:rPr>
        <w:t>10</w:t>
      </w:r>
      <w:r>
        <w:rPr>
          <w:color w:val="000000" w:themeColor="text1"/>
          <w:szCs w:val="27"/>
          <w:highlight w:val="none"/>
          <w14:textFill>
            <w14:solidFill>
              <w14:schemeClr w14:val="tx1"/>
            </w14:solidFill>
          </w14:textFill>
        </w:rPr>
        <w:t>天内，按银行规定的结算办法付清，否则按逾期付款处理。但任何一方不得自行扣发货物或扣付货款来充抵。</w:t>
      </w:r>
    </w:p>
    <w:p w14:paraId="2E3EB05F">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本合同如发生纠纷，当事人双方应当及时协商解决，协商不成时，任何一方均可请</w:t>
      </w:r>
      <w:r>
        <w:rPr>
          <w:rFonts w:hint="eastAsia"/>
          <w:color w:val="000000" w:themeColor="text1"/>
          <w:szCs w:val="27"/>
          <w:highlight w:val="none"/>
          <w14:textFill>
            <w14:solidFill>
              <w14:schemeClr w14:val="tx1"/>
            </w14:solidFill>
          </w14:textFill>
        </w:rPr>
        <w:t>本项目政府采购监督管理部门</w:t>
      </w:r>
      <w:r>
        <w:rPr>
          <w:color w:val="000000" w:themeColor="text1"/>
          <w:szCs w:val="27"/>
          <w:highlight w:val="none"/>
          <w14:textFill>
            <w14:solidFill>
              <w14:schemeClr w14:val="tx1"/>
            </w14:solidFill>
          </w14:textFill>
        </w:rPr>
        <w:t>调解，调解不成，按以下第（</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）项方式处理：</w:t>
      </w:r>
      <w:r>
        <w:rPr>
          <w:rFonts w:hint="eastAsia"/>
          <w:color w:val="000000" w:themeColor="text1"/>
          <w:szCs w:val="27"/>
          <w:highlight w:val="none"/>
          <w14:textFill>
            <w14:solidFill>
              <w14:schemeClr w14:val="tx1"/>
            </w14:solidFill>
          </w14:textFill>
        </w:rPr>
        <w:t>①根据《中华人民共和国仲裁法》的规定向</w:t>
      </w:r>
      <w:r>
        <w:rPr>
          <w:rFonts w:hint="eastAsia"/>
          <w:b/>
          <w:bCs/>
          <w:color w:val="000000" w:themeColor="text1"/>
          <w:szCs w:val="27"/>
          <w:highlight w:val="none"/>
          <w:u w:val="single"/>
          <w14:textFill>
            <w14:solidFill>
              <w14:schemeClr w14:val="tx1"/>
            </w14:solidFill>
          </w14:textFill>
        </w:rPr>
        <w:t>周口仲裁委员会</w:t>
      </w:r>
      <w:r>
        <w:rPr>
          <w:rFonts w:hint="eastAsia"/>
          <w:color w:val="000000" w:themeColor="text1"/>
          <w:szCs w:val="27"/>
          <w:highlight w:val="none"/>
          <w14:textFill>
            <w14:solidFill>
              <w14:schemeClr w14:val="tx1"/>
            </w14:solidFill>
          </w14:textFill>
        </w:rPr>
        <w:t>申请仲裁。②</w:t>
      </w:r>
      <w:r>
        <w:rPr>
          <w:color w:val="000000" w:themeColor="text1"/>
          <w:szCs w:val="27"/>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szCs w:val="27"/>
          <w:highlight w:val="none"/>
          <w14:textFill>
            <w14:solidFill>
              <w14:schemeClr w14:val="tx1"/>
            </w14:solidFill>
          </w14:textFill>
        </w:rPr>
        <w:t>人民法院起诉。</w:t>
      </w:r>
    </w:p>
    <w:p w14:paraId="071683AB">
      <w:pPr>
        <w:pStyle w:val="33"/>
        <w:spacing w:beforeLines="0" w:afterLines="0"/>
        <w:ind w:left="0" w:firstLine="420" w:firstLineChars="200"/>
        <w:jc w:val="both"/>
        <w:rPr>
          <w:color w:val="000000" w:themeColor="text1"/>
          <w:highlight w:val="none"/>
          <w:lang w:val="en-US"/>
          <w14:textFill>
            <w14:solidFill>
              <w14:schemeClr w14:val="tx1"/>
            </w14:solidFill>
          </w14:textFill>
        </w:rPr>
      </w:pPr>
      <w:r>
        <w:rPr>
          <w:rFonts w:hint="eastAsia"/>
          <w:color w:val="000000" w:themeColor="text1"/>
          <w:szCs w:val="27"/>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0570DDD4">
      <w:pPr>
        <w:spacing w:line="360" w:lineRule="auto"/>
        <w:ind w:firstLine="422" w:firstLineChars="200"/>
        <w:jc w:val="both"/>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第十七条  </w:t>
      </w:r>
      <w:r>
        <w:rPr>
          <w:rFonts w:hint="eastAsia"/>
          <w:color w:val="000000" w:themeColor="text1"/>
          <w:szCs w:val="27"/>
          <w:highlight w:val="none"/>
          <w14:textFill>
            <w14:solidFill>
              <w14:schemeClr w14:val="tx1"/>
            </w14:solidFill>
          </w14:textFill>
        </w:rPr>
        <w:t>下列关于周口市公共资源交易中心政府采购代理机构名称</w:t>
      </w:r>
      <w:r>
        <w:rPr>
          <w:rFonts w:hint="eastAsia"/>
          <w:color w:val="000000" w:themeColor="text1"/>
          <w:szCs w:val="27"/>
          <w:highlight w:val="none"/>
          <w:u w:val="single"/>
          <w14:textFill>
            <w14:solidFill>
              <w14:schemeClr w14:val="tx1"/>
            </w14:solidFill>
          </w14:textFill>
        </w:rPr>
        <w:t>某项目（项目编号：某编号）</w:t>
      </w:r>
      <w:r>
        <w:rPr>
          <w:rFonts w:hint="eastAsia"/>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D5BD260">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本合同一式</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份，甲乙双方各执</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份，自双方当事人签字盖章之日起生效。</w:t>
      </w:r>
    </w:p>
    <w:p w14:paraId="315B56BC">
      <w:pPr>
        <w:spacing w:line="360" w:lineRule="auto"/>
        <w:ind w:firstLine="420" w:firstLineChars="200"/>
        <w:jc w:val="both"/>
        <w:rPr>
          <w:color w:val="000000" w:themeColor="text1"/>
          <w:szCs w:val="27"/>
          <w:highlight w:val="none"/>
          <w14:textFill>
            <w14:solidFill>
              <w14:schemeClr w14:val="tx1"/>
            </w14:solidFill>
          </w14:textFill>
        </w:rPr>
      </w:pPr>
    </w:p>
    <w:p w14:paraId="0CF539BC">
      <w:pPr>
        <w:spacing w:line="360" w:lineRule="auto"/>
        <w:ind w:firstLine="420" w:firstLineChars="200"/>
        <w:jc w:val="both"/>
        <w:rPr>
          <w:color w:val="000000" w:themeColor="text1"/>
          <w:szCs w:val="27"/>
          <w:highlight w:val="none"/>
          <w14:textFill>
            <w14:solidFill>
              <w14:schemeClr w14:val="tx1"/>
            </w14:solidFill>
          </w14:textFill>
        </w:rPr>
      </w:pPr>
    </w:p>
    <w:p w14:paraId="4492CD19">
      <w:pPr>
        <w:spacing w:line="360" w:lineRule="auto"/>
        <w:ind w:firstLine="420" w:firstLineChars="200"/>
        <w:jc w:val="both"/>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采购人</w:t>
      </w:r>
      <w:r>
        <w:rPr>
          <w:color w:val="000000" w:themeColor="text1"/>
          <w:szCs w:val="27"/>
          <w:highlight w:val="none"/>
          <w14:textFill>
            <w14:solidFill>
              <w14:schemeClr w14:val="tx1"/>
            </w14:solidFill>
          </w14:textFill>
        </w:rPr>
        <w:t>（甲方）：</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（公章）</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 </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供货</w:t>
      </w:r>
      <w:r>
        <w:rPr>
          <w:rFonts w:hint="eastAsia"/>
          <w:color w:val="000000" w:themeColor="text1"/>
          <w:szCs w:val="27"/>
          <w:highlight w:val="none"/>
          <w14:textFill>
            <w14:solidFill>
              <w14:schemeClr w14:val="tx1"/>
            </w14:solidFill>
          </w14:textFill>
        </w:rPr>
        <w:t>人</w:t>
      </w:r>
      <w:r>
        <w:rPr>
          <w:color w:val="000000" w:themeColor="text1"/>
          <w:szCs w:val="27"/>
          <w:highlight w:val="none"/>
          <w14:textFill>
            <w14:solidFill>
              <w14:schemeClr w14:val="tx1"/>
            </w14:solidFill>
          </w14:textFill>
        </w:rPr>
        <w:t>（乙方）：</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（公章）</w:t>
      </w:r>
      <w:r>
        <w:rPr>
          <w:rFonts w:hint="eastAsia"/>
          <w:color w:val="000000" w:themeColor="text1"/>
          <w:szCs w:val="27"/>
          <w:highlight w:val="none"/>
          <w14:textFill>
            <w14:solidFill>
              <w14:schemeClr w14:val="tx1"/>
            </w14:solidFill>
          </w14:textFill>
        </w:rPr>
        <w:t xml:space="preserve">  </w:t>
      </w:r>
    </w:p>
    <w:p w14:paraId="3E1AB19F">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 xml:space="preserve">地址：                               </w:t>
      </w:r>
      <w:r>
        <w:rPr>
          <w:color w:val="000000" w:themeColor="text1"/>
          <w:szCs w:val="27"/>
          <w:highlight w:val="none"/>
          <w14:textFill>
            <w14:solidFill>
              <w14:schemeClr w14:val="tx1"/>
            </w14:solidFill>
          </w14:textFill>
        </w:rPr>
        <w:t>地址：</w:t>
      </w:r>
    </w:p>
    <w:p w14:paraId="23E67064">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法定代表人：</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法定代表人：</w:t>
      </w:r>
    </w:p>
    <w:p w14:paraId="5D805599">
      <w:pPr>
        <w:spacing w:line="360" w:lineRule="auto"/>
        <w:ind w:firstLine="420" w:firstLineChars="200"/>
        <w:jc w:val="both"/>
        <w:rPr>
          <w:color w:val="000000" w:themeColor="text1"/>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委托代理人：                         委托代理人：</w:t>
      </w:r>
    </w:p>
    <w:p w14:paraId="54A416A7">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                               电话：</w:t>
      </w:r>
    </w:p>
    <w:p w14:paraId="6A3BD163">
      <w:pPr>
        <w:spacing w:line="360" w:lineRule="auto"/>
        <w:ind w:firstLine="420" w:firstLineChars="200"/>
        <w:jc w:val="both"/>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开户银行：</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开户银行：</w:t>
      </w:r>
    </w:p>
    <w:p w14:paraId="29396690">
      <w:p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账号</w:t>
      </w:r>
      <w:r>
        <w:rPr>
          <w:color w:val="000000" w:themeColor="text1"/>
          <w:szCs w:val="27"/>
          <w:highlight w:val="none"/>
          <w14:textFill>
            <w14:solidFill>
              <w14:schemeClr w14:val="tx1"/>
            </w14:solidFill>
          </w14:textFill>
        </w:rPr>
        <w:t>：</w:t>
      </w:r>
      <w:r>
        <w:rPr>
          <w:rFonts w:hint="eastAsia"/>
          <w:color w:val="000000" w:themeColor="text1"/>
          <w:szCs w:val="27"/>
          <w:highlight w:val="none"/>
          <w14:textFill>
            <w14:solidFill>
              <w14:schemeClr w14:val="tx1"/>
            </w14:solidFill>
          </w14:textFill>
        </w:rPr>
        <w:t xml:space="preserve">                               账号</w:t>
      </w:r>
      <w:r>
        <w:rPr>
          <w:color w:val="000000" w:themeColor="text1"/>
          <w:szCs w:val="27"/>
          <w:highlight w:val="none"/>
          <w14:textFill>
            <w14:solidFill>
              <w14:schemeClr w14:val="tx1"/>
            </w14:solidFill>
          </w14:textFill>
        </w:rPr>
        <w:t>：</w:t>
      </w:r>
    </w:p>
    <w:p w14:paraId="2488D296">
      <w:pPr>
        <w:spacing w:line="640" w:lineRule="exact"/>
        <w:ind w:firstLine="1575" w:firstLineChars="750"/>
        <w:jc w:val="both"/>
        <w:rPr>
          <w:rFonts w:hint="eastAsia"/>
          <w:color w:val="000000" w:themeColor="text1"/>
          <w:szCs w:val="27"/>
          <w:highlight w:val="none"/>
          <w:u w:val="single"/>
          <w14:textFill>
            <w14:solidFill>
              <w14:schemeClr w14:val="tx1"/>
            </w14:solidFill>
          </w14:textFill>
        </w:rPr>
      </w:pPr>
    </w:p>
    <w:p w14:paraId="24000303">
      <w:pPr>
        <w:pStyle w:val="15"/>
        <w:rPr>
          <w:rFonts w:hint="eastAsia"/>
          <w:color w:val="000000" w:themeColor="text1"/>
          <w:highlight w:val="none"/>
          <w14:textFill>
            <w14:solidFill>
              <w14:schemeClr w14:val="tx1"/>
            </w14:solidFill>
          </w14:textFill>
        </w:rPr>
      </w:pPr>
      <w:r>
        <w:rPr>
          <w:color w:val="000000" w:themeColor="text1"/>
          <w:szCs w:val="27"/>
          <w:highlight w:val="none"/>
          <w:u w:val="single"/>
          <w14:textFill>
            <w14:solidFill>
              <w14:schemeClr w14:val="tx1"/>
            </w14:solidFill>
          </w14:textFill>
        </w:rPr>
        <w:t>   </w:t>
      </w:r>
      <w:r>
        <w:rPr>
          <w:rFonts w:hint="eastAsia"/>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年</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月</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日</w:t>
      </w:r>
      <w:r>
        <w:rPr>
          <w:rFonts w:hint="eastAsia"/>
          <w:color w:val="000000" w:themeColor="text1"/>
          <w:szCs w:val="27"/>
          <w:highlight w:val="none"/>
          <w14:textFill>
            <w14:solidFill>
              <w14:schemeClr w14:val="tx1"/>
            </w14:solidFill>
          </w14:textFill>
        </w:rPr>
        <w:t xml:space="preserve">           </w:t>
      </w:r>
      <w:r>
        <w:rPr>
          <w:rFonts w:hint="eastAsia"/>
          <w:color w:val="000000" w:themeColor="text1"/>
          <w:szCs w:val="27"/>
          <w:highlight w:val="none"/>
          <w:lang w:val="en-US"/>
          <w14:textFill>
            <w14:solidFill>
              <w14:schemeClr w14:val="tx1"/>
            </w14:solidFill>
          </w14:textFill>
        </w:rPr>
        <w:t xml:space="preserve">             </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年</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月</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日</w:t>
      </w:r>
      <w:r>
        <w:rPr>
          <w:rFonts w:hint="eastAsia"/>
          <w:color w:val="000000" w:themeColor="text1"/>
          <w:szCs w:val="27"/>
          <w:highlight w:val="none"/>
          <w14:textFill>
            <w14:solidFill>
              <w14:schemeClr w14:val="tx1"/>
            </w14:solidFill>
          </w14:textFill>
        </w:rPr>
        <w:t xml:space="preserve"> </w:t>
      </w:r>
    </w:p>
    <w:p w14:paraId="2C756EC1">
      <w:pPr>
        <w:pStyle w:val="15"/>
        <w:rPr>
          <w:rFonts w:hint="eastAsia"/>
          <w:color w:val="000000" w:themeColor="text1"/>
          <w:highlight w:val="none"/>
          <w14:textFill>
            <w14:solidFill>
              <w14:schemeClr w14:val="tx1"/>
            </w14:solidFill>
          </w14:textFill>
        </w:rPr>
      </w:pPr>
    </w:p>
    <w:p w14:paraId="77EF6EB4">
      <w:pPr>
        <w:pStyle w:val="15"/>
        <w:rPr>
          <w:rFonts w:hint="eastAsia"/>
          <w:color w:val="000000" w:themeColor="text1"/>
          <w:highlight w:val="none"/>
          <w14:textFill>
            <w14:solidFill>
              <w14:schemeClr w14:val="tx1"/>
            </w14:solidFill>
          </w14:textFill>
        </w:rPr>
      </w:pPr>
    </w:p>
    <w:p w14:paraId="2A86F84E">
      <w:pPr>
        <w:pStyle w:val="15"/>
        <w:rPr>
          <w:rFonts w:hint="eastAsia"/>
          <w:color w:val="000000" w:themeColor="text1"/>
          <w:highlight w:val="none"/>
          <w14:textFill>
            <w14:solidFill>
              <w14:schemeClr w14:val="tx1"/>
            </w14:solidFill>
          </w14:textFill>
        </w:rPr>
      </w:pPr>
    </w:p>
    <w:p w14:paraId="5E650919">
      <w:pPr>
        <w:pStyle w:val="15"/>
        <w:rPr>
          <w:rFonts w:hint="eastAsia"/>
          <w:color w:val="000000" w:themeColor="text1"/>
          <w:highlight w:val="none"/>
          <w14:textFill>
            <w14:solidFill>
              <w14:schemeClr w14:val="tx1"/>
            </w14:solidFill>
          </w14:textFill>
        </w:rPr>
      </w:pPr>
    </w:p>
    <w:p w14:paraId="375F1308">
      <w:pPr>
        <w:pStyle w:val="15"/>
        <w:rPr>
          <w:rFonts w:hint="eastAsia"/>
          <w:color w:val="000000" w:themeColor="text1"/>
          <w:highlight w:val="none"/>
          <w14:textFill>
            <w14:solidFill>
              <w14:schemeClr w14:val="tx1"/>
            </w14:solidFill>
          </w14:textFill>
        </w:rPr>
      </w:pPr>
    </w:p>
    <w:p w14:paraId="7A9DCEAB">
      <w:pPr>
        <w:pStyle w:val="15"/>
        <w:rPr>
          <w:rFonts w:hint="eastAsia"/>
          <w:color w:val="000000" w:themeColor="text1"/>
          <w:highlight w:val="none"/>
          <w14:textFill>
            <w14:solidFill>
              <w14:schemeClr w14:val="tx1"/>
            </w14:solidFill>
          </w14:textFill>
        </w:rPr>
      </w:pPr>
    </w:p>
    <w:p w14:paraId="7D155D54">
      <w:pPr>
        <w:pStyle w:val="15"/>
        <w:rPr>
          <w:rFonts w:hint="eastAsia"/>
          <w:color w:val="000000" w:themeColor="text1"/>
          <w:highlight w:val="none"/>
          <w14:textFill>
            <w14:solidFill>
              <w14:schemeClr w14:val="tx1"/>
            </w14:solidFill>
          </w14:textFill>
        </w:rPr>
      </w:pPr>
    </w:p>
    <w:p w14:paraId="2CC4A7F0">
      <w:pPr>
        <w:pStyle w:val="15"/>
        <w:rPr>
          <w:rFonts w:hint="eastAsia"/>
          <w:color w:val="000000" w:themeColor="text1"/>
          <w:highlight w:val="none"/>
          <w14:textFill>
            <w14:solidFill>
              <w14:schemeClr w14:val="tx1"/>
            </w14:solidFill>
          </w14:textFill>
        </w:rPr>
      </w:pPr>
    </w:p>
    <w:p w14:paraId="33627F8E">
      <w:pPr>
        <w:pStyle w:val="15"/>
        <w:rPr>
          <w:rFonts w:hint="eastAsia"/>
          <w:color w:val="000000" w:themeColor="text1"/>
          <w:highlight w:val="none"/>
          <w14:textFill>
            <w14:solidFill>
              <w14:schemeClr w14:val="tx1"/>
            </w14:solidFill>
          </w14:textFill>
        </w:rPr>
      </w:pPr>
    </w:p>
    <w:p w14:paraId="02C2C481">
      <w:pPr>
        <w:pStyle w:val="15"/>
        <w:rPr>
          <w:rFonts w:hint="eastAsia"/>
          <w:color w:val="000000" w:themeColor="text1"/>
          <w:highlight w:val="none"/>
          <w14:textFill>
            <w14:solidFill>
              <w14:schemeClr w14:val="tx1"/>
            </w14:solidFill>
          </w14:textFill>
        </w:rPr>
      </w:pPr>
    </w:p>
    <w:p w14:paraId="10E31B25">
      <w:pPr>
        <w:pStyle w:val="15"/>
        <w:rPr>
          <w:rFonts w:hint="eastAsia"/>
          <w:color w:val="000000" w:themeColor="text1"/>
          <w:highlight w:val="none"/>
          <w14:textFill>
            <w14:solidFill>
              <w14:schemeClr w14:val="tx1"/>
            </w14:solidFill>
          </w14:textFill>
        </w:rPr>
      </w:pPr>
    </w:p>
    <w:p w14:paraId="08297DC6">
      <w:pPr>
        <w:pStyle w:val="15"/>
        <w:rPr>
          <w:rFonts w:hint="eastAsia"/>
          <w:color w:val="000000" w:themeColor="text1"/>
          <w:highlight w:val="none"/>
          <w14:textFill>
            <w14:solidFill>
              <w14:schemeClr w14:val="tx1"/>
            </w14:solidFill>
          </w14:textFill>
        </w:rPr>
      </w:pPr>
    </w:p>
    <w:p w14:paraId="56F4C1C7">
      <w:pPr>
        <w:pStyle w:val="15"/>
        <w:rPr>
          <w:rFonts w:hint="eastAsia"/>
          <w:color w:val="000000" w:themeColor="text1"/>
          <w:highlight w:val="none"/>
          <w14:textFill>
            <w14:solidFill>
              <w14:schemeClr w14:val="tx1"/>
            </w14:solidFill>
          </w14:textFill>
        </w:rPr>
      </w:pPr>
    </w:p>
    <w:p w14:paraId="49098EEA">
      <w:pPr>
        <w:pStyle w:val="15"/>
        <w:rPr>
          <w:rFonts w:hint="eastAsia"/>
          <w:color w:val="000000" w:themeColor="text1"/>
          <w:highlight w:val="none"/>
          <w14:textFill>
            <w14:solidFill>
              <w14:schemeClr w14:val="tx1"/>
            </w14:solidFill>
          </w14:textFill>
        </w:rPr>
      </w:pPr>
    </w:p>
    <w:p w14:paraId="5C7CEEEC">
      <w:pPr>
        <w:pStyle w:val="15"/>
        <w:rPr>
          <w:rFonts w:hint="eastAsia"/>
          <w:color w:val="000000" w:themeColor="text1"/>
          <w:highlight w:val="none"/>
          <w14:textFill>
            <w14:solidFill>
              <w14:schemeClr w14:val="tx1"/>
            </w14:solidFill>
          </w14:textFill>
        </w:rPr>
      </w:pPr>
    </w:p>
    <w:p w14:paraId="56EEF619">
      <w:pPr>
        <w:pStyle w:val="15"/>
        <w:rPr>
          <w:rFonts w:hint="eastAsia"/>
          <w:color w:val="000000" w:themeColor="text1"/>
          <w:highlight w:val="none"/>
          <w14:textFill>
            <w14:solidFill>
              <w14:schemeClr w14:val="tx1"/>
            </w14:solidFill>
          </w14:textFill>
        </w:rPr>
      </w:pPr>
    </w:p>
    <w:p w14:paraId="1A94A185">
      <w:pPr>
        <w:pStyle w:val="15"/>
        <w:rPr>
          <w:rFonts w:hint="eastAsia"/>
          <w:color w:val="000000" w:themeColor="text1"/>
          <w:highlight w:val="none"/>
          <w14:textFill>
            <w14:solidFill>
              <w14:schemeClr w14:val="tx1"/>
            </w14:solidFill>
          </w14:textFill>
        </w:rPr>
      </w:pPr>
    </w:p>
    <w:p w14:paraId="5F223F89">
      <w:pPr>
        <w:spacing w:line="900" w:lineRule="exact"/>
        <w:jc w:val="both"/>
        <w:rPr>
          <w:rFonts w:hint="eastAsia" w:ascii="宋体" w:hAnsi="宋体" w:cs="宋体"/>
          <w:b/>
          <w:bCs/>
          <w:color w:val="000000" w:themeColor="text1"/>
          <w:sz w:val="32"/>
          <w:szCs w:val="32"/>
          <w:highlight w:val="none"/>
          <w14:textFill>
            <w14:solidFill>
              <w14:schemeClr w14:val="tx1"/>
            </w14:solidFill>
          </w14:textFill>
        </w:rPr>
      </w:pPr>
      <w:bookmarkStart w:id="112" w:name="_Toc17699_WPSOffice_Level1"/>
      <w:r>
        <w:rPr>
          <w:rFonts w:hint="eastAsia" w:ascii="宋体" w:hAnsi="宋体" w:cs="宋体"/>
          <w:b/>
          <w:bCs/>
          <w:color w:val="000000" w:themeColor="text1"/>
          <w:sz w:val="32"/>
          <w:szCs w:val="32"/>
          <w:highlight w:val="none"/>
          <w14:textFill>
            <w14:solidFill>
              <w14:schemeClr w14:val="tx1"/>
            </w14:solidFill>
          </w14:textFill>
        </w:rPr>
        <w:br w:type="page"/>
      </w:r>
      <w:r>
        <w:rPr>
          <w:rFonts w:hint="eastAsia" w:ascii="宋体" w:hAnsi="宋体" w:cs="宋体"/>
          <w:b/>
          <w:bCs/>
          <w:color w:val="000000" w:themeColor="text1"/>
          <w:sz w:val="32"/>
          <w:szCs w:val="32"/>
          <w:highlight w:val="none"/>
          <w14:textFill>
            <w14:solidFill>
              <w14:schemeClr w14:val="tx1"/>
            </w14:solidFill>
          </w14:textFill>
        </w:rPr>
        <w:t>第七章 投标文件格式</w:t>
      </w:r>
      <w:bookmarkEnd w:id="112"/>
    </w:p>
    <w:p w14:paraId="58B5BBDD">
      <w:pPr>
        <w:spacing w:line="900" w:lineRule="exact"/>
        <w:jc w:val="cente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****项目</w:t>
      </w:r>
    </w:p>
    <w:p w14:paraId="64AFFAC5">
      <w:pPr>
        <w:pStyle w:val="15"/>
        <w:rPr>
          <w:rFonts w:hint="eastAsia"/>
          <w:color w:val="000000" w:themeColor="text1"/>
          <w:highlight w:val="none"/>
          <w14:textFill>
            <w14:solidFill>
              <w14:schemeClr w14:val="tx1"/>
            </w14:solidFill>
          </w14:textFill>
        </w:rPr>
      </w:pPr>
    </w:p>
    <w:p w14:paraId="256FF7AD">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投</w:t>
      </w:r>
    </w:p>
    <w:p w14:paraId="47559CFE">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791E6852">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标</w:t>
      </w:r>
    </w:p>
    <w:p w14:paraId="72DE0B56">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6948C617">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文</w:t>
      </w:r>
    </w:p>
    <w:p w14:paraId="5E17E3EA">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2B3DD2DE">
      <w:pPr>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件</w:t>
      </w:r>
    </w:p>
    <w:p w14:paraId="4DEBAC55">
      <w:pPr>
        <w:spacing w:after="120" w:afterLines="50" w:line="500" w:lineRule="exact"/>
        <w:rPr>
          <w:rFonts w:hint="eastAsia" w:ascii="宋体" w:hAnsi="宋体" w:cs="宋体"/>
          <w:b/>
          <w:color w:val="000000" w:themeColor="text1"/>
          <w:sz w:val="32"/>
          <w:highlight w:val="none"/>
          <w:u w:val="single"/>
          <w14:textFill>
            <w14:solidFill>
              <w14:schemeClr w14:val="tx1"/>
            </w14:solidFill>
          </w14:textFill>
        </w:rPr>
      </w:pPr>
      <w:r>
        <w:rPr>
          <w:rFonts w:hint="eastAsia" w:ascii="宋体" w:hAnsi="宋体" w:cs="宋体"/>
          <w:b/>
          <w:color w:val="000000" w:themeColor="text1"/>
          <w:sz w:val="30"/>
          <w:highlight w:val="non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投标人：</w:t>
      </w:r>
      <w:r>
        <w:rPr>
          <w:rFonts w:hint="eastAsia" w:ascii="宋体" w:hAnsi="宋体" w:cs="宋体"/>
          <w:b/>
          <w:color w:val="000000" w:themeColor="text1"/>
          <w:sz w:val="32"/>
          <w:highlight w:val="none"/>
          <w:u w:val="single"/>
          <w14:textFill>
            <w14:solidFill>
              <w14:schemeClr w14:val="tx1"/>
            </w14:solidFill>
          </w14:textFill>
        </w:rPr>
        <w:t xml:space="preserve">               </w:t>
      </w:r>
    </w:p>
    <w:p w14:paraId="66A8FC73">
      <w:pPr>
        <w:spacing w:after="120" w:afterLines="50" w:line="500" w:lineRule="exact"/>
        <w:jc w:val="center"/>
        <w:rPr>
          <w:rFonts w:hint="eastAsia"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u w:val="single"/>
          <w14:textFill>
            <w14:solidFill>
              <w14:schemeClr w14:val="tx1"/>
            </w14:solidFill>
          </w14:textFill>
        </w:rPr>
        <w:t xml:space="preserve"> </w:t>
      </w:r>
      <w:bookmarkStart w:id="113" w:name="_Toc5567_WPSOffice_Level2"/>
      <w:r>
        <w:rPr>
          <w:rFonts w:hint="eastAsia" w:ascii="宋体" w:hAnsi="宋体" w:cs="宋体"/>
          <w:b/>
          <w:color w:val="000000" w:themeColor="text1"/>
          <w:sz w:val="32"/>
          <w:highlight w:val="none"/>
          <w14:textFill>
            <w14:solidFill>
              <w14:schemeClr w14:val="tx1"/>
            </w14:solidFill>
          </w14:textFill>
        </w:rPr>
        <w:t>年</w:t>
      </w:r>
      <w:r>
        <w:rPr>
          <w:rFonts w:hint="eastAsia" w:ascii="宋体" w:hAnsi="宋体" w:cs="宋体"/>
          <w:b/>
          <w:color w:val="000000" w:themeColor="text1"/>
          <w:sz w:val="32"/>
          <w:highlight w:val="none"/>
          <w:u w:val="singl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月</w:t>
      </w:r>
      <w:r>
        <w:rPr>
          <w:rFonts w:hint="eastAsia" w:ascii="宋体" w:hAnsi="宋体" w:cs="宋体"/>
          <w:b/>
          <w:color w:val="000000" w:themeColor="text1"/>
          <w:sz w:val="32"/>
          <w:highlight w:val="none"/>
          <w:u w:val="singl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日</w:t>
      </w:r>
      <w:bookmarkEnd w:id="113"/>
    </w:p>
    <w:p w14:paraId="4AEA23CA">
      <w:pPr>
        <w:rPr>
          <w:rFonts w:hint="eastAsia" w:ascii="宋体" w:hAnsi="宋体" w:cs="宋体"/>
          <w:color w:val="000000" w:themeColor="text1"/>
          <w:highlight w:val="none"/>
          <w14:textFill>
            <w14:solidFill>
              <w14:schemeClr w14:val="tx1"/>
            </w14:solidFill>
          </w14:textFill>
        </w:rPr>
      </w:pPr>
      <w:bookmarkStart w:id="114" w:name="_Hlt50174708"/>
      <w:bookmarkEnd w:id="114"/>
      <w:bookmarkStart w:id="115" w:name="_Hlt533408877"/>
      <w:bookmarkEnd w:id="115"/>
      <w:bookmarkStart w:id="116" w:name="_Hlt519045470"/>
      <w:bookmarkEnd w:id="116"/>
      <w:bookmarkStart w:id="117" w:name="_Hlt519068595"/>
      <w:bookmarkEnd w:id="117"/>
      <w:bookmarkStart w:id="118" w:name="_Hlt50174722"/>
      <w:bookmarkEnd w:id="118"/>
      <w:bookmarkStart w:id="119" w:name="_Hlt50174972"/>
      <w:bookmarkEnd w:id="119"/>
      <w:bookmarkStart w:id="120" w:name="_Hlt509738521"/>
      <w:bookmarkStart w:id="121" w:name="_Hlt509738509"/>
      <w:bookmarkStart w:id="122" w:name="_Hlt519045391"/>
    </w:p>
    <w:p w14:paraId="60FC02D4">
      <w:pPr>
        <w:pStyle w:val="15"/>
        <w:rPr>
          <w:rFonts w:hint="eastAsia" w:ascii="宋体" w:hAnsi="宋体" w:cs="宋体"/>
          <w:color w:val="000000" w:themeColor="text1"/>
          <w:highlight w:val="none"/>
          <w14:textFill>
            <w14:solidFill>
              <w14:schemeClr w14:val="tx1"/>
            </w14:solidFill>
          </w14:textFill>
        </w:rPr>
      </w:pPr>
    </w:p>
    <w:p w14:paraId="2FA3F513">
      <w:pPr>
        <w:pStyle w:val="15"/>
        <w:rPr>
          <w:rFonts w:hint="eastAsia" w:ascii="宋体" w:hAnsi="宋体" w:cs="宋体"/>
          <w:color w:val="000000" w:themeColor="text1"/>
          <w:highlight w:val="none"/>
          <w14:textFill>
            <w14:solidFill>
              <w14:schemeClr w14:val="tx1"/>
            </w14:solidFill>
          </w14:textFill>
        </w:rPr>
      </w:pPr>
    </w:p>
    <w:p w14:paraId="12A92B25">
      <w:pPr>
        <w:pStyle w:val="15"/>
        <w:rPr>
          <w:rFonts w:hint="eastAsia" w:ascii="宋体" w:hAnsi="宋体" w:cs="宋体"/>
          <w:color w:val="000000" w:themeColor="text1"/>
          <w:highlight w:val="none"/>
          <w14:textFill>
            <w14:solidFill>
              <w14:schemeClr w14:val="tx1"/>
            </w14:solidFill>
          </w14:textFill>
        </w:rPr>
      </w:pPr>
    </w:p>
    <w:p w14:paraId="128426AA">
      <w:pPr>
        <w:pStyle w:val="15"/>
        <w:rPr>
          <w:rFonts w:hint="eastAsia" w:ascii="宋体" w:hAnsi="宋体" w:cs="宋体"/>
          <w:color w:val="000000" w:themeColor="text1"/>
          <w:highlight w:val="none"/>
          <w14:textFill>
            <w14:solidFill>
              <w14:schemeClr w14:val="tx1"/>
            </w14:solidFill>
          </w14:textFill>
        </w:rPr>
      </w:pPr>
    </w:p>
    <w:p w14:paraId="304E82FE">
      <w:pPr>
        <w:pStyle w:val="15"/>
        <w:rPr>
          <w:rFonts w:hint="eastAsia" w:ascii="宋体" w:hAnsi="宋体" w:cs="宋体"/>
          <w:color w:val="000000" w:themeColor="text1"/>
          <w:highlight w:val="none"/>
          <w14:textFill>
            <w14:solidFill>
              <w14:schemeClr w14:val="tx1"/>
            </w14:solidFill>
          </w14:textFill>
        </w:rPr>
      </w:pPr>
    </w:p>
    <w:p w14:paraId="671072BB">
      <w:pPr>
        <w:pStyle w:val="15"/>
        <w:rPr>
          <w:rFonts w:hint="eastAsia" w:ascii="宋体" w:hAnsi="宋体" w:cs="宋体"/>
          <w:color w:val="000000" w:themeColor="text1"/>
          <w:highlight w:val="none"/>
          <w14:textFill>
            <w14:solidFill>
              <w14:schemeClr w14:val="tx1"/>
            </w14:solidFill>
          </w14:textFill>
        </w:rPr>
      </w:pPr>
    </w:p>
    <w:p w14:paraId="3D9C285C">
      <w:pPr>
        <w:pStyle w:val="15"/>
        <w:rPr>
          <w:rFonts w:hint="eastAsia" w:ascii="宋体" w:hAnsi="宋体" w:cs="宋体"/>
          <w:color w:val="000000" w:themeColor="text1"/>
          <w:highlight w:val="none"/>
          <w14:textFill>
            <w14:solidFill>
              <w14:schemeClr w14:val="tx1"/>
            </w14:solidFill>
          </w14:textFill>
        </w:rPr>
      </w:pPr>
    </w:p>
    <w:p w14:paraId="03FAB1BA">
      <w:pPr>
        <w:pStyle w:val="15"/>
        <w:rPr>
          <w:rFonts w:hint="eastAsia" w:ascii="宋体" w:hAnsi="宋体" w:cs="宋体"/>
          <w:color w:val="000000" w:themeColor="text1"/>
          <w:highlight w:val="none"/>
          <w14:textFill>
            <w14:solidFill>
              <w14:schemeClr w14:val="tx1"/>
            </w14:solidFill>
          </w14:textFill>
        </w:rPr>
      </w:pPr>
    </w:p>
    <w:p w14:paraId="6A2898B5">
      <w:pPr>
        <w:pStyle w:val="15"/>
        <w:rPr>
          <w:rFonts w:hint="eastAsia" w:ascii="宋体" w:hAnsi="宋体" w:cs="宋体"/>
          <w:color w:val="000000" w:themeColor="text1"/>
          <w:highlight w:val="none"/>
          <w14:textFill>
            <w14:solidFill>
              <w14:schemeClr w14:val="tx1"/>
            </w14:solidFill>
          </w14:textFill>
        </w:rPr>
      </w:pPr>
    </w:p>
    <w:p w14:paraId="67AFC5B4">
      <w:pPr>
        <w:pStyle w:val="15"/>
        <w:rPr>
          <w:rFonts w:hint="eastAsia" w:ascii="宋体" w:hAnsi="宋体" w:cs="宋体"/>
          <w:color w:val="000000" w:themeColor="text1"/>
          <w:highlight w:val="none"/>
          <w14:textFill>
            <w14:solidFill>
              <w14:schemeClr w14:val="tx1"/>
            </w14:solidFill>
          </w14:textFill>
        </w:rPr>
      </w:pPr>
    </w:p>
    <w:p w14:paraId="55402EED">
      <w:pPr>
        <w:pStyle w:val="15"/>
        <w:rPr>
          <w:rFonts w:hint="eastAsia" w:ascii="宋体" w:hAnsi="宋体" w:cs="宋体"/>
          <w:color w:val="000000" w:themeColor="text1"/>
          <w:highlight w:val="none"/>
          <w14:textFill>
            <w14:solidFill>
              <w14:schemeClr w14:val="tx1"/>
            </w14:solidFill>
          </w14:textFill>
        </w:rPr>
      </w:pPr>
    </w:p>
    <w:p w14:paraId="208EA76B">
      <w:pPr>
        <w:pStyle w:val="15"/>
        <w:rPr>
          <w:rFonts w:hint="eastAsia" w:ascii="宋体" w:hAnsi="宋体" w:cs="宋体"/>
          <w:color w:val="000000" w:themeColor="text1"/>
          <w:highlight w:val="none"/>
          <w14:textFill>
            <w14:solidFill>
              <w14:schemeClr w14:val="tx1"/>
            </w14:solidFill>
          </w14:textFill>
        </w:rPr>
      </w:pPr>
    </w:p>
    <w:p w14:paraId="3658DC0D">
      <w:pPr>
        <w:pStyle w:val="15"/>
        <w:rPr>
          <w:rFonts w:hint="eastAsia" w:ascii="宋体" w:hAnsi="宋体" w:cs="宋体"/>
          <w:color w:val="000000" w:themeColor="text1"/>
          <w:highlight w:val="none"/>
          <w14:textFill>
            <w14:solidFill>
              <w14:schemeClr w14:val="tx1"/>
            </w14:solidFill>
          </w14:textFill>
        </w:rPr>
      </w:pPr>
    </w:p>
    <w:p w14:paraId="0A0FC85E">
      <w:pPr>
        <w:pStyle w:val="15"/>
        <w:rPr>
          <w:rFonts w:hint="eastAsia" w:ascii="宋体" w:hAnsi="宋体" w:cs="宋体"/>
          <w:color w:val="000000" w:themeColor="text1"/>
          <w:highlight w:val="none"/>
          <w14:textFill>
            <w14:solidFill>
              <w14:schemeClr w14:val="tx1"/>
            </w14:solidFill>
          </w14:textFill>
        </w:rPr>
      </w:pPr>
    </w:p>
    <w:p w14:paraId="2FAD28FE">
      <w:pPr>
        <w:pStyle w:val="15"/>
        <w:rPr>
          <w:rFonts w:hint="eastAsia" w:ascii="宋体" w:hAnsi="宋体" w:cs="宋体"/>
          <w:color w:val="000000" w:themeColor="text1"/>
          <w:highlight w:val="none"/>
          <w14:textFill>
            <w14:solidFill>
              <w14:schemeClr w14:val="tx1"/>
            </w14:solidFill>
          </w14:textFill>
        </w:rPr>
      </w:pPr>
    </w:p>
    <w:p w14:paraId="092FBC16">
      <w:pPr>
        <w:pStyle w:val="15"/>
        <w:rPr>
          <w:rFonts w:hint="eastAsia" w:ascii="宋体" w:hAnsi="宋体" w:cs="宋体"/>
          <w:color w:val="000000" w:themeColor="text1"/>
          <w:highlight w:val="none"/>
          <w14:textFill>
            <w14:solidFill>
              <w14:schemeClr w14:val="tx1"/>
            </w14:solidFill>
          </w14:textFill>
        </w:rPr>
      </w:pPr>
    </w:p>
    <w:p w14:paraId="3BEA8BB0">
      <w:pPr>
        <w:pStyle w:val="15"/>
        <w:rPr>
          <w:rFonts w:hint="eastAsia" w:ascii="宋体" w:hAnsi="宋体" w:cs="宋体"/>
          <w:color w:val="000000" w:themeColor="text1"/>
          <w:highlight w:val="none"/>
          <w14:textFill>
            <w14:solidFill>
              <w14:schemeClr w14:val="tx1"/>
            </w14:solidFill>
          </w14:textFill>
        </w:rPr>
      </w:pPr>
    </w:p>
    <w:p w14:paraId="30086EDD">
      <w:pPr>
        <w:pStyle w:val="19"/>
        <w:rPr>
          <w:rFonts w:hint="eastAsia" w:ascii="宋体" w:hAnsi="宋体" w:eastAsia="宋体" w:cs="宋体"/>
          <w:color w:val="000000" w:themeColor="text1"/>
          <w:highlight w:val="none"/>
          <w14:textFill>
            <w14:solidFill>
              <w14:schemeClr w14:val="tx1"/>
            </w14:solidFill>
          </w14:textFill>
        </w:rPr>
      </w:pPr>
      <w:bookmarkStart w:id="123" w:name="_Toc20284_WPSOffice_Level2"/>
      <w:r>
        <w:rPr>
          <w:rFonts w:hint="eastAsia" w:ascii="宋体" w:hAnsi="宋体" w:eastAsia="宋体" w:cs="宋体"/>
          <w:color w:val="000000" w:themeColor="text1"/>
          <w:highlight w:val="none"/>
          <w14:textFill>
            <w14:solidFill>
              <w14:schemeClr w14:val="tx1"/>
            </w14:solidFill>
          </w14:textFill>
        </w:rPr>
        <w:t>投标文件资料清单</w:t>
      </w:r>
      <w:bookmarkEnd w:id="123"/>
    </w:p>
    <w:tbl>
      <w:tblPr>
        <w:tblStyle w:val="21"/>
        <w:tblW w:w="84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5496"/>
        <w:gridCol w:w="1866"/>
      </w:tblGrid>
      <w:tr w14:paraId="6CA0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057" w:type="dxa"/>
            <w:noWrap w:val="0"/>
            <w:vAlign w:val="center"/>
          </w:tcPr>
          <w:p w14:paraId="7608D035">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5496" w:type="dxa"/>
            <w:noWrap w:val="0"/>
            <w:vAlign w:val="center"/>
          </w:tcPr>
          <w:p w14:paraId="4AF95BBD">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资料名称</w:t>
            </w:r>
          </w:p>
        </w:tc>
        <w:tc>
          <w:tcPr>
            <w:tcW w:w="1866" w:type="dxa"/>
            <w:noWrap w:val="0"/>
            <w:vAlign w:val="center"/>
          </w:tcPr>
          <w:p w14:paraId="7384C1F6">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页码范围</w:t>
            </w:r>
          </w:p>
        </w:tc>
      </w:tr>
      <w:tr w14:paraId="1C15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057" w:type="dxa"/>
            <w:noWrap w:val="0"/>
            <w:vAlign w:val="center"/>
          </w:tcPr>
          <w:p w14:paraId="1387252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w:t>
            </w:r>
          </w:p>
        </w:tc>
        <w:tc>
          <w:tcPr>
            <w:tcW w:w="5496" w:type="dxa"/>
            <w:noWrap w:val="0"/>
            <w:vAlign w:val="center"/>
          </w:tcPr>
          <w:p w14:paraId="3345DD66">
            <w:pPr>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开标一览表</w:t>
            </w:r>
          </w:p>
        </w:tc>
        <w:tc>
          <w:tcPr>
            <w:tcW w:w="1866" w:type="dxa"/>
            <w:noWrap w:val="0"/>
            <w:vAlign w:val="center"/>
          </w:tcPr>
          <w:p w14:paraId="227AF39F">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21F67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057" w:type="dxa"/>
            <w:noWrap w:val="0"/>
            <w:vAlign w:val="center"/>
          </w:tcPr>
          <w:p w14:paraId="07D6546B">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w:t>
            </w:r>
          </w:p>
        </w:tc>
        <w:tc>
          <w:tcPr>
            <w:tcW w:w="5496" w:type="dxa"/>
            <w:noWrap w:val="0"/>
            <w:vAlign w:val="center"/>
          </w:tcPr>
          <w:p w14:paraId="2BE97FC3">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投标人情况综合简介</w:t>
            </w:r>
          </w:p>
        </w:tc>
        <w:tc>
          <w:tcPr>
            <w:tcW w:w="1866" w:type="dxa"/>
            <w:noWrap w:val="0"/>
            <w:vAlign w:val="center"/>
          </w:tcPr>
          <w:p w14:paraId="71601F42">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3799C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057" w:type="dxa"/>
            <w:noWrap w:val="0"/>
            <w:vAlign w:val="center"/>
          </w:tcPr>
          <w:p w14:paraId="27026292">
            <w:pPr>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w:t>
            </w:r>
          </w:p>
        </w:tc>
        <w:tc>
          <w:tcPr>
            <w:tcW w:w="5496" w:type="dxa"/>
            <w:noWrap w:val="0"/>
            <w:vAlign w:val="center"/>
          </w:tcPr>
          <w:p w14:paraId="6B35CF01">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投标函</w:t>
            </w:r>
          </w:p>
        </w:tc>
        <w:tc>
          <w:tcPr>
            <w:tcW w:w="1866" w:type="dxa"/>
            <w:noWrap w:val="0"/>
            <w:vAlign w:val="center"/>
          </w:tcPr>
          <w:p w14:paraId="63033638">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55F6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057" w:type="dxa"/>
            <w:noWrap w:val="0"/>
            <w:vAlign w:val="center"/>
          </w:tcPr>
          <w:p w14:paraId="2BBED81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w:t>
            </w:r>
          </w:p>
        </w:tc>
        <w:tc>
          <w:tcPr>
            <w:tcW w:w="5496" w:type="dxa"/>
            <w:noWrap w:val="0"/>
            <w:vAlign w:val="center"/>
          </w:tcPr>
          <w:p w14:paraId="666FCE40">
            <w:pPr>
              <w:pStyle w:val="34"/>
              <w:rPr>
                <w:rFonts w:hint="eastAsia"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投标分项报价表</w:t>
            </w:r>
          </w:p>
        </w:tc>
        <w:tc>
          <w:tcPr>
            <w:tcW w:w="1866" w:type="dxa"/>
            <w:noWrap w:val="0"/>
            <w:vAlign w:val="center"/>
          </w:tcPr>
          <w:p w14:paraId="74D51727">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6B5B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057" w:type="dxa"/>
            <w:noWrap w:val="0"/>
            <w:vAlign w:val="center"/>
          </w:tcPr>
          <w:p w14:paraId="42CFD2C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w:t>
            </w:r>
          </w:p>
        </w:tc>
        <w:tc>
          <w:tcPr>
            <w:tcW w:w="5496" w:type="dxa"/>
            <w:noWrap w:val="0"/>
            <w:vAlign w:val="center"/>
          </w:tcPr>
          <w:p w14:paraId="37B2C3A5">
            <w:pP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投标响应表</w:t>
            </w:r>
          </w:p>
        </w:tc>
        <w:tc>
          <w:tcPr>
            <w:tcW w:w="1866" w:type="dxa"/>
            <w:noWrap w:val="0"/>
            <w:vAlign w:val="center"/>
          </w:tcPr>
          <w:p w14:paraId="1F1B463E">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59A9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057" w:type="dxa"/>
            <w:noWrap w:val="0"/>
            <w:vAlign w:val="center"/>
          </w:tcPr>
          <w:p w14:paraId="1E6508C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w:t>
            </w:r>
          </w:p>
        </w:tc>
        <w:tc>
          <w:tcPr>
            <w:tcW w:w="5496" w:type="dxa"/>
            <w:noWrap w:val="0"/>
            <w:vAlign w:val="center"/>
          </w:tcPr>
          <w:p w14:paraId="4282137D">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产品质量承诺</w:t>
            </w:r>
          </w:p>
        </w:tc>
        <w:tc>
          <w:tcPr>
            <w:tcW w:w="1866" w:type="dxa"/>
            <w:noWrap w:val="0"/>
            <w:vAlign w:val="center"/>
          </w:tcPr>
          <w:p w14:paraId="144BA5F9">
            <w:pPr>
              <w:spacing w:line="360" w:lineRule="auto"/>
              <w:rPr>
                <w:rFonts w:hint="eastAsia" w:ascii="宋体" w:hAnsi="宋体" w:cs="宋体"/>
                <w:b/>
                <w:color w:val="000000" w:themeColor="text1"/>
                <w:sz w:val="24"/>
                <w:highlight w:val="none"/>
                <w14:textFill>
                  <w14:solidFill>
                    <w14:schemeClr w14:val="tx1"/>
                  </w14:solidFill>
                </w14:textFill>
              </w:rPr>
            </w:pPr>
          </w:p>
        </w:tc>
      </w:tr>
      <w:tr w14:paraId="07F9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057" w:type="dxa"/>
            <w:noWrap w:val="0"/>
            <w:vAlign w:val="center"/>
          </w:tcPr>
          <w:p w14:paraId="05161CD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w:t>
            </w:r>
          </w:p>
        </w:tc>
        <w:tc>
          <w:tcPr>
            <w:tcW w:w="5496" w:type="dxa"/>
            <w:noWrap w:val="0"/>
            <w:vAlign w:val="center"/>
          </w:tcPr>
          <w:p w14:paraId="6626D733">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所供货物组部件、备品、备件清单</w:t>
            </w:r>
          </w:p>
        </w:tc>
        <w:tc>
          <w:tcPr>
            <w:tcW w:w="1866" w:type="dxa"/>
            <w:noWrap w:val="0"/>
            <w:vAlign w:val="center"/>
          </w:tcPr>
          <w:p w14:paraId="52A451E4">
            <w:pPr>
              <w:spacing w:line="360" w:lineRule="auto"/>
              <w:rPr>
                <w:rFonts w:hint="eastAsia" w:ascii="宋体" w:hAnsi="宋体" w:cs="宋体"/>
                <w:b/>
                <w:color w:val="000000" w:themeColor="text1"/>
                <w:sz w:val="24"/>
                <w:highlight w:val="none"/>
                <w14:textFill>
                  <w14:solidFill>
                    <w14:schemeClr w14:val="tx1"/>
                  </w14:solidFill>
                </w14:textFill>
              </w:rPr>
            </w:pPr>
          </w:p>
        </w:tc>
      </w:tr>
      <w:tr w14:paraId="2E41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057" w:type="dxa"/>
            <w:noWrap w:val="0"/>
            <w:vAlign w:val="center"/>
          </w:tcPr>
          <w:p w14:paraId="34954F9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w:t>
            </w:r>
          </w:p>
        </w:tc>
        <w:tc>
          <w:tcPr>
            <w:tcW w:w="5496" w:type="dxa"/>
            <w:noWrap w:val="0"/>
            <w:vAlign w:val="center"/>
          </w:tcPr>
          <w:p w14:paraId="36D4B402">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有关证明文件</w:t>
            </w:r>
          </w:p>
        </w:tc>
        <w:tc>
          <w:tcPr>
            <w:tcW w:w="1866" w:type="dxa"/>
            <w:noWrap w:val="0"/>
            <w:vAlign w:val="center"/>
          </w:tcPr>
          <w:p w14:paraId="09FD2D2B">
            <w:pPr>
              <w:spacing w:line="360" w:lineRule="auto"/>
              <w:rPr>
                <w:rFonts w:hint="eastAsia" w:ascii="宋体" w:hAnsi="宋体" w:cs="宋体"/>
                <w:b/>
                <w:color w:val="000000" w:themeColor="text1"/>
                <w:sz w:val="24"/>
                <w:highlight w:val="none"/>
                <w14:textFill>
                  <w14:solidFill>
                    <w14:schemeClr w14:val="tx1"/>
                  </w14:solidFill>
                </w14:textFill>
              </w:rPr>
            </w:pPr>
          </w:p>
        </w:tc>
      </w:tr>
      <w:tr w14:paraId="453BC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57" w:type="dxa"/>
            <w:noWrap w:val="0"/>
            <w:vAlign w:val="center"/>
          </w:tcPr>
          <w:p w14:paraId="4E4758E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w:t>
            </w:r>
          </w:p>
        </w:tc>
        <w:tc>
          <w:tcPr>
            <w:tcW w:w="5496" w:type="dxa"/>
            <w:noWrap w:val="0"/>
            <w:vAlign w:val="center"/>
          </w:tcPr>
          <w:p w14:paraId="4DA40B6C">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中小企业声明函</w:t>
            </w:r>
          </w:p>
        </w:tc>
        <w:tc>
          <w:tcPr>
            <w:tcW w:w="1866" w:type="dxa"/>
            <w:noWrap w:val="0"/>
            <w:vAlign w:val="center"/>
          </w:tcPr>
          <w:p w14:paraId="7A64C383">
            <w:pPr>
              <w:spacing w:line="360" w:lineRule="auto"/>
              <w:rPr>
                <w:rFonts w:hint="eastAsia" w:ascii="宋体" w:hAnsi="宋体" w:cs="宋体"/>
                <w:b/>
                <w:color w:val="000000" w:themeColor="text1"/>
                <w:sz w:val="24"/>
                <w:highlight w:val="none"/>
                <w14:textFill>
                  <w14:solidFill>
                    <w14:schemeClr w14:val="tx1"/>
                  </w14:solidFill>
                </w14:textFill>
              </w:rPr>
            </w:pPr>
          </w:p>
        </w:tc>
      </w:tr>
      <w:tr w14:paraId="7019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057" w:type="dxa"/>
            <w:noWrap w:val="0"/>
            <w:vAlign w:val="center"/>
          </w:tcPr>
          <w:p w14:paraId="68D785C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w:t>
            </w:r>
          </w:p>
        </w:tc>
        <w:tc>
          <w:tcPr>
            <w:tcW w:w="5496" w:type="dxa"/>
            <w:noWrap w:val="0"/>
            <w:vAlign w:val="center"/>
          </w:tcPr>
          <w:p w14:paraId="0F530287">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w:t>
            </w:r>
          </w:p>
        </w:tc>
        <w:tc>
          <w:tcPr>
            <w:tcW w:w="1866" w:type="dxa"/>
            <w:noWrap w:val="0"/>
            <w:vAlign w:val="center"/>
          </w:tcPr>
          <w:p w14:paraId="0A4A7CE3">
            <w:pPr>
              <w:spacing w:line="360" w:lineRule="auto"/>
              <w:rPr>
                <w:rFonts w:hint="eastAsia" w:ascii="宋体" w:hAnsi="宋体" w:cs="宋体"/>
                <w:b/>
                <w:color w:val="000000" w:themeColor="text1"/>
                <w:sz w:val="24"/>
                <w:highlight w:val="none"/>
                <w14:textFill>
                  <w14:solidFill>
                    <w14:schemeClr w14:val="tx1"/>
                  </w14:solidFill>
                </w14:textFill>
              </w:rPr>
            </w:pPr>
          </w:p>
        </w:tc>
      </w:tr>
      <w:tr w14:paraId="52B44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057" w:type="dxa"/>
            <w:noWrap w:val="0"/>
            <w:vAlign w:val="center"/>
          </w:tcPr>
          <w:p w14:paraId="2102CC2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十一</w:t>
            </w:r>
          </w:p>
        </w:tc>
        <w:tc>
          <w:tcPr>
            <w:tcW w:w="5496" w:type="dxa"/>
            <w:noWrap w:val="0"/>
            <w:vAlign w:val="center"/>
          </w:tcPr>
          <w:p w14:paraId="1F1C9DFF">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所投货物的技术资料等</w:t>
            </w:r>
          </w:p>
        </w:tc>
        <w:tc>
          <w:tcPr>
            <w:tcW w:w="1866" w:type="dxa"/>
            <w:noWrap w:val="0"/>
            <w:vAlign w:val="center"/>
          </w:tcPr>
          <w:p w14:paraId="7C82F9AB">
            <w:pPr>
              <w:spacing w:line="360" w:lineRule="auto"/>
              <w:rPr>
                <w:rFonts w:hint="eastAsia" w:ascii="宋体" w:hAnsi="宋体" w:cs="宋体"/>
                <w:b/>
                <w:color w:val="000000" w:themeColor="text1"/>
                <w:sz w:val="24"/>
                <w:highlight w:val="none"/>
                <w14:textFill>
                  <w14:solidFill>
                    <w14:schemeClr w14:val="tx1"/>
                  </w14:solidFill>
                </w14:textFill>
              </w:rPr>
            </w:pPr>
          </w:p>
        </w:tc>
      </w:tr>
      <w:tr w14:paraId="6685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057" w:type="dxa"/>
            <w:noWrap w:val="0"/>
            <w:vAlign w:val="center"/>
          </w:tcPr>
          <w:p w14:paraId="290F938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w:t>
            </w:r>
          </w:p>
        </w:tc>
        <w:tc>
          <w:tcPr>
            <w:tcW w:w="5496" w:type="dxa"/>
            <w:noWrap w:val="0"/>
            <w:vAlign w:val="center"/>
          </w:tcPr>
          <w:p w14:paraId="6AACE4C7">
            <w:pPr>
              <w:rPr>
                <w:rFonts w:hint="eastAsia"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其他投标人认为需要提供得材料等</w:t>
            </w:r>
          </w:p>
        </w:tc>
        <w:tc>
          <w:tcPr>
            <w:tcW w:w="1866" w:type="dxa"/>
            <w:noWrap w:val="0"/>
            <w:vAlign w:val="center"/>
          </w:tcPr>
          <w:p w14:paraId="3C48D463">
            <w:pPr>
              <w:spacing w:line="360" w:lineRule="auto"/>
              <w:rPr>
                <w:rFonts w:hint="eastAsia" w:ascii="宋体" w:hAnsi="宋体" w:cs="宋体"/>
                <w:b/>
                <w:color w:val="000000" w:themeColor="text1"/>
                <w:sz w:val="24"/>
                <w:highlight w:val="none"/>
                <w14:textFill>
                  <w14:solidFill>
                    <w14:schemeClr w14:val="tx1"/>
                  </w14:solidFill>
                </w14:textFill>
              </w:rPr>
            </w:pPr>
          </w:p>
        </w:tc>
      </w:tr>
      <w:tr w14:paraId="1D94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057" w:type="dxa"/>
            <w:noWrap w:val="0"/>
            <w:vAlign w:val="center"/>
          </w:tcPr>
          <w:p w14:paraId="720F5F51">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w:t>
            </w:r>
          </w:p>
        </w:tc>
        <w:tc>
          <w:tcPr>
            <w:tcW w:w="5496" w:type="dxa"/>
            <w:noWrap w:val="0"/>
            <w:vAlign w:val="center"/>
          </w:tcPr>
          <w:p w14:paraId="443BC24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政府采购供应商诚信承诺书</w:t>
            </w:r>
          </w:p>
          <w:p w14:paraId="507D82B0">
            <w:pPr>
              <w:rPr>
                <w:rFonts w:hint="eastAsia" w:ascii="宋体" w:hAnsi="宋体" w:cs="宋体"/>
                <w:color w:val="000000" w:themeColor="text1"/>
                <w:sz w:val="24"/>
                <w:highlight w:val="none"/>
                <w14:textFill>
                  <w14:solidFill>
                    <w14:schemeClr w14:val="tx1"/>
                  </w14:solidFill>
                </w14:textFill>
              </w:rPr>
            </w:pPr>
          </w:p>
        </w:tc>
        <w:tc>
          <w:tcPr>
            <w:tcW w:w="1866" w:type="dxa"/>
            <w:noWrap w:val="0"/>
            <w:vAlign w:val="center"/>
          </w:tcPr>
          <w:p w14:paraId="22A05512">
            <w:pPr>
              <w:spacing w:line="360" w:lineRule="auto"/>
              <w:rPr>
                <w:rFonts w:hint="eastAsia" w:ascii="宋体" w:hAnsi="宋体" w:cs="宋体"/>
                <w:b/>
                <w:color w:val="000000" w:themeColor="text1"/>
                <w:sz w:val="24"/>
                <w:highlight w:val="none"/>
                <w14:textFill>
                  <w14:solidFill>
                    <w14:schemeClr w14:val="tx1"/>
                  </w14:solidFill>
                </w14:textFill>
              </w:rPr>
            </w:pPr>
          </w:p>
        </w:tc>
      </w:tr>
      <w:tr w14:paraId="2819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057" w:type="dxa"/>
            <w:noWrap w:val="0"/>
            <w:vAlign w:val="center"/>
          </w:tcPr>
          <w:p w14:paraId="5FFF0227">
            <w:pPr>
              <w:jc w:val="center"/>
              <w:rPr>
                <w:rFonts w:hint="eastAsia" w:ascii="宋体" w:hAnsi="宋体" w:cs="宋体"/>
                <w:color w:val="000000" w:themeColor="text1"/>
                <w:sz w:val="24"/>
                <w:highlight w:val="none"/>
                <w14:textFill>
                  <w14:solidFill>
                    <w14:schemeClr w14:val="tx1"/>
                  </w14:solidFill>
                </w14:textFill>
              </w:rPr>
            </w:pPr>
          </w:p>
        </w:tc>
        <w:tc>
          <w:tcPr>
            <w:tcW w:w="5496" w:type="dxa"/>
            <w:noWrap w:val="0"/>
            <w:vAlign w:val="center"/>
          </w:tcPr>
          <w:p w14:paraId="751FE242">
            <w:pPr>
              <w:rPr>
                <w:rFonts w:hint="eastAsia" w:ascii="宋体" w:hAnsi="宋体" w:cs="宋体"/>
                <w:color w:val="000000" w:themeColor="text1"/>
                <w:sz w:val="24"/>
                <w:highlight w:val="none"/>
                <w14:textFill>
                  <w14:solidFill>
                    <w14:schemeClr w14:val="tx1"/>
                  </w14:solidFill>
                </w14:textFill>
              </w:rPr>
            </w:pPr>
          </w:p>
        </w:tc>
        <w:tc>
          <w:tcPr>
            <w:tcW w:w="1866" w:type="dxa"/>
            <w:noWrap w:val="0"/>
            <w:vAlign w:val="center"/>
          </w:tcPr>
          <w:p w14:paraId="6F09B228">
            <w:pPr>
              <w:spacing w:line="360" w:lineRule="auto"/>
              <w:rPr>
                <w:rFonts w:hint="eastAsia" w:ascii="宋体" w:hAnsi="宋体" w:cs="宋体"/>
                <w:b/>
                <w:color w:val="000000" w:themeColor="text1"/>
                <w:sz w:val="24"/>
                <w:highlight w:val="none"/>
                <w14:textFill>
                  <w14:solidFill>
                    <w14:schemeClr w14:val="tx1"/>
                  </w14:solidFill>
                </w14:textFill>
              </w:rPr>
            </w:pPr>
          </w:p>
        </w:tc>
      </w:tr>
      <w:tr w14:paraId="522A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trPr>
        <w:tc>
          <w:tcPr>
            <w:tcW w:w="8419" w:type="dxa"/>
            <w:gridSpan w:val="3"/>
            <w:noWrap w:val="0"/>
            <w:vAlign w:val="center"/>
          </w:tcPr>
          <w:p w14:paraId="65A58F09">
            <w:pPr>
              <w:spacing w:line="500" w:lineRule="exact"/>
              <w:rPr>
                <w:rFonts w:hint="eastAsia" w:ascii="宋体" w:hAnsi="宋体" w:cs="宋体"/>
                <w:b/>
                <w:color w:val="000000" w:themeColor="text1"/>
                <w:sz w:val="28"/>
                <w:highlight w:val="none"/>
                <w14:textFill>
                  <w14:solidFill>
                    <w14:schemeClr w14:val="tx1"/>
                  </w14:solidFill>
                </w14:textFill>
              </w:rPr>
            </w:pPr>
            <w:r>
              <w:rPr>
                <w:rFonts w:hint="eastAsia" w:ascii="宋体" w:hAnsi="宋体" w:cs="宋体"/>
                <w:b/>
                <w:color w:val="000000" w:themeColor="text1"/>
                <w:sz w:val="28"/>
                <w:highlight w:val="none"/>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7135D033">
      <w:pPr>
        <w:spacing w:line="500" w:lineRule="exact"/>
        <w:rPr>
          <w:rFonts w:hint="eastAsia" w:ascii="宋体" w:hAnsi="宋体" w:cs="宋体"/>
          <w:color w:val="000000" w:themeColor="text1"/>
          <w:sz w:val="28"/>
          <w:highlight w:val="none"/>
          <w14:textFill>
            <w14:solidFill>
              <w14:schemeClr w14:val="tx1"/>
            </w14:solidFill>
          </w14:textFill>
        </w:rPr>
      </w:pPr>
    </w:p>
    <w:p w14:paraId="5D57BBB9">
      <w:pPr>
        <w:pStyle w:val="15"/>
        <w:rPr>
          <w:rFonts w:hint="eastAsia"/>
          <w:color w:val="000000" w:themeColor="text1"/>
          <w:highlight w:val="none"/>
          <w14:textFill>
            <w14:solidFill>
              <w14:schemeClr w14:val="tx1"/>
            </w14:solidFill>
          </w14:textFill>
        </w:rPr>
      </w:pPr>
    </w:p>
    <w:p w14:paraId="0956F795">
      <w:pPr>
        <w:pStyle w:val="15"/>
        <w:rPr>
          <w:rFonts w:hint="eastAsia"/>
          <w:color w:val="000000" w:themeColor="text1"/>
          <w:highlight w:val="none"/>
          <w14:textFill>
            <w14:solidFill>
              <w14:schemeClr w14:val="tx1"/>
            </w14:solidFill>
          </w14:textFill>
        </w:rPr>
      </w:pPr>
    </w:p>
    <w:p w14:paraId="0A7D2822">
      <w:pPr>
        <w:pStyle w:val="15"/>
        <w:rPr>
          <w:rFonts w:hint="eastAsia"/>
          <w:color w:val="000000" w:themeColor="text1"/>
          <w:highlight w:val="none"/>
          <w14:textFill>
            <w14:solidFill>
              <w14:schemeClr w14:val="tx1"/>
            </w14:solidFill>
          </w14:textFill>
        </w:rPr>
      </w:pPr>
    </w:p>
    <w:p w14:paraId="573D3136">
      <w:pPr>
        <w:pStyle w:val="15"/>
        <w:rPr>
          <w:rFonts w:hint="eastAsia"/>
          <w:color w:val="000000" w:themeColor="text1"/>
          <w:highlight w:val="none"/>
          <w14:textFill>
            <w14:solidFill>
              <w14:schemeClr w14:val="tx1"/>
            </w14:solidFill>
          </w14:textFill>
        </w:rPr>
      </w:pPr>
    </w:p>
    <w:p w14:paraId="0CAD67E5">
      <w:pPr>
        <w:pStyle w:val="15"/>
        <w:rPr>
          <w:rFonts w:hint="eastAsia"/>
          <w:color w:val="000000" w:themeColor="text1"/>
          <w:highlight w:val="none"/>
          <w14:textFill>
            <w14:solidFill>
              <w14:schemeClr w14:val="tx1"/>
            </w14:solidFill>
          </w14:textFill>
        </w:rPr>
      </w:pPr>
    </w:p>
    <w:p w14:paraId="29ABB6F8">
      <w:pPr>
        <w:pStyle w:val="4"/>
        <w:rPr>
          <w:rFonts w:hint="eastAsia" w:hAnsi="宋体" w:cs="宋体"/>
          <w:color w:val="000000" w:themeColor="text1"/>
          <w:sz w:val="28"/>
          <w:highlight w:val="none"/>
          <w14:textFill>
            <w14:solidFill>
              <w14:schemeClr w14:val="tx1"/>
            </w14:solidFill>
          </w14:textFill>
        </w:rPr>
      </w:pPr>
      <w:bookmarkStart w:id="124" w:name="_Toc2396_WPSOffice_Level2"/>
      <w:bookmarkStart w:id="125" w:name="_Toc197934561"/>
      <w:bookmarkStart w:id="126" w:name="_Toc40975449"/>
      <w:r>
        <w:rPr>
          <w:rFonts w:hint="eastAsia" w:hAnsi="宋体" w:cs="宋体"/>
          <w:color w:val="000000" w:themeColor="text1"/>
          <w:sz w:val="28"/>
          <w:highlight w:val="none"/>
          <w14:textFill>
            <w14:solidFill>
              <w14:schemeClr w14:val="tx1"/>
            </w14:solidFill>
          </w14:textFill>
        </w:rPr>
        <w:t>一．开标一览表</w:t>
      </w:r>
      <w:bookmarkEnd w:id="124"/>
      <w:bookmarkEnd w:id="125"/>
      <w:bookmarkEnd w:id="126"/>
    </w:p>
    <w:tbl>
      <w:tblPr>
        <w:tblStyle w:val="21"/>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096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15D2C933">
            <w:pPr>
              <w:widowControl/>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noWrap w:val="0"/>
            <w:vAlign w:val="center"/>
          </w:tcPr>
          <w:p w14:paraId="68CCA56E">
            <w:pPr>
              <w:spacing w:line="360" w:lineRule="exact"/>
              <w:jc w:val="center"/>
              <w:rPr>
                <w:rFonts w:hint="eastAsia" w:ascii="宋体" w:hAnsi="宋体" w:cs="宋体"/>
                <w:bCs/>
                <w:color w:val="000000" w:themeColor="text1"/>
                <w:sz w:val="24"/>
                <w:highlight w:val="none"/>
                <w:u w:val="single"/>
                <w14:textFill>
                  <w14:solidFill>
                    <w14:schemeClr w14:val="tx1"/>
                  </w14:solidFill>
                </w14:textFill>
              </w:rPr>
            </w:pPr>
          </w:p>
        </w:tc>
      </w:tr>
      <w:tr w14:paraId="1115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362F3A3">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投标人全称</w:t>
            </w:r>
          </w:p>
        </w:tc>
        <w:tc>
          <w:tcPr>
            <w:tcW w:w="6309" w:type="dxa"/>
            <w:tcBorders>
              <w:top w:val="nil"/>
            </w:tcBorders>
            <w:noWrap w:val="0"/>
            <w:vAlign w:val="center"/>
          </w:tcPr>
          <w:p w14:paraId="55DD45AD">
            <w:pPr>
              <w:spacing w:line="360" w:lineRule="auto"/>
              <w:rPr>
                <w:rFonts w:hint="eastAsia" w:ascii="宋体" w:hAnsi="宋体" w:cs="宋体"/>
                <w:color w:val="000000" w:themeColor="text1"/>
                <w:sz w:val="24"/>
                <w:highlight w:val="none"/>
                <w14:textFill>
                  <w14:solidFill>
                    <w14:schemeClr w14:val="tx1"/>
                  </w14:solidFill>
                </w14:textFill>
              </w:rPr>
            </w:pPr>
          </w:p>
        </w:tc>
      </w:tr>
      <w:tr w14:paraId="4DDB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E727BAB">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投标范围</w:t>
            </w:r>
          </w:p>
        </w:tc>
        <w:tc>
          <w:tcPr>
            <w:tcW w:w="6309" w:type="dxa"/>
            <w:tcBorders>
              <w:top w:val="nil"/>
            </w:tcBorders>
            <w:noWrap w:val="0"/>
            <w:vAlign w:val="center"/>
          </w:tcPr>
          <w:p w14:paraId="38803B1E">
            <w:pPr>
              <w:widowControl/>
              <w:spacing w:line="360" w:lineRule="exact"/>
              <w:rPr>
                <w:rFonts w:hint="eastAsia" w:ascii="宋体" w:hAnsi="宋体" w:cs="宋体"/>
                <w:b/>
                <w:color w:val="000000" w:themeColor="text1"/>
                <w:sz w:val="24"/>
                <w:highlight w:val="none"/>
                <w14:textFill>
                  <w14:solidFill>
                    <w14:schemeClr w14:val="tx1"/>
                  </w14:solidFill>
                </w14:textFill>
              </w:rPr>
            </w:pPr>
          </w:p>
        </w:tc>
      </w:tr>
      <w:tr w14:paraId="391D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FDFA3A2">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1、最终投标报价</w:t>
            </w:r>
          </w:p>
          <w:p w14:paraId="6335E6B9">
            <w:pPr>
              <w:spacing w:line="360" w:lineRule="exac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（人民币）</w:t>
            </w:r>
          </w:p>
          <w:p w14:paraId="5E29BE72">
            <w:pPr>
              <w:spacing w:line="360" w:lineRule="exact"/>
              <w:rPr>
                <w:rFonts w:hint="eastAsia"/>
                <w:color w:val="000000" w:themeColor="text1"/>
                <w:highlight w:val="none"/>
                <w14:textFill>
                  <w14:solidFill>
                    <w14:schemeClr w14:val="tx1"/>
                  </w14:solidFill>
                </w14:textFill>
              </w:rPr>
            </w:pPr>
          </w:p>
        </w:tc>
        <w:tc>
          <w:tcPr>
            <w:tcW w:w="6309" w:type="dxa"/>
            <w:tcBorders>
              <w:top w:val="nil"/>
            </w:tcBorders>
            <w:noWrap w:val="0"/>
            <w:vAlign w:val="center"/>
          </w:tcPr>
          <w:p w14:paraId="5F9FB7F7">
            <w:pPr>
              <w:spacing w:line="360" w:lineRule="exac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1、投标报价：        元、大写：         </w:t>
            </w:r>
          </w:p>
          <w:p w14:paraId="3A570A45">
            <w:pPr>
              <w:pStyle w:val="8"/>
              <w:ind w:right="-21" w:firstLine="540"/>
              <w:rPr>
                <w:rFonts w:hint="eastAsia"/>
                <w:color w:val="000000" w:themeColor="text1"/>
                <w:highlight w:val="none"/>
                <w:lang w:val="en-US" w:eastAsia="zh-CN"/>
                <w14:textFill>
                  <w14:solidFill>
                    <w14:schemeClr w14:val="tx1"/>
                  </w14:solidFill>
                </w14:textFill>
              </w:rPr>
            </w:pPr>
          </w:p>
        </w:tc>
      </w:tr>
      <w:tr w14:paraId="0BF5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32ED81E6">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c>
          <w:tcPr>
            <w:tcW w:w="6309" w:type="dxa"/>
            <w:tcBorders>
              <w:top w:val="nil"/>
            </w:tcBorders>
            <w:noWrap w:val="0"/>
            <w:vAlign w:val="center"/>
          </w:tcPr>
          <w:p w14:paraId="4DF0CF2C">
            <w:pPr>
              <w:spacing w:line="360" w:lineRule="auto"/>
              <w:jc w:val="left"/>
              <w:rPr>
                <w:rFonts w:hint="eastAsia" w:ascii="宋体" w:hAnsi="宋体" w:cs="宋体"/>
                <w:color w:val="000000" w:themeColor="text1"/>
                <w:sz w:val="24"/>
                <w:szCs w:val="28"/>
                <w:highlight w:val="none"/>
                <w14:textFill>
                  <w14:solidFill>
                    <w14:schemeClr w14:val="tx1"/>
                  </w14:solidFill>
                </w14:textFill>
              </w:rPr>
            </w:pPr>
          </w:p>
        </w:tc>
      </w:tr>
    </w:tbl>
    <w:p w14:paraId="4DAAA2F0">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06348435">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6D65A8A1">
      <w:pPr>
        <w:spacing w:line="380" w:lineRule="exact"/>
        <w:ind w:right="640" w:firstLine="3600" w:firstLineChars="15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授权委托人</w:t>
      </w:r>
      <w:r>
        <w:rPr>
          <w:rFonts w:hint="eastAsia" w:ascii="宋体" w:hAnsi="宋体" w:cs="宋体"/>
          <w:color w:val="000000" w:themeColor="text1"/>
          <w:sz w:val="24"/>
          <w:highlight w:val="none"/>
          <w:lang w:val="en-US" w:eastAsia="zh-CN"/>
          <w14:textFill>
            <w14:solidFill>
              <w14:schemeClr w14:val="tx1"/>
            </w14:solidFill>
          </w14:textFill>
        </w:rPr>
        <w:t>或法人</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签字）</w:t>
      </w:r>
    </w:p>
    <w:p w14:paraId="134F7A2E">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231A324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566FBD9D">
      <w:pPr>
        <w:spacing w:before="100" w:beforeAutospacing="1" w:after="100" w:afterAutospacing="1" w:line="360" w:lineRule="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p>
    <w:p w14:paraId="49BF0FB8">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0646ADBF">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5FD1FFC8">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43575B14">
      <w:pPr>
        <w:pStyle w:val="4"/>
        <w:rPr>
          <w:rFonts w:hint="eastAsia" w:hAnsi="宋体" w:cs="宋体"/>
          <w:color w:val="000000" w:themeColor="text1"/>
          <w:sz w:val="28"/>
          <w:highlight w:val="none"/>
          <w14:textFill>
            <w14:solidFill>
              <w14:schemeClr w14:val="tx1"/>
            </w14:solidFill>
          </w14:textFill>
        </w:rPr>
      </w:pPr>
      <w:bookmarkStart w:id="127" w:name="_Hlt533408409"/>
      <w:bookmarkEnd w:id="127"/>
      <w:bookmarkStart w:id="128" w:name="_Hlt533409360"/>
      <w:bookmarkEnd w:id="128"/>
      <w:bookmarkStart w:id="129" w:name="_Hlt509716873"/>
      <w:bookmarkEnd w:id="129"/>
      <w:bookmarkStart w:id="130" w:name="_Hlt519045798"/>
      <w:bookmarkEnd w:id="130"/>
      <w:bookmarkStart w:id="131" w:name="_Hlt533408916"/>
      <w:bookmarkEnd w:id="131"/>
      <w:bookmarkStart w:id="132" w:name="_Toc516969097"/>
      <w:bookmarkStart w:id="133" w:name="_Toc11175_WPSOffice_Level2"/>
      <w:bookmarkStart w:id="134" w:name="_Toc40975450"/>
      <w:bookmarkStart w:id="135" w:name="_Toc197934563"/>
    </w:p>
    <w:p w14:paraId="35E9DA47">
      <w:pPr>
        <w:pStyle w:val="4"/>
        <w:rPr>
          <w:rFonts w:hint="eastAsia" w:hAnsi="宋体" w:cs="宋体"/>
          <w:color w:val="000000" w:themeColor="text1"/>
          <w:sz w:val="28"/>
          <w:highlight w:val="none"/>
          <w14:textFill>
            <w14:solidFill>
              <w14:schemeClr w14:val="tx1"/>
            </w14:solidFill>
          </w14:textFill>
        </w:rPr>
      </w:pPr>
    </w:p>
    <w:p w14:paraId="7E2833AD">
      <w:pPr>
        <w:pStyle w:val="4"/>
        <w:rPr>
          <w:rFonts w:hint="eastAsia" w:hAnsi="宋体" w:cs="宋体"/>
          <w:color w:val="000000" w:themeColor="text1"/>
          <w:sz w:val="28"/>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二．投标人综合情况简介</w:t>
      </w:r>
      <w:bookmarkEnd w:id="132"/>
      <w:bookmarkEnd w:id="133"/>
      <w:bookmarkEnd w:id="134"/>
    </w:p>
    <w:p w14:paraId="0552A682">
      <w:pPr>
        <w:spacing w:line="50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05A7B3A9">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53A19DD3">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400B3493">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6A49C79">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68B726FD">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5D0B7ACA">
      <w:pPr>
        <w:pStyle w:val="15"/>
        <w:rPr>
          <w:rFonts w:hint="eastAsia"/>
          <w:color w:val="000000" w:themeColor="text1"/>
          <w:highlight w:val="none"/>
          <w14:textFill>
            <w14:solidFill>
              <w14:schemeClr w14:val="tx1"/>
            </w14:solidFill>
          </w14:textFill>
        </w:rPr>
      </w:pPr>
    </w:p>
    <w:p w14:paraId="1D71B588">
      <w:pPr>
        <w:pStyle w:val="15"/>
        <w:rPr>
          <w:rFonts w:hint="eastAsia"/>
          <w:color w:val="000000" w:themeColor="text1"/>
          <w:highlight w:val="none"/>
          <w14:textFill>
            <w14:solidFill>
              <w14:schemeClr w14:val="tx1"/>
            </w14:solidFill>
          </w14:textFill>
        </w:rPr>
      </w:pPr>
    </w:p>
    <w:p w14:paraId="3C4FBFE6">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74368CFA">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78517263">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E3B5D01">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40EDD2D8">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E460740">
      <w:pPr>
        <w:pStyle w:val="15"/>
        <w:rPr>
          <w:rFonts w:hint="eastAsia"/>
          <w:color w:val="000000" w:themeColor="text1"/>
          <w:highlight w:val="none"/>
          <w14:textFill>
            <w14:solidFill>
              <w14:schemeClr w14:val="tx1"/>
            </w14:solidFill>
          </w14:textFill>
        </w:rPr>
      </w:pPr>
    </w:p>
    <w:p w14:paraId="2C379E5A">
      <w:pPr>
        <w:pStyle w:val="15"/>
        <w:rPr>
          <w:rFonts w:hint="eastAsia"/>
          <w:color w:val="000000" w:themeColor="text1"/>
          <w:highlight w:val="none"/>
          <w14:textFill>
            <w14:solidFill>
              <w14:schemeClr w14:val="tx1"/>
            </w14:solidFill>
          </w14:textFill>
        </w:rPr>
      </w:pPr>
    </w:p>
    <w:p w14:paraId="51122666">
      <w:pPr>
        <w:pStyle w:val="15"/>
        <w:rPr>
          <w:rFonts w:hint="eastAsia"/>
          <w:color w:val="000000" w:themeColor="text1"/>
          <w:highlight w:val="none"/>
          <w14:textFill>
            <w14:solidFill>
              <w14:schemeClr w14:val="tx1"/>
            </w14:solidFill>
          </w14:textFill>
        </w:rPr>
      </w:pPr>
    </w:p>
    <w:p w14:paraId="65AD5DD5">
      <w:pPr>
        <w:pStyle w:val="15"/>
        <w:rPr>
          <w:rFonts w:hint="eastAsia"/>
          <w:color w:val="000000" w:themeColor="text1"/>
          <w:highlight w:val="none"/>
          <w14:textFill>
            <w14:solidFill>
              <w14:schemeClr w14:val="tx1"/>
            </w14:solidFill>
          </w14:textFill>
        </w:rPr>
      </w:pPr>
    </w:p>
    <w:p w14:paraId="5F25FEE4">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334DF4BF">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43991486">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35BA4A3D">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033A617F">
      <w:pPr>
        <w:pStyle w:val="15"/>
        <w:rPr>
          <w:rFonts w:hint="eastAsia"/>
          <w:color w:val="000000" w:themeColor="text1"/>
          <w:highlight w:val="none"/>
          <w14:textFill>
            <w14:solidFill>
              <w14:schemeClr w14:val="tx1"/>
            </w14:solidFill>
          </w14:textFill>
        </w:rPr>
      </w:pPr>
    </w:p>
    <w:p w14:paraId="4D23F5CD">
      <w:pPr>
        <w:pStyle w:val="15"/>
        <w:rPr>
          <w:rFonts w:hint="eastAsia"/>
          <w:color w:val="000000" w:themeColor="text1"/>
          <w:highlight w:val="none"/>
          <w14:textFill>
            <w14:solidFill>
              <w14:schemeClr w14:val="tx1"/>
            </w14:solidFill>
          </w14:textFill>
        </w:rPr>
      </w:pPr>
    </w:p>
    <w:p w14:paraId="3D2886AA">
      <w:pPr>
        <w:pStyle w:val="15"/>
        <w:rPr>
          <w:rFonts w:hint="eastAsia"/>
          <w:color w:val="000000" w:themeColor="text1"/>
          <w:highlight w:val="none"/>
          <w14:textFill>
            <w14:solidFill>
              <w14:schemeClr w14:val="tx1"/>
            </w14:solidFill>
          </w14:textFill>
        </w:rPr>
      </w:pPr>
    </w:p>
    <w:p w14:paraId="6C8CDB49">
      <w:pPr>
        <w:pStyle w:val="15"/>
        <w:rPr>
          <w:rFonts w:hint="eastAsia"/>
          <w:color w:val="000000" w:themeColor="text1"/>
          <w:highlight w:val="none"/>
          <w14:textFill>
            <w14:solidFill>
              <w14:schemeClr w14:val="tx1"/>
            </w14:solidFill>
          </w14:textFill>
        </w:rPr>
      </w:pPr>
    </w:p>
    <w:p w14:paraId="5B0EF68D">
      <w:pPr>
        <w:pStyle w:val="15"/>
        <w:rPr>
          <w:rFonts w:hint="eastAsia"/>
          <w:color w:val="000000" w:themeColor="text1"/>
          <w:highlight w:val="none"/>
          <w14:textFill>
            <w14:solidFill>
              <w14:schemeClr w14:val="tx1"/>
            </w14:solidFill>
          </w14:textFill>
        </w:rPr>
      </w:pPr>
    </w:p>
    <w:p w14:paraId="33F0D6E9">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4D487797">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48AEB553">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48609195">
      <w:pPr>
        <w:pStyle w:val="4"/>
        <w:spacing w:after="240"/>
        <w:rPr>
          <w:rFonts w:hint="eastAsia" w:hAnsi="宋体" w:cs="宋体"/>
          <w:color w:val="000000" w:themeColor="text1"/>
          <w:sz w:val="28"/>
          <w:highlight w:val="none"/>
          <w14:textFill>
            <w14:solidFill>
              <w14:schemeClr w14:val="tx1"/>
            </w14:solidFill>
          </w14:textFill>
        </w:rPr>
      </w:pPr>
      <w:bookmarkStart w:id="136" w:name="_Hlt509739007"/>
      <w:bookmarkEnd w:id="136"/>
      <w:bookmarkStart w:id="137" w:name="_Toc516969098"/>
      <w:bookmarkStart w:id="138" w:name="_Toc1391_WPSOffice_Level2"/>
      <w:bookmarkStart w:id="139" w:name="_Toc40975451"/>
      <w:r>
        <w:rPr>
          <w:rFonts w:hint="eastAsia" w:hAnsi="宋体" w:cs="宋体"/>
          <w:color w:val="000000" w:themeColor="text1"/>
          <w:sz w:val="28"/>
          <w:highlight w:val="none"/>
          <w14:textFill>
            <w14:solidFill>
              <w14:schemeClr w14:val="tx1"/>
            </w14:solidFill>
          </w14:textFill>
        </w:rPr>
        <w:t>三．投标函</w:t>
      </w:r>
      <w:bookmarkEnd w:id="137"/>
      <w:bookmarkEnd w:id="138"/>
      <w:bookmarkEnd w:id="139"/>
    </w:p>
    <w:p w14:paraId="3BD6B8CF">
      <w:pPr>
        <w:pStyle w:val="11"/>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致：</w:t>
      </w: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（采购人</w:t>
      </w:r>
      <w:r>
        <w:rPr>
          <w:rFonts w:hint="eastAsia" w:ascii="宋体" w:hAnsi="宋体" w:cs="宋体"/>
          <w:b w:val="0"/>
          <w:color w:val="000000" w:themeColor="text1"/>
          <w:kern w:val="2"/>
          <w:sz w:val="24"/>
          <w:highlight w:val="none"/>
          <w:lang w:val="en-US" w:eastAsia="zh-CN" w:bidi="ar-SA"/>
          <w14:textFill>
            <w14:solidFill>
              <w14:schemeClr w14:val="tx1"/>
            </w14:solidFill>
          </w14:textFill>
        </w:rPr>
        <w:t>和</w:t>
      </w: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采购代理机构）</w:t>
      </w:r>
    </w:p>
    <w:p w14:paraId="6C2A6036">
      <w:pPr>
        <w:spacing w:line="360" w:lineRule="auto"/>
        <w:ind w:left="239" w:leftChars="114" w:firstLine="386" w:firstLineChars="161"/>
        <w:rPr>
          <w:rFonts w:hint="eastAsia" w:ascii="宋体" w:hAnsi="宋体" w:cs="宋体"/>
          <w:b/>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w:t>
      </w:r>
      <w:r>
        <w:rPr>
          <w:rFonts w:hint="eastAsia" w:ascii="宋体" w:hAnsi="宋体" w:eastAsia="宋体" w:cs="宋体"/>
          <w:color w:val="000000" w:themeColor="text1"/>
          <w:sz w:val="24"/>
          <w:highlight w:val="none"/>
          <w14:textFill>
            <w14:solidFill>
              <w14:schemeClr w14:val="tx1"/>
            </w14:solidFill>
          </w14:textFill>
        </w:rPr>
        <w:t>贵方“</w:t>
      </w:r>
      <w:r>
        <w:rPr>
          <w:rFonts w:hint="eastAsia" w:ascii="宋体" w:hAnsi="宋体" w:eastAsia="宋体" w:cs="宋体"/>
          <w:color w:val="000000" w:themeColor="text1"/>
          <w:sz w:val="24"/>
          <w:highlight w:val="none"/>
          <w:lang w:val="en-US" w:eastAsia="zh-CN"/>
          <w14:textFill>
            <w14:solidFill>
              <w14:schemeClr w14:val="tx1"/>
            </w14:solidFill>
          </w14:textFill>
        </w:rPr>
        <w:t>项目名称、项目编号</w:t>
      </w:r>
      <w:r>
        <w:rPr>
          <w:rFonts w:hint="eastAsia" w:ascii="宋体" w:hAnsi="宋体" w:eastAsia="宋体" w:cs="宋体"/>
          <w:color w:val="000000" w:themeColor="text1"/>
          <w:sz w:val="24"/>
          <w:highlight w:val="none"/>
          <w14:textFill>
            <w14:solidFill>
              <w14:schemeClr w14:val="tx1"/>
            </w14:solidFill>
          </w14:textFill>
        </w:rPr>
        <w:t>”项</w:t>
      </w:r>
      <w:r>
        <w:rPr>
          <w:rFonts w:hint="eastAsia" w:ascii="宋体" w:hAnsi="宋体" w:cs="宋体"/>
          <w:color w:val="000000" w:themeColor="text1"/>
          <w:sz w:val="24"/>
          <w:highlight w:val="none"/>
          <w14:textFill>
            <w14:solidFill>
              <w14:schemeClr w14:val="tx1"/>
            </w14:solidFill>
          </w14:textFill>
        </w:rPr>
        <w:t>目招标邀请书或招标公告，正式授权下述签字人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（姓名）代表投标人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（投标人全称），提交规定形式的投标文件。</w:t>
      </w:r>
    </w:p>
    <w:p w14:paraId="12662AB9">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据此函，我方兹宣布同意如下：</w:t>
      </w:r>
    </w:p>
    <w:p w14:paraId="0F0DF9EA">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元，供货期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088AD58D">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（2）我方根据招标文件的规定，严格履行合同的责任和义务,并保证于买方要求的日期内完成供货、安装及服务，并通过买方验收。</w:t>
      </w:r>
    </w:p>
    <w:p w14:paraId="575E2E4D">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（3）我方承诺报价低于同类货物和服务的市场平均价格。</w:t>
      </w:r>
    </w:p>
    <w:p w14:paraId="22ECE146">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B7BB11B">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（5）我方同意从招标文件规定的开标日期起遵循本投标文件，并在招标文件规定的投标有效期之前均具有约束力。</w:t>
      </w:r>
    </w:p>
    <w:p w14:paraId="65C3641B">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7FA6802E">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（7）我方完全理解贵方不一定接受最低报价的投标。</w:t>
      </w:r>
    </w:p>
    <w:p w14:paraId="3CC79D35">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（8）我方同意招标文件规定的付款方式。</w:t>
      </w:r>
    </w:p>
    <w:p w14:paraId="10FC7644">
      <w:pPr>
        <w:spacing w:line="360" w:lineRule="auto"/>
        <w:ind w:firstLine="63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（9）与本投标有关的通讯地址：</w:t>
      </w:r>
      <w:r>
        <w:rPr>
          <w:rFonts w:hint="eastAsia" w:ascii="宋体" w:hAnsi="宋体" w:cs="宋体"/>
          <w:color w:val="000000" w:themeColor="text1"/>
          <w:sz w:val="24"/>
          <w:highlight w:val="none"/>
          <w:u w:val="single"/>
          <w14:textFill>
            <w14:solidFill>
              <w14:schemeClr w14:val="tx1"/>
            </w14:solidFill>
          </w14:textFill>
        </w:rPr>
        <w:t xml:space="preserve">                                  </w:t>
      </w:r>
    </w:p>
    <w:p w14:paraId="740AF296">
      <w:pPr>
        <w:pStyle w:val="27"/>
        <w:ind w:firstLine="720" w:firstLineChars="300"/>
        <w:rPr>
          <w:rFonts w:hint="default" w:ascii="宋体" w:hAnsi="宋体" w:eastAsia="宋体" w:cs="宋体"/>
          <w:color w:val="000000" w:themeColor="text1"/>
          <w:kern w:val="2"/>
          <w:sz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（10）本项目项目责任人：   电话：</w:t>
      </w:r>
    </w:p>
    <w:p w14:paraId="6D40CD2B">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p>
    <w:p w14:paraId="316C0E38">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b w:val="0"/>
          <w:bCs w:val="0"/>
          <w:color w:val="000000" w:themeColor="text1"/>
          <w:sz w:val="24"/>
          <w:szCs w:val="28"/>
          <w:highlight w:val="none"/>
          <w14:textFill>
            <w14:solidFill>
              <w14:schemeClr w14:val="tx1"/>
            </w14:solidFill>
          </w14:textFill>
        </w:rPr>
        <w:t>电子签章</w:t>
      </w:r>
      <w:r>
        <w:rPr>
          <w:rFonts w:hint="eastAsia" w:ascii="宋体" w:hAnsi="宋体" w:cs="宋体"/>
          <w:color w:val="000000" w:themeColor="text1"/>
          <w:sz w:val="24"/>
          <w:highlight w:val="none"/>
          <w14:textFill>
            <w14:solidFill>
              <w14:schemeClr w14:val="tx1"/>
            </w14:solidFill>
          </w14:textFill>
        </w:rPr>
        <w:t>）</w:t>
      </w:r>
    </w:p>
    <w:p w14:paraId="2F5720EC">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42D5B9F2">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596364D7">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505025E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bookmarkEnd w:id="135"/>
    <w:p w14:paraId="2521FF7C">
      <w:pPr>
        <w:pStyle w:val="4"/>
        <w:rPr>
          <w:rFonts w:hint="eastAsia" w:hAnsi="宋体" w:cs="宋体"/>
          <w:color w:val="000000" w:themeColor="text1"/>
          <w:sz w:val="28"/>
          <w:szCs w:val="36"/>
          <w:highlight w:val="none"/>
          <w14:textFill>
            <w14:solidFill>
              <w14:schemeClr w14:val="tx1"/>
            </w14:solidFill>
          </w14:textFill>
        </w:rPr>
      </w:pPr>
      <w:bookmarkStart w:id="140" w:name="_Toc24077_WPSOffice_Level2"/>
      <w:bookmarkStart w:id="141" w:name="_Toc220232409"/>
      <w:bookmarkStart w:id="142" w:name="_Toc40975452"/>
      <w:r>
        <w:rPr>
          <w:rFonts w:hint="eastAsia" w:hAnsi="宋体" w:cs="宋体"/>
          <w:color w:val="000000" w:themeColor="text1"/>
          <w:sz w:val="28"/>
          <w:highlight w:val="none"/>
          <w14:textFill>
            <w14:solidFill>
              <w14:schemeClr w14:val="tx1"/>
            </w14:solidFill>
          </w14:textFill>
        </w:rPr>
        <w:t>四．投标分项报价表</w:t>
      </w:r>
      <w:bookmarkEnd w:id="140"/>
      <w:bookmarkEnd w:id="141"/>
      <w:bookmarkEnd w:id="142"/>
    </w:p>
    <w:tbl>
      <w:tblPr>
        <w:tblStyle w:val="21"/>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D03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840" w:type="dxa"/>
            <w:noWrap w:val="0"/>
            <w:vAlign w:val="center"/>
          </w:tcPr>
          <w:p w14:paraId="2C0BA33B">
            <w:pPr>
              <w:pStyle w:val="35"/>
              <w:widowControl w:val="0"/>
              <w:spacing w:before="0" w:beforeAutospacing="0" w:after="0" w:afterAutospacing="0"/>
              <w:rPr>
                <w:rFonts w:hint="eastAsia" w:cs="宋体"/>
                <w:bCs w:val="0"/>
                <w:color w:val="000000" w:themeColor="text1"/>
                <w:kern w:val="2"/>
                <w:sz w:val="24"/>
                <w:szCs w:val="20"/>
                <w:highlight w:val="none"/>
                <w14:textFill>
                  <w14:solidFill>
                    <w14:schemeClr w14:val="tx1"/>
                  </w14:solidFill>
                </w14:textFill>
              </w:rPr>
            </w:pPr>
            <w:r>
              <w:rPr>
                <w:rFonts w:hint="eastAsia" w:cs="宋体"/>
                <w:bCs w:val="0"/>
                <w:color w:val="000000" w:themeColor="text1"/>
                <w:kern w:val="2"/>
                <w:sz w:val="24"/>
                <w:szCs w:val="20"/>
                <w:highlight w:val="none"/>
                <w14:textFill>
                  <w14:solidFill>
                    <w14:schemeClr w14:val="tx1"/>
                  </w14:solidFill>
                </w14:textFill>
              </w:rPr>
              <w:t>序号</w:t>
            </w:r>
          </w:p>
        </w:tc>
        <w:tc>
          <w:tcPr>
            <w:tcW w:w="2205" w:type="dxa"/>
            <w:noWrap w:val="0"/>
            <w:vAlign w:val="center"/>
          </w:tcPr>
          <w:p w14:paraId="12D989A5">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品名品牌、规格型号、原产地及生产厂家</w:t>
            </w:r>
          </w:p>
        </w:tc>
        <w:tc>
          <w:tcPr>
            <w:tcW w:w="957" w:type="dxa"/>
            <w:noWrap w:val="0"/>
            <w:vAlign w:val="center"/>
          </w:tcPr>
          <w:p w14:paraId="0CE2904A">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单位</w:t>
            </w:r>
          </w:p>
        </w:tc>
        <w:tc>
          <w:tcPr>
            <w:tcW w:w="840" w:type="dxa"/>
            <w:noWrap w:val="0"/>
            <w:vAlign w:val="center"/>
          </w:tcPr>
          <w:p w14:paraId="48B9384A">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数量</w:t>
            </w:r>
          </w:p>
        </w:tc>
        <w:tc>
          <w:tcPr>
            <w:tcW w:w="1260" w:type="dxa"/>
            <w:noWrap w:val="0"/>
            <w:vAlign w:val="center"/>
          </w:tcPr>
          <w:p w14:paraId="452757FA">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单价</w:t>
            </w:r>
          </w:p>
        </w:tc>
        <w:tc>
          <w:tcPr>
            <w:tcW w:w="1340" w:type="dxa"/>
            <w:noWrap w:val="0"/>
            <w:vAlign w:val="center"/>
          </w:tcPr>
          <w:p w14:paraId="3A8287BF">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小计</w:t>
            </w:r>
          </w:p>
        </w:tc>
        <w:tc>
          <w:tcPr>
            <w:tcW w:w="922" w:type="dxa"/>
            <w:noWrap w:val="0"/>
            <w:vAlign w:val="center"/>
          </w:tcPr>
          <w:p w14:paraId="0D60BC89">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r>
      <w:tr w14:paraId="35FE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57328EE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noWrap w:val="0"/>
            <w:vAlign w:val="top"/>
          </w:tcPr>
          <w:p w14:paraId="63008989">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7B0F51B">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04CBE97A">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5AEB7EF2">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11A3903D">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137F51D9">
            <w:pPr>
              <w:rPr>
                <w:rFonts w:hint="eastAsia" w:ascii="宋体" w:hAnsi="宋体" w:cs="宋体"/>
                <w:color w:val="000000" w:themeColor="text1"/>
                <w:sz w:val="24"/>
                <w:highlight w:val="none"/>
                <w14:textFill>
                  <w14:solidFill>
                    <w14:schemeClr w14:val="tx1"/>
                  </w14:solidFill>
                </w14:textFill>
              </w:rPr>
            </w:pPr>
          </w:p>
        </w:tc>
      </w:tr>
      <w:tr w14:paraId="355A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4CB6BD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noWrap w:val="0"/>
            <w:vAlign w:val="top"/>
          </w:tcPr>
          <w:p w14:paraId="5959D27B">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5BE28F5C">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52C567DB">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28C709FA">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0C041473">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2E7421B9">
            <w:pPr>
              <w:rPr>
                <w:rFonts w:hint="eastAsia" w:ascii="宋体" w:hAnsi="宋体" w:cs="宋体"/>
                <w:color w:val="000000" w:themeColor="text1"/>
                <w:sz w:val="24"/>
                <w:highlight w:val="none"/>
                <w14:textFill>
                  <w14:solidFill>
                    <w14:schemeClr w14:val="tx1"/>
                  </w14:solidFill>
                </w14:textFill>
              </w:rPr>
            </w:pPr>
          </w:p>
        </w:tc>
      </w:tr>
      <w:tr w14:paraId="45C3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9CA79A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noWrap w:val="0"/>
            <w:vAlign w:val="top"/>
          </w:tcPr>
          <w:p w14:paraId="2E97A234">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15558014">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3035776A">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569E2A4A">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17788B7">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72530AEE">
            <w:pPr>
              <w:rPr>
                <w:rFonts w:hint="eastAsia" w:ascii="宋体" w:hAnsi="宋体" w:cs="宋体"/>
                <w:color w:val="000000" w:themeColor="text1"/>
                <w:sz w:val="24"/>
                <w:highlight w:val="none"/>
                <w14:textFill>
                  <w14:solidFill>
                    <w14:schemeClr w14:val="tx1"/>
                  </w14:solidFill>
                </w14:textFill>
              </w:rPr>
            </w:pPr>
          </w:p>
        </w:tc>
      </w:tr>
      <w:tr w14:paraId="4E99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F54587B">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noWrap w:val="0"/>
            <w:vAlign w:val="top"/>
          </w:tcPr>
          <w:p w14:paraId="73DC429F">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0E38D3FA">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625C42C6">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6436E42B">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C5134C1">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7CEA1A3E">
            <w:pPr>
              <w:rPr>
                <w:rFonts w:hint="eastAsia" w:ascii="宋体" w:hAnsi="宋体" w:cs="宋体"/>
                <w:color w:val="000000" w:themeColor="text1"/>
                <w:sz w:val="24"/>
                <w:highlight w:val="none"/>
                <w14:textFill>
                  <w14:solidFill>
                    <w14:schemeClr w14:val="tx1"/>
                  </w14:solidFill>
                </w14:textFill>
              </w:rPr>
            </w:pPr>
          </w:p>
        </w:tc>
      </w:tr>
      <w:tr w14:paraId="49B8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323320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noWrap w:val="0"/>
            <w:vAlign w:val="top"/>
          </w:tcPr>
          <w:p w14:paraId="77DFF193">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56F4E308">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76E048F1">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52ADC761">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05DDEFA1">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143988A5">
            <w:pPr>
              <w:rPr>
                <w:rFonts w:hint="eastAsia" w:ascii="宋体" w:hAnsi="宋体" w:cs="宋体"/>
                <w:color w:val="000000" w:themeColor="text1"/>
                <w:sz w:val="24"/>
                <w:highlight w:val="none"/>
                <w14:textFill>
                  <w14:solidFill>
                    <w14:schemeClr w14:val="tx1"/>
                  </w14:solidFill>
                </w14:textFill>
              </w:rPr>
            </w:pPr>
          </w:p>
        </w:tc>
      </w:tr>
      <w:tr w14:paraId="7920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AE549C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noWrap w:val="0"/>
            <w:vAlign w:val="top"/>
          </w:tcPr>
          <w:p w14:paraId="26EA1087">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0D48BD1B">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61479427">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1001D3DD">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BE80171">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131B637C">
            <w:pPr>
              <w:rPr>
                <w:rFonts w:hint="eastAsia" w:ascii="宋体" w:hAnsi="宋体" w:cs="宋体"/>
                <w:color w:val="000000" w:themeColor="text1"/>
                <w:sz w:val="24"/>
                <w:highlight w:val="none"/>
                <w14:textFill>
                  <w14:solidFill>
                    <w14:schemeClr w14:val="tx1"/>
                  </w14:solidFill>
                </w14:textFill>
              </w:rPr>
            </w:pPr>
          </w:p>
        </w:tc>
      </w:tr>
      <w:tr w14:paraId="4F324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C6FBBD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noWrap w:val="0"/>
            <w:vAlign w:val="top"/>
          </w:tcPr>
          <w:p w14:paraId="7B9CF6E2">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5351589B">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17C87B3E">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7A9B76BA">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082FB538">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1A3A8773">
            <w:pPr>
              <w:rPr>
                <w:rFonts w:hint="eastAsia" w:ascii="宋体" w:hAnsi="宋体" w:cs="宋体"/>
                <w:color w:val="000000" w:themeColor="text1"/>
                <w:sz w:val="24"/>
                <w:highlight w:val="none"/>
                <w14:textFill>
                  <w14:solidFill>
                    <w14:schemeClr w14:val="tx1"/>
                  </w14:solidFill>
                </w14:textFill>
              </w:rPr>
            </w:pPr>
          </w:p>
        </w:tc>
      </w:tr>
      <w:tr w14:paraId="624E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7FF0261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noWrap w:val="0"/>
            <w:vAlign w:val="top"/>
          </w:tcPr>
          <w:p w14:paraId="6C1F6E0F">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557D1A65">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F174193">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3F437D9">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4F0D9A9F">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051A3EDB">
            <w:pPr>
              <w:rPr>
                <w:rFonts w:hint="eastAsia" w:ascii="宋体" w:hAnsi="宋体" w:cs="宋体"/>
                <w:color w:val="000000" w:themeColor="text1"/>
                <w:sz w:val="24"/>
                <w:highlight w:val="none"/>
                <w14:textFill>
                  <w14:solidFill>
                    <w14:schemeClr w14:val="tx1"/>
                  </w14:solidFill>
                </w14:textFill>
              </w:rPr>
            </w:pPr>
          </w:p>
        </w:tc>
      </w:tr>
      <w:tr w14:paraId="5FB7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4AEC5B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noWrap w:val="0"/>
            <w:vAlign w:val="top"/>
          </w:tcPr>
          <w:p w14:paraId="0C3E2EC3">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13113E86">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445231D">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BB6C5BB">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51A54FF">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61799288">
            <w:pPr>
              <w:rPr>
                <w:rFonts w:hint="eastAsia" w:ascii="宋体" w:hAnsi="宋体" w:cs="宋体"/>
                <w:color w:val="000000" w:themeColor="text1"/>
                <w:sz w:val="24"/>
                <w:highlight w:val="none"/>
                <w14:textFill>
                  <w14:solidFill>
                    <w14:schemeClr w14:val="tx1"/>
                  </w14:solidFill>
                </w14:textFill>
              </w:rPr>
            </w:pPr>
          </w:p>
        </w:tc>
      </w:tr>
      <w:tr w14:paraId="709C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7AEB4E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noWrap w:val="0"/>
            <w:vAlign w:val="top"/>
          </w:tcPr>
          <w:p w14:paraId="2CF2EFB1">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672CB7C6">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2101BE71">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B34C5B2">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554564C1">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489C9FBC">
            <w:pPr>
              <w:rPr>
                <w:rFonts w:hint="eastAsia" w:ascii="宋体" w:hAnsi="宋体" w:cs="宋体"/>
                <w:color w:val="000000" w:themeColor="text1"/>
                <w:sz w:val="24"/>
                <w:highlight w:val="none"/>
                <w14:textFill>
                  <w14:solidFill>
                    <w14:schemeClr w14:val="tx1"/>
                  </w14:solidFill>
                </w14:textFill>
              </w:rPr>
            </w:pPr>
          </w:p>
        </w:tc>
      </w:tr>
      <w:tr w14:paraId="53CE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8A9930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noWrap w:val="0"/>
            <w:vAlign w:val="top"/>
          </w:tcPr>
          <w:p w14:paraId="3352FB28">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3B98F867">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7678B33F">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1A712B5E">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2F91584">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2B8C7C8A">
            <w:pPr>
              <w:rPr>
                <w:rFonts w:hint="eastAsia" w:ascii="宋体" w:hAnsi="宋体" w:cs="宋体"/>
                <w:color w:val="000000" w:themeColor="text1"/>
                <w:sz w:val="24"/>
                <w:highlight w:val="none"/>
                <w14:textFill>
                  <w14:solidFill>
                    <w14:schemeClr w14:val="tx1"/>
                  </w14:solidFill>
                </w14:textFill>
              </w:rPr>
            </w:pPr>
          </w:p>
        </w:tc>
      </w:tr>
      <w:tr w14:paraId="798C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5AE30E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noWrap w:val="0"/>
            <w:vAlign w:val="top"/>
          </w:tcPr>
          <w:p w14:paraId="24BDA28A">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09820EDC">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21840AC">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D833630">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4ABB3945">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16516025">
            <w:pPr>
              <w:rPr>
                <w:rFonts w:hint="eastAsia" w:ascii="宋体" w:hAnsi="宋体" w:cs="宋体"/>
                <w:color w:val="000000" w:themeColor="text1"/>
                <w:sz w:val="24"/>
                <w:highlight w:val="none"/>
                <w14:textFill>
                  <w14:solidFill>
                    <w14:schemeClr w14:val="tx1"/>
                  </w14:solidFill>
                </w14:textFill>
              </w:rPr>
            </w:pPr>
          </w:p>
        </w:tc>
      </w:tr>
      <w:tr w14:paraId="3BFF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066EA8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noWrap w:val="0"/>
            <w:vAlign w:val="top"/>
          </w:tcPr>
          <w:p w14:paraId="1CE71D16">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A45D210">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3704E0AB">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0D9BB3DA">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53651C2">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673460B1">
            <w:pPr>
              <w:rPr>
                <w:rFonts w:hint="eastAsia" w:ascii="宋体" w:hAnsi="宋体" w:cs="宋体"/>
                <w:color w:val="000000" w:themeColor="text1"/>
                <w:sz w:val="24"/>
                <w:highlight w:val="none"/>
                <w14:textFill>
                  <w14:solidFill>
                    <w14:schemeClr w14:val="tx1"/>
                  </w14:solidFill>
                </w14:textFill>
              </w:rPr>
            </w:pPr>
          </w:p>
        </w:tc>
      </w:tr>
      <w:tr w14:paraId="2ADD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A8620F5">
            <w:pPr>
              <w:jc w:val="center"/>
              <w:rPr>
                <w:rFonts w:hint="eastAsia" w:ascii="宋体" w:hAnsi="宋体" w:cs="宋体"/>
                <w:color w:val="000000" w:themeColor="text1"/>
                <w:sz w:val="24"/>
                <w:highlight w:val="none"/>
                <w14:textFill>
                  <w14:solidFill>
                    <w14:schemeClr w14:val="tx1"/>
                  </w14:solidFill>
                </w14:textFill>
              </w:rPr>
            </w:pPr>
          </w:p>
        </w:tc>
        <w:tc>
          <w:tcPr>
            <w:tcW w:w="2205" w:type="dxa"/>
            <w:noWrap w:val="0"/>
            <w:vAlign w:val="center"/>
          </w:tcPr>
          <w:p w14:paraId="3AFD3011">
            <w:pPr>
              <w:pStyle w:val="34"/>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其他费用</w:t>
            </w:r>
          </w:p>
        </w:tc>
        <w:tc>
          <w:tcPr>
            <w:tcW w:w="957" w:type="dxa"/>
            <w:noWrap w:val="0"/>
            <w:vAlign w:val="top"/>
          </w:tcPr>
          <w:p w14:paraId="7238FFE3">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3465F77F">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781426B8">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7B173B12">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403C32DB">
            <w:pPr>
              <w:rPr>
                <w:rFonts w:hint="eastAsia" w:ascii="宋体" w:hAnsi="宋体" w:cs="宋体"/>
                <w:color w:val="000000" w:themeColor="text1"/>
                <w:sz w:val="24"/>
                <w:highlight w:val="none"/>
                <w14:textFill>
                  <w14:solidFill>
                    <w14:schemeClr w14:val="tx1"/>
                  </w14:solidFill>
                </w14:textFill>
              </w:rPr>
            </w:pPr>
          </w:p>
        </w:tc>
      </w:tr>
      <w:tr w14:paraId="2042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2E20DF4">
            <w:pPr>
              <w:jc w:val="center"/>
              <w:rPr>
                <w:rFonts w:hint="eastAsia" w:ascii="宋体" w:hAnsi="宋体" w:cs="宋体"/>
                <w:color w:val="000000" w:themeColor="text1"/>
                <w:sz w:val="24"/>
                <w:highlight w:val="none"/>
                <w14:textFill>
                  <w14:solidFill>
                    <w14:schemeClr w14:val="tx1"/>
                  </w14:solidFill>
                </w14:textFill>
              </w:rPr>
            </w:pPr>
          </w:p>
        </w:tc>
        <w:tc>
          <w:tcPr>
            <w:tcW w:w="2205" w:type="dxa"/>
            <w:noWrap w:val="0"/>
            <w:vAlign w:val="center"/>
          </w:tcPr>
          <w:p w14:paraId="51780402">
            <w:pPr>
              <w:pStyle w:val="34"/>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合计</w:t>
            </w:r>
          </w:p>
        </w:tc>
        <w:tc>
          <w:tcPr>
            <w:tcW w:w="957" w:type="dxa"/>
            <w:noWrap w:val="0"/>
            <w:vAlign w:val="top"/>
          </w:tcPr>
          <w:p w14:paraId="2CCAF92E">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5E083AF7">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01C133E3">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4316E46">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62B33CC5">
            <w:pPr>
              <w:rPr>
                <w:rFonts w:hint="eastAsia" w:ascii="宋体" w:hAnsi="宋体" w:cs="宋体"/>
                <w:color w:val="000000" w:themeColor="text1"/>
                <w:sz w:val="24"/>
                <w:highlight w:val="none"/>
                <w14:textFill>
                  <w14:solidFill>
                    <w14:schemeClr w14:val="tx1"/>
                  </w14:solidFill>
                </w14:textFill>
              </w:rPr>
            </w:pPr>
          </w:p>
        </w:tc>
        <w:bookmarkStart w:id="143" w:name="_Hlt533408944"/>
        <w:bookmarkStart w:id="144" w:name="_Hlt514495724"/>
      </w:tr>
      <w:bookmarkEnd w:id="120"/>
      <w:bookmarkEnd w:id="121"/>
      <w:bookmarkEnd w:id="122"/>
      <w:bookmarkEnd w:id="143"/>
      <w:bookmarkEnd w:id="144"/>
    </w:tbl>
    <w:p w14:paraId="193BBC2B">
      <w:pPr>
        <w:pStyle w:val="11"/>
        <w:spacing w:line="360" w:lineRule="auto"/>
        <w:rPr>
          <w:rFonts w:hint="eastAsia" w:ascii="宋体" w:hAnsi="宋体" w:cs="宋体"/>
          <w:color w:val="000000" w:themeColor="text1"/>
          <w:sz w:val="24"/>
          <w:highlight w:val="none"/>
          <w14:textFill>
            <w14:solidFill>
              <w14:schemeClr w14:val="tx1"/>
            </w14:solidFill>
          </w14:textFill>
        </w:rPr>
      </w:pPr>
      <w:bookmarkStart w:id="145" w:name="_Toc197934552"/>
      <w:bookmarkStart w:id="146" w:name="_Toc27270_WPSOffice_Level2"/>
    </w:p>
    <w:p w14:paraId="6075BC3C">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E0E872F">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4EFE8BF1">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2408C978">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797CBF7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59CFA1E4">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备注：</w:t>
      </w:r>
    </w:p>
    <w:p w14:paraId="3880209F">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报价为所投货物的单价组成。包括货物出厂价格、运费、税金及其它。</w:t>
      </w:r>
    </w:p>
    <w:p w14:paraId="38A5460B">
      <w:pPr>
        <w:pStyle w:val="15"/>
        <w:rPr>
          <w:rFonts w:hint="eastAsia"/>
          <w:color w:val="000000" w:themeColor="text1"/>
          <w:highlight w:val="none"/>
          <w14:textFill>
            <w14:solidFill>
              <w14:schemeClr w14:val="tx1"/>
            </w14:solidFill>
          </w14:textFill>
        </w:rPr>
      </w:pPr>
    </w:p>
    <w:p w14:paraId="7FEADBA5">
      <w:pPr>
        <w:pStyle w:val="15"/>
        <w:rPr>
          <w:rFonts w:hint="eastAsia"/>
          <w:color w:val="000000" w:themeColor="text1"/>
          <w:highlight w:val="none"/>
          <w14:textFill>
            <w14:solidFill>
              <w14:schemeClr w14:val="tx1"/>
            </w14:solidFill>
          </w14:textFill>
        </w:rPr>
      </w:pPr>
    </w:p>
    <w:p w14:paraId="2CC9C398">
      <w:pPr>
        <w:pStyle w:val="15"/>
        <w:rPr>
          <w:rFonts w:hint="eastAsia"/>
          <w:color w:val="000000" w:themeColor="text1"/>
          <w:highlight w:val="none"/>
          <w14:textFill>
            <w14:solidFill>
              <w14:schemeClr w14:val="tx1"/>
            </w14:solidFill>
          </w14:textFill>
        </w:rPr>
      </w:pPr>
    </w:p>
    <w:p w14:paraId="40569A60">
      <w:pPr>
        <w:pStyle w:val="15"/>
        <w:rPr>
          <w:rFonts w:hint="eastAsia"/>
          <w:color w:val="000000" w:themeColor="text1"/>
          <w:highlight w:val="none"/>
          <w14:textFill>
            <w14:solidFill>
              <w14:schemeClr w14:val="tx1"/>
            </w14:solidFill>
          </w14:textFill>
        </w:rPr>
      </w:pPr>
    </w:p>
    <w:p w14:paraId="437D3195">
      <w:pPr>
        <w:pStyle w:val="15"/>
        <w:rPr>
          <w:rFonts w:hint="eastAsia"/>
          <w:color w:val="000000" w:themeColor="text1"/>
          <w:highlight w:val="none"/>
          <w14:textFill>
            <w14:solidFill>
              <w14:schemeClr w14:val="tx1"/>
            </w14:solidFill>
          </w14:textFill>
        </w:rPr>
      </w:pPr>
    </w:p>
    <w:p w14:paraId="557B8A60">
      <w:pPr>
        <w:pStyle w:val="15"/>
        <w:rPr>
          <w:rFonts w:hint="eastAsia"/>
          <w:color w:val="000000" w:themeColor="text1"/>
          <w:highlight w:val="none"/>
          <w14:textFill>
            <w14:solidFill>
              <w14:schemeClr w14:val="tx1"/>
            </w14:solidFill>
          </w14:textFill>
        </w:rPr>
      </w:pPr>
    </w:p>
    <w:p w14:paraId="02AF43DB">
      <w:pPr>
        <w:pStyle w:val="15"/>
        <w:rPr>
          <w:rFonts w:hint="eastAsia"/>
          <w:color w:val="000000" w:themeColor="text1"/>
          <w:highlight w:val="none"/>
          <w14:textFill>
            <w14:solidFill>
              <w14:schemeClr w14:val="tx1"/>
            </w14:solidFill>
          </w14:textFill>
        </w:rPr>
      </w:pPr>
    </w:p>
    <w:p w14:paraId="33D68054">
      <w:pPr>
        <w:pStyle w:val="4"/>
        <w:rPr>
          <w:rFonts w:hint="eastAsia" w:hAnsi="宋体" w:cs="宋体"/>
          <w:color w:val="000000" w:themeColor="text1"/>
          <w:sz w:val="28"/>
          <w:highlight w:val="none"/>
          <w14:textFill>
            <w14:solidFill>
              <w14:schemeClr w14:val="tx1"/>
            </w14:solidFill>
          </w14:textFill>
        </w:rPr>
      </w:pPr>
      <w:bookmarkStart w:id="147" w:name="_Toc40975453"/>
      <w:r>
        <w:rPr>
          <w:rFonts w:hint="eastAsia" w:hAnsi="宋体" w:cs="宋体"/>
          <w:color w:val="000000" w:themeColor="text1"/>
          <w:sz w:val="28"/>
          <w:highlight w:val="none"/>
          <w14:textFill>
            <w14:solidFill>
              <w14:schemeClr w14:val="tx1"/>
            </w14:solidFill>
          </w14:textFill>
        </w:rPr>
        <w:t>五．投标响应表</w:t>
      </w:r>
      <w:bookmarkEnd w:id="145"/>
      <w:bookmarkEnd w:id="146"/>
      <w:bookmarkEnd w:id="147"/>
    </w:p>
    <w:tbl>
      <w:tblPr>
        <w:tblStyle w:val="21"/>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9FE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39AAE505">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按招标文件规定填写</w:t>
            </w:r>
          </w:p>
        </w:tc>
        <w:tc>
          <w:tcPr>
            <w:tcW w:w="3534" w:type="dxa"/>
            <w:gridSpan w:val="2"/>
            <w:noWrap w:val="0"/>
            <w:vAlign w:val="center"/>
          </w:tcPr>
          <w:p w14:paraId="3AD51FE6">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按投标人所投内容填写</w:t>
            </w:r>
          </w:p>
        </w:tc>
      </w:tr>
      <w:tr w14:paraId="02F7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64FED8D7">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第一部分：技术部分响应</w:t>
            </w:r>
          </w:p>
        </w:tc>
      </w:tr>
      <w:tr w14:paraId="5647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54208723">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470" w:type="dxa"/>
            <w:noWrap w:val="0"/>
            <w:vAlign w:val="center"/>
          </w:tcPr>
          <w:p w14:paraId="0CDA3E89">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品名</w:t>
            </w:r>
          </w:p>
        </w:tc>
        <w:tc>
          <w:tcPr>
            <w:tcW w:w="2520" w:type="dxa"/>
            <w:noWrap w:val="0"/>
            <w:vAlign w:val="center"/>
          </w:tcPr>
          <w:p w14:paraId="7896B91A">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技术规格及配置</w:t>
            </w:r>
          </w:p>
        </w:tc>
        <w:tc>
          <w:tcPr>
            <w:tcW w:w="2310" w:type="dxa"/>
            <w:noWrap w:val="0"/>
            <w:vAlign w:val="center"/>
          </w:tcPr>
          <w:p w14:paraId="523DF30F">
            <w:pPr>
              <w:pStyle w:val="10"/>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生产厂家、品牌、规格参数等</w:t>
            </w:r>
          </w:p>
        </w:tc>
        <w:tc>
          <w:tcPr>
            <w:tcW w:w="1224" w:type="dxa"/>
            <w:noWrap w:val="0"/>
            <w:vAlign w:val="center"/>
          </w:tcPr>
          <w:p w14:paraId="31C93E0E">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偏离说明</w:t>
            </w:r>
          </w:p>
        </w:tc>
      </w:tr>
      <w:tr w14:paraId="6E030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A3D9B4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470" w:type="dxa"/>
            <w:noWrap w:val="0"/>
            <w:vAlign w:val="top"/>
          </w:tcPr>
          <w:p w14:paraId="3E4ECC8A">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0015E8A0">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5D6AA78F">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7BDD7360">
            <w:pPr>
              <w:rPr>
                <w:rFonts w:hint="eastAsia" w:ascii="宋体" w:hAnsi="宋体" w:cs="宋体"/>
                <w:color w:val="000000" w:themeColor="text1"/>
                <w:sz w:val="24"/>
                <w:highlight w:val="none"/>
                <w14:textFill>
                  <w14:solidFill>
                    <w14:schemeClr w14:val="tx1"/>
                  </w14:solidFill>
                </w14:textFill>
              </w:rPr>
            </w:pPr>
          </w:p>
        </w:tc>
      </w:tr>
      <w:tr w14:paraId="4885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E97024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470" w:type="dxa"/>
            <w:noWrap w:val="0"/>
            <w:vAlign w:val="top"/>
          </w:tcPr>
          <w:p w14:paraId="14690323">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604CF26C">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479AB36D">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70B06E2F">
            <w:pPr>
              <w:rPr>
                <w:rFonts w:hint="eastAsia" w:ascii="宋体" w:hAnsi="宋体" w:cs="宋体"/>
                <w:color w:val="000000" w:themeColor="text1"/>
                <w:sz w:val="24"/>
                <w:highlight w:val="none"/>
                <w14:textFill>
                  <w14:solidFill>
                    <w14:schemeClr w14:val="tx1"/>
                  </w14:solidFill>
                </w14:textFill>
              </w:rPr>
            </w:pPr>
          </w:p>
        </w:tc>
      </w:tr>
      <w:tr w14:paraId="6B43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5843CA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470" w:type="dxa"/>
            <w:noWrap w:val="0"/>
            <w:vAlign w:val="top"/>
          </w:tcPr>
          <w:p w14:paraId="5747B431">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7687DBE5">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09270451">
            <w:pPr>
              <w:pStyle w:val="34"/>
              <w:rPr>
                <w:rFonts w:hint="eastAsia" w:ascii="宋体" w:hAnsi="宋体" w:cs="宋体"/>
                <w:color w:val="000000" w:themeColor="text1"/>
                <w:highlight w:val="none"/>
                <w14:textFill>
                  <w14:solidFill>
                    <w14:schemeClr w14:val="tx1"/>
                  </w14:solidFill>
                </w14:textFill>
              </w:rPr>
            </w:pPr>
          </w:p>
        </w:tc>
        <w:tc>
          <w:tcPr>
            <w:tcW w:w="1224" w:type="dxa"/>
            <w:noWrap w:val="0"/>
            <w:vAlign w:val="top"/>
          </w:tcPr>
          <w:p w14:paraId="04511628">
            <w:pPr>
              <w:rPr>
                <w:rFonts w:hint="eastAsia" w:ascii="宋体" w:hAnsi="宋体" w:cs="宋体"/>
                <w:color w:val="000000" w:themeColor="text1"/>
                <w:sz w:val="24"/>
                <w:highlight w:val="none"/>
                <w14:textFill>
                  <w14:solidFill>
                    <w14:schemeClr w14:val="tx1"/>
                  </w14:solidFill>
                </w14:textFill>
              </w:rPr>
            </w:pPr>
          </w:p>
        </w:tc>
      </w:tr>
      <w:tr w14:paraId="0FFB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128D30B">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1470" w:type="dxa"/>
            <w:noWrap w:val="0"/>
            <w:vAlign w:val="top"/>
          </w:tcPr>
          <w:p w14:paraId="5AB6AA7A">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021EC123">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7A8CFA80">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02AA845E">
            <w:pPr>
              <w:rPr>
                <w:rFonts w:hint="eastAsia" w:ascii="宋体" w:hAnsi="宋体" w:cs="宋体"/>
                <w:color w:val="000000" w:themeColor="text1"/>
                <w:sz w:val="24"/>
                <w:highlight w:val="none"/>
                <w14:textFill>
                  <w14:solidFill>
                    <w14:schemeClr w14:val="tx1"/>
                  </w14:solidFill>
                </w14:textFill>
              </w:rPr>
            </w:pPr>
          </w:p>
        </w:tc>
      </w:tr>
      <w:tr w14:paraId="3C25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0550A607">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第二部分：资信及报价部分响应</w:t>
            </w:r>
          </w:p>
        </w:tc>
      </w:tr>
      <w:tr w14:paraId="4014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E72F157">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470" w:type="dxa"/>
            <w:noWrap w:val="0"/>
            <w:vAlign w:val="center"/>
          </w:tcPr>
          <w:p w14:paraId="48B3654E">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内容</w:t>
            </w:r>
          </w:p>
        </w:tc>
        <w:tc>
          <w:tcPr>
            <w:tcW w:w="2520" w:type="dxa"/>
            <w:noWrap w:val="0"/>
            <w:vAlign w:val="center"/>
          </w:tcPr>
          <w:p w14:paraId="4424C7BF">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招标要求</w:t>
            </w:r>
          </w:p>
        </w:tc>
        <w:tc>
          <w:tcPr>
            <w:tcW w:w="2310" w:type="dxa"/>
            <w:noWrap w:val="0"/>
            <w:vAlign w:val="center"/>
          </w:tcPr>
          <w:p w14:paraId="5E7C4024">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投标承诺</w:t>
            </w:r>
          </w:p>
        </w:tc>
        <w:tc>
          <w:tcPr>
            <w:tcW w:w="1224" w:type="dxa"/>
            <w:noWrap w:val="0"/>
            <w:vAlign w:val="center"/>
          </w:tcPr>
          <w:p w14:paraId="7F22352D">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偏离说明</w:t>
            </w:r>
          </w:p>
        </w:tc>
      </w:tr>
      <w:tr w14:paraId="2357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B223A6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470" w:type="dxa"/>
            <w:noWrap w:val="0"/>
            <w:vAlign w:val="center"/>
          </w:tcPr>
          <w:p w14:paraId="56753C1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供货期</w:t>
            </w:r>
          </w:p>
        </w:tc>
        <w:tc>
          <w:tcPr>
            <w:tcW w:w="2520" w:type="dxa"/>
            <w:noWrap w:val="0"/>
            <w:vAlign w:val="top"/>
          </w:tcPr>
          <w:p w14:paraId="3A88A7D5">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2919DE54">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25A860F0">
            <w:pPr>
              <w:rPr>
                <w:rFonts w:hint="eastAsia" w:ascii="宋体" w:hAnsi="宋体" w:cs="宋体"/>
                <w:color w:val="000000" w:themeColor="text1"/>
                <w:sz w:val="24"/>
                <w:highlight w:val="none"/>
                <w14:textFill>
                  <w14:solidFill>
                    <w14:schemeClr w14:val="tx1"/>
                  </w14:solidFill>
                </w14:textFill>
              </w:rPr>
            </w:pPr>
          </w:p>
        </w:tc>
      </w:tr>
      <w:tr w14:paraId="1FF6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97070A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470" w:type="dxa"/>
            <w:noWrap w:val="0"/>
            <w:vAlign w:val="center"/>
          </w:tcPr>
          <w:p w14:paraId="05F931F4">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免费质保期</w:t>
            </w:r>
          </w:p>
        </w:tc>
        <w:tc>
          <w:tcPr>
            <w:tcW w:w="2520" w:type="dxa"/>
            <w:noWrap w:val="0"/>
            <w:vAlign w:val="top"/>
          </w:tcPr>
          <w:p w14:paraId="3099CF65">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209D9559">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338DE239">
            <w:pPr>
              <w:rPr>
                <w:rFonts w:hint="eastAsia" w:ascii="宋体" w:hAnsi="宋体" w:cs="宋体"/>
                <w:color w:val="000000" w:themeColor="text1"/>
                <w:sz w:val="24"/>
                <w:highlight w:val="none"/>
                <w14:textFill>
                  <w14:solidFill>
                    <w14:schemeClr w14:val="tx1"/>
                  </w14:solidFill>
                </w14:textFill>
              </w:rPr>
            </w:pPr>
          </w:p>
        </w:tc>
      </w:tr>
      <w:tr w14:paraId="63915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B048C1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470" w:type="dxa"/>
            <w:noWrap w:val="0"/>
            <w:vAlign w:val="center"/>
          </w:tcPr>
          <w:p w14:paraId="5325B79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付款响应</w:t>
            </w:r>
          </w:p>
        </w:tc>
        <w:tc>
          <w:tcPr>
            <w:tcW w:w="2520" w:type="dxa"/>
            <w:noWrap w:val="0"/>
            <w:vAlign w:val="top"/>
          </w:tcPr>
          <w:p w14:paraId="50998CB9">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26DC019D">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4F4D9043">
            <w:pPr>
              <w:rPr>
                <w:rFonts w:hint="eastAsia" w:ascii="宋体" w:hAnsi="宋体" w:cs="宋体"/>
                <w:color w:val="000000" w:themeColor="text1"/>
                <w:sz w:val="24"/>
                <w:highlight w:val="none"/>
                <w14:textFill>
                  <w14:solidFill>
                    <w14:schemeClr w14:val="tx1"/>
                  </w14:solidFill>
                </w14:textFill>
              </w:rPr>
            </w:pPr>
          </w:p>
        </w:tc>
      </w:tr>
      <w:tr w14:paraId="478F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406F2E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1470" w:type="dxa"/>
            <w:noWrap w:val="0"/>
            <w:vAlign w:val="center"/>
          </w:tcPr>
          <w:p w14:paraId="09A6421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业绩</w:t>
            </w:r>
          </w:p>
        </w:tc>
        <w:tc>
          <w:tcPr>
            <w:tcW w:w="2520" w:type="dxa"/>
            <w:noWrap w:val="0"/>
            <w:vAlign w:val="top"/>
          </w:tcPr>
          <w:p w14:paraId="06D1C57B">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05152964">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6E57D651">
            <w:pPr>
              <w:rPr>
                <w:rFonts w:hint="eastAsia" w:ascii="宋体" w:hAnsi="宋体" w:cs="宋体"/>
                <w:color w:val="000000" w:themeColor="text1"/>
                <w:sz w:val="24"/>
                <w:highlight w:val="none"/>
                <w14:textFill>
                  <w14:solidFill>
                    <w14:schemeClr w14:val="tx1"/>
                  </w14:solidFill>
                </w14:textFill>
              </w:rPr>
            </w:pPr>
          </w:p>
        </w:tc>
      </w:tr>
      <w:tr w14:paraId="3E4E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4FC573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1470" w:type="dxa"/>
            <w:noWrap w:val="0"/>
            <w:vAlign w:val="center"/>
          </w:tcPr>
          <w:p w14:paraId="4775C74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w:t>
            </w:r>
          </w:p>
        </w:tc>
        <w:tc>
          <w:tcPr>
            <w:tcW w:w="2520" w:type="dxa"/>
            <w:noWrap w:val="0"/>
            <w:vAlign w:val="top"/>
          </w:tcPr>
          <w:p w14:paraId="625F27F0">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0A3381F3">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4C975B4A">
            <w:pPr>
              <w:rPr>
                <w:rFonts w:hint="eastAsia" w:ascii="宋体" w:hAnsi="宋体" w:cs="宋体"/>
                <w:color w:val="000000" w:themeColor="text1"/>
                <w:sz w:val="24"/>
                <w:highlight w:val="none"/>
                <w14:textFill>
                  <w14:solidFill>
                    <w14:schemeClr w14:val="tx1"/>
                  </w14:solidFill>
                </w14:textFill>
              </w:rPr>
            </w:pPr>
          </w:p>
        </w:tc>
      </w:tr>
    </w:tbl>
    <w:p w14:paraId="01510A17">
      <w:pPr>
        <w:spacing w:line="3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31D57A83">
      <w:pPr>
        <w:spacing w:line="380" w:lineRule="exact"/>
        <w:ind w:right="640" w:firstLine="1560" w:firstLineChars="650"/>
        <w:jc w:val="left"/>
        <w:rPr>
          <w:rFonts w:hint="eastAsia" w:ascii="宋体" w:hAnsi="宋体" w:cs="宋体"/>
          <w:color w:val="000000" w:themeColor="text1"/>
          <w:sz w:val="24"/>
          <w:highlight w:val="none"/>
          <w14:textFill>
            <w14:solidFill>
              <w14:schemeClr w14:val="tx1"/>
            </w14:solidFill>
          </w14:textFill>
        </w:rPr>
      </w:pPr>
    </w:p>
    <w:p w14:paraId="4D55797E">
      <w:pPr>
        <w:spacing w:line="380" w:lineRule="exact"/>
        <w:ind w:right="64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62701DE9">
      <w:pPr>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3DCEA28A">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备注：</w:t>
      </w:r>
    </w:p>
    <w:p w14:paraId="2A873D9B">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1、投标人必须逐项对应描述投标货物主要参数、配置及服务要求，如不进行描述，仅在响应栏填“响应”或未填写的，将可能导致投标无效；</w:t>
      </w:r>
    </w:p>
    <w:p w14:paraId="1045F8CB">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2、投标人所投产品如与招标文件要求的规格及配置不一致，则须在上表偏离说明中详细注明。</w:t>
      </w:r>
    </w:p>
    <w:p w14:paraId="3006D459">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3、响应部分可后附详细说明及技术资料，并应注明投标文件中对应的页码范围。</w:t>
      </w:r>
    </w:p>
    <w:p w14:paraId="3D580085">
      <w:pPr>
        <w:pStyle w:val="15"/>
        <w:rPr>
          <w:rFonts w:hint="eastAsia"/>
          <w:color w:val="000000" w:themeColor="text1"/>
          <w:highlight w:val="none"/>
          <w14:textFill>
            <w14:solidFill>
              <w14:schemeClr w14:val="tx1"/>
            </w14:solidFill>
          </w14:textFill>
        </w:rPr>
      </w:pPr>
    </w:p>
    <w:p w14:paraId="5EA70879">
      <w:pPr>
        <w:pStyle w:val="15"/>
        <w:rPr>
          <w:rFonts w:hint="eastAsia"/>
          <w:color w:val="000000" w:themeColor="text1"/>
          <w:highlight w:val="none"/>
          <w14:textFill>
            <w14:solidFill>
              <w14:schemeClr w14:val="tx1"/>
            </w14:solidFill>
          </w14:textFill>
        </w:rPr>
      </w:pPr>
    </w:p>
    <w:p w14:paraId="352DA113">
      <w:pPr>
        <w:pStyle w:val="15"/>
        <w:rPr>
          <w:rFonts w:hint="eastAsia"/>
          <w:color w:val="000000" w:themeColor="text1"/>
          <w:highlight w:val="none"/>
          <w14:textFill>
            <w14:solidFill>
              <w14:schemeClr w14:val="tx1"/>
            </w14:solidFill>
          </w14:textFill>
        </w:rPr>
      </w:pPr>
    </w:p>
    <w:p w14:paraId="2E776EBB">
      <w:pPr>
        <w:pStyle w:val="15"/>
        <w:rPr>
          <w:rFonts w:hint="eastAsia"/>
          <w:color w:val="000000" w:themeColor="text1"/>
          <w:highlight w:val="none"/>
          <w14:textFill>
            <w14:solidFill>
              <w14:schemeClr w14:val="tx1"/>
            </w14:solidFill>
          </w14:textFill>
        </w:rPr>
      </w:pPr>
    </w:p>
    <w:p w14:paraId="490FAD8C">
      <w:pPr>
        <w:pStyle w:val="15"/>
        <w:rPr>
          <w:rFonts w:hint="eastAsia"/>
          <w:color w:val="000000" w:themeColor="text1"/>
          <w:highlight w:val="none"/>
          <w14:textFill>
            <w14:solidFill>
              <w14:schemeClr w14:val="tx1"/>
            </w14:solidFill>
          </w14:textFill>
        </w:rPr>
      </w:pPr>
    </w:p>
    <w:p w14:paraId="3361ED32">
      <w:pPr>
        <w:pStyle w:val="15"/>
        <w:rPr>
          <w:rFonts w:hint="eastAsia"/>
          <w:color w:val="000000" w:themeColor="text1"/>
          <w:highlight w:val="none"/>
          <w14:textFill>
            <w14:solidFill>
              <w14:schemeClr w14:val="tx1"/>
            </w14:solidFill>
          </w14:textFill>
        </w:rPr>
      </w:pPr>
    </w:p>
    <w:p w14:paraId="1CFDC58D">
      <w:pPr>
        <w:pStyle w:val="4"/>
        <w:rPr>
          <w:rFonts w:hint="eastAsia" w:hAnsi="宋体" w:cs="宋体"/>
          <w:color w:val="000000" w:themeColor="text1"/>
          <w:sz w:val="28"/>
          <w:highlight w:val="none"/>
          <w14:textFill>
            <w14:solidFill>
              <w14:schemeClr w14:val="tx1"/>
            </w14:solidFill>
          </w14:textFill>
        </w:rPr>
      </w:pPr>
      <w:bookmarkStart w:id="148" w:name="_Hlt509738950"/>
      <w:bookmarkEnd w:id="148"/>
      <w:bookmarkStart w:id="149" w:name="_Toc40975454"/>
      <w:bookmarkStart w:id="150" w:name="_Toc220232400"/>
      <w:bookmarkStart w:id="151" w:name="_Toc2238_WPSOffice_Level2"/>
    </w:p>
    <w:p w14:paraId="38928B07">
      <w:pPr>
        <w:pStyle w:val="4"/>
        <w:rPr>
          <w:rFonts w:hint="eastAsia" w:hAnsi="宋体" w:cs="宋体"/>
          <w:color w:val="000000" w:themeColor="text1"/>
          <w:sz w:val="28"/>
          <w:highlight w:val="none"/>
          <w14:textFill>
            <w14:solidFill>
              <w14:schemeClr w14:val="tx1"/>
            </w14:solidFill>
          </w14:textFill>
        </w:rPr>
      </w:pPr>
    </w:p>
    <w:p w14:paraId="6DC32671">
      <w:pPr>
        <w:pStyle w:val="4"/>
        <w:rPr>
          <w:rFonts w:hint="eastAsia" w:hAnsi="宋体" w:cs="宋体"/>
          <w:color w:val="000000" w:themeColor="text1"/>
          <w:sz w:val="28"/>
          <w:szCs w:val="36"/>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六．产品质量承诺</w:t>
      </w:r>
      <w:bookmarkEnd w:id="149"/>
      <w:bookmarkEnd w:id="150"/>
      <w:bookmarkEnd w:id="151"/>
    </w:p>
    <w:p w14:paraId="708848A6">
      <w:pPr>
        <w:spacing w:before="48" w:beforeLines="20" w:after="48" w:afterLines="20" w:line="360" w:lineRule="auto"/>
        <w:ind w:firstLine="480" w:firstLineChars="2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683F635A">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099C27CE">
      <w:pPr>
        <w:pStyle w:val="15"/>
        <w:rPr>
          <w:rFonts w:hint="eastAsia"/>
          <w:color w:val="000000" w:themeColor="text1"/>
          <w:highlight w:val="none"/>
          <w14:textFill>
            <w14:solidFill>
              <w14:schemeClr w14:val="tx1"/>
            </w14:solidFill>
          </w14:textFill>
        </w:rPr>
      </w:pPr>
    </w:p>
    <w:p w14:paraId="5478E367">
      <w:pPr>
        <w:pStyle w:val="15"/>
        <w:rPr>
          <w:rFonts w:hint="eastAsia"/>
          <w:color w:val="000000" w:themeColor="text1"/>
          <w:highlight w:val="none"/>
          <w14:textFill>
            <w14:solidFill>
              <w14:schemeClr w14:val="tx1"/>
            </w14:solidFill>
          </w14:textFill>
        </w:rPr>
      </w:pPr>
    </w:p>
    <w:p w14:paraId="6D6AE2AB">
      <w:pPr>
        <w:pStyle w:val="15"/>
        <w:rPr>
          <w:rFonts w:hint="eastAsia"/>
          <w:color w:val="000000" w:themeColor="text1"/>
          <w:highlight w:val="none"/>
          <w14:textFill>
            <w14:solidFill>
              <w14:schemeClr w14:val="tx1"/>
            </w14:solidFill>
          </w14:textFill>
        </w:rPr>
      </w:pPr>
    </w:p>
    <w:p w14:paraId="26C5C62C">
      <w:pPr>
        <w:pStyle w:val="15"/>
        <w:rPr>
          <w:rFonts w:hint="eastAsia"/>
          <w:color w:val="000000" w:themeColor="text1"/>
          <w:highlight w:val="none"/>
          <w14:textFill>
            <w14:solidFill>
              <w14:schemeClr w14:val="tx1"/>
            </w14:solidFill>
          </w14:textFill>
        </w:rPr>
      </w:pPr>
    </w:p>
    <w:p w14:paraId="6B27EC25">
      <w:pPr>
        <w:pStyle w:val="15"/>
        <w:rPr>
          <w:rFonts w:hint="eastAsia"/>
          <w:color w:val="000000" w:themeColor="text1"/>
          <w:highlight w:val="none"/>
          <w14:textFill>
            <w14:solidFill>
              <w14:schemeClr w14:val="tx1"/>
            </w14:solidFill>
          </w14:textFill>
        </w:rPr>
      </w:pPr>
    </w:p>
    <w:p w14:paraId="282EBFAA">
      <w:pPr>
        <w:pStyle w:val="15"/>
        <w:rPr>
          <w:rFonts w:hint="eastAsia"/>
          <w:color w:val="000000" w:themeColor="text1"/>
          <w:highlight w:val="none"/>
          <w14:textFill>
            <w14:solidFill>
              <w14:schemeClr w14:val="tx1"/>
            </w14:solidFill>
          </w14:textFill>
        </w:rPr>
      </w:pPr>
    </w:p>
    <w:p w14:paraId="5E219612">
      <w:pPr>
        <w:pStyle w:val="15"/>
        <w:rPr>
          <w:rFonts w:hint="eastAsia"/>
          <w:color w:val="000000" w:themeColor="text1"/>
          <w:highlight w:val="none"/>
          <w14:textFill>
            <w14:solidFill>
              <w14:schemeClr w14:val="tx1"/>
            </w14:solidFill>
          </w14:textFill>
        </w:rPr>
      </w:pPr>
    </w:p>
    <w:p w14:paraId="7DA1DF29">
      <w:pPr>
        <w:pStyle w:val="15"/>
        <w:rPr>
          <w:rFonts w:hint="eastAsia"/>
          <w:color w:val="000000" w:themeColor="text1"/>
          <w:highlight w:val="none"/>
          <w14:textFill>
            <w14:solidFill>
              <w14:schemeClr w14:val="tx1"/>
            </w14:solidFill>
          </w14:textFill>
        </w:rPr>
      </w:pPr>
    </w:p>
    <w:p w14:paraId="20929EEF">
      <w:pPr>
        <w:pStyle w:val="15"/>
        <w:rPr>
          <w:rFonts w:hint="eastAsia"/>
          <w:color w:val="000000" w:themeColor="text1"/>
          <w:highlight w:val="none"/>
          <w14:textFill>
            <w14:solidFill>
              <w14:schemeClr w14:val="tx1"/>
            </w14:solidFill>
          </w14:textFill>
        </w:rPr>
      </w:pPr>
    </w:p>
    <w:p w14:paraId="5AB56440">
      <w:pPr>
        <w:pStyle w:val="15"/>
        <w:rPr>
          <w:rFonts w:hint="eastAsia"/>
          <w:color w:val="000000" w:themeColor="text1"/>
          <w:highlight w:val="none"/>
          <w14:textFill>
            <w14:solidFill>
              <w14:schemeClr w14:val="tx1"/>
            </w14:solidFill>
          </w14:textFill>
        </w:rPr>
      </w:pPr>
    </w:p>
    <w:p w14:paraId="3A31F077">
      <w:pPr>
        <w:pStyle w:val="15"/>
        <w:rPr>
          <w:rFonts w:hint="eastAsia"/>
          <w:color w:val="000000" w:themeColor="text1"/>
          <w:highlight w:val="none"/>
          <w14:textFill>
            <w14:solidFill>
              <w14:schemeClr w14:val="tx1"/>
            </w14:solidFill>
          </w14:textFill>
        </w:rPr>
      </w:pPr>
    </w:p>
    <w:p w14:paraId="6DD83AAF">
      <w:pPr>
        <w:pStyle w:val="15"/>
        <w:rPr>
          <w:rFonts w:hint="eastAsia"/>
          <w:color w:val="000000" w:themeColor="text1"/>
          <w:highlight w:val="none"/>
          <w14:textFill>
            <w14:solidFill>
              <w14:schemeClr w14:val="tx1"/>
            </w14:solidFill>
          </w14:textFill>
        </w:rPr>
      </w:pPr>
    </w:p>
    <w:p w14:paraId="15A445DF">
      <w:pPr>
        <w:pStyle w:val="15"/>
        <w:rPr>
          <w:rFonts w:hint="eastAsia"/>
          <w:color w:val="000000" w:themeColor="text1"/>
          <w:highlight w:val="none"/>
          <w14:textFill>
            <w14:solidFill>
              <w14:schemeClr w14:val="tx1"/>
            </w14:solidFill>
          </w14:textFill>
        </w:rPr>
      </w:pPr>
    </w:p>
    <w:p w14:paraId="7DC38C0F">
      <w:pPr>
        <w:pStyle w:val="15"/>
        <w:rPr>
          <w:rFonts w:hint="eastAsia"/>
          <w:color w:val="000000" w:themeColor="text1"/>
          <w:highlight w:val="none"/>
          <w14:textFill>
            <w14:solidFill>
              <w14:schemeClr w14:val="tx1"/>
            </w14:solidFill>
          </w14:textFill>
        </w:rPr>
      </w:pPr>
    </w:p>
    <w:p w14:paraId="1326C742">
      <w:pPr>
        <w:pStyle w:val="15"/>
        <w:rPr>
          <w:rFonts w:hint="eastAsia"/>
          <w:color w:val="000000" w:themeColor="text1"/>
          <w:highlight w:val="none"/>
          <w14:textFill>
            <w14:solidFill>
              <w14:schemeClr w14:val="tx1"/>
            </w14:solidFill>
          </w14:textFill>
        </w:rPr>
      </w:pPr>
    </w:p>
    <w:p w14:paraId="2A3BCFD7">
      <w:pPr>
        <w:pStyle w:val="15"/>
        <w:rPr>
          <w:rFonts w:hint="eastAsia"/>
          <w:color w:val="000000" w:themeColor="text1"/>
          <w:highlight w:val="none"/>
          <w14:textFill>
            <w14:solidFill>
              <w14:schemeClr w14:val="tx1"/>
            </w14:solidFill>
          </w14:textFill>
        </w:rPr>
      </w:pPr>
    </w:p>
    <w:p w14:paraId="1A3AA422">
      <w:pPr>
        <w:pStyle w:val="15"/>
        <w:rPr>
          <w:rFonts w:hint="eastAsia"/>
          <w:color w:val="000000" w:themeColor="text1"/>
          <w:highlight w:val="none"/>
          <w14:textFill>
            <w14:solidFill>
              <w14:schemeClr w14:val="tx1"/>
            </w14:solidFill>
          </w14:textFill>
        </w:rPr>
      </w:pPr>
    </w:p>
    <w:p w14:paraId="2F1881B6">
      <w:pPr>
        <w:pStyle w:val="15"/>
        <w:rPr>
          <w:rFonts w:hint="eastAsia"/>
          <w:color w:val="000000" w:themeColor="text1"/>
          <w:highlight w:val="none"/>
          <w14:textFill>
            <w14:solidFill>
              <w14:schemeClr w14:val="tx1"/>
            </w14:solidFill>
          </w14:textFill>
        </w:rPr>
      </w:pPr>
    </w:p>
    <w:p w14:paraId="5A48747B">
      <w:pPr>
        <w:pStyle w:val="15"/>
        <w:rPr>
          <w:rFonts w:hint="eastAsia"/>
          <w:color w:val="000000" w:themeColor="text1"/>
          <w:highlight w:val="none"/>
          <w14:textFill>
            <w14:solidFill>
              <w14:schemeClr w14:val="tx1"/>
            </w14:solidFill>
          </w14:textFill>
        </w:rPr>
      </w:pPr>
    </w:p>
    <w:p w14:paraId="13CC4F1B">
      <w:pPr>
        <w:pStyle w:val="15"/>
        <w:rPr>
          <w:rFonts w:hint="eastAsia"/>
          <w:color w:val="000000" w:themeColor="text1"/>
          <w:highlight w:val="none"/>
          <w14:textFill>
            <w14:solidFill>
              <w14:schemeClr w14:val="tx1"/>
            </w14:solidFill>
          </w14:textFill>
        </w:rPr>
      </w:pPr>
    </w:p>
    <w:p w14:paraId="3E7B7DA2">
      <w:pPr>
        <w:pStyle w:val="15"/>
        <w:rPr>
          <w:rFonts w:hint="eastAsia"/>
          <w:color w:val="000000" w:themeColor="text1"/>
          <w:highlight w:val="none"/>
          <w14:textFill>
            <w14:solidFill>
              <w14:schemeClr w14:val="tx1"/>
            </w14:solidFill>
          </w14:textFill>
        </w:rPr>
      </w:pPr>
    </w:p>
    <w:p w14:paraId="2019BC59">
      <w:pPr>
        <w:pStyle w:val="15"/>
        <w:rPr>
          <w:rFonts w:hint="eastAsia"/>
          <w:color w:val="000000" w:themeColor="text1"/>
          <w:highlight w:val="none"/>
          <w14:textFill>
            <w14:solidFill>
              <w14:schemeClr w14:val="tx1"/>
            </w14:solidFill>
          </w14:textFill>
        </w:rPr>
      </w:pPr>
    </w:p>
    <w:p w14:paraId="0BE4E186">
      <w:pPr>
        <w:pStyle w:val="15"/>
        <w:rPr>
          <w:rFonts w:hint="eastAsia"/>
          <w:color w:val="000000" w:themeColor="text1"/>
          <w:highlight w:val="none"/>
          <w14:textFill>
            <w14:solidFill>
              <w14:schemeClr w14:val="tx1"/>
            </w14:solidFill>
          </w14:textFill>
        </w:rPr>
      </w:pPr>
    </w:p>
    <w:p w14:paraId="61785E14">
      <w:pPr>
        <w:pStyle w:val="15"/>
        <w:rPr>
          <w:rFonts w:hint="eastAsia"/>
          <w:color w:val="000000" w:themeColor="text1"/>
          <w:highlight w:val="none"/>
          <w14:textFill>
            <w14:solidFill>
              <w14:schemeClr w14:val="tx1"/>
            </w14:solidFill>
          </w14:textFill>
        </w:rPr>
      </w:pPr>
    </w:p>
    <w:p w14:paraId="41BDBDAD">
      <w:pPr>
        <w:pStyle w:val="15"/>
        <w:rPr>
          <w:rFonts w:hint="eastAsia"/>
          <w:color w:val="000000" w:themeColor="text1"/>
          <w:highlight w:val="none"/>
          <w14:textFill>
            <w14:solidFill>
              <w14:schemeClr w14:val="tx1"/>
            </w14:solidFill>
          </w14:textFill>
        </w:rPr>
      </w:pPr>
    </w:p>
    <w:p w14:paraId="43F827F5">
      <w:pPr>
        <w:pStyle w:val="15"/>
        <w:rPr>
          <w:rFonts w:hint="eastAsia"/>
          <w:color w:val="000000" w:themeColor="text1"/>
          <w:highlight w:val="none"/>
          <w14:textFill>
            <w14:solidFill>
              <w14:schemeClr w14:val="tx1"/>
            </w14:solidFill>
          </w14:textFill>
        </w:rPr>
      </w:pPr>
    </w:p>
    <w:p w14:paraId="56792B7E">
      <w:pPr>
        <w:pStyle w:val="15"/>
        <w:rPr>
          <w:rFonts w:hint="eastAsia"/>
          <w:color w:val="000000" w:themeColor="text1"/>
          <w:highlight w:val="none"/>
          <w14:textFill>
            <w14:solidFill>
              <w14:schemeClr w14:val="tx1"/>
            </w14:solidFill>
          </w14:textFill>
        </w:rPr>
      </w:pPr>
    </w:p>
    <w:p w14:paraId="2EC452DC">
      <w:pPr>
        <w:pStyle w:val="15"/>
        <w:rPr>
          <w:rFonts w:hint="eastAsia"/>
          <w:color w:val="000000" w:themeColor="text1"/>
          <w:highlight w:val="none"/>
          <w14:textFill>
            <w14:solidFill>
              <w14:schemeClr w14:val="tx1"/>
            </w14:solidFill>
          </w14:textFill>
        </w:rPr>
      </w:pPr>
    </w:p>
    <w:p w14:paraId="617F84AB">
      <w:pPr>
        <w:pStyle w:val="15"/>
        <w:rPr>
          <w:rFonts w:hint="eastAsia"/>
          <w:color w:val="000000" w:themeColor="text1"/>
          <w:highlight w:val="none"/>
          <w14:textFill>
            <w14:solidFill>
              <w14:schemeClr w14:val="tx1"/>
            </w14:solidFill>
          </w14:textFill>
        </w:rPr>
      </w:pPr>
    </w:p>
    <w:p w14:paraId="4C0F4CCF">
      <w:pPr>
        <w:pStyle w:val="15"/>
        <w:rPr>
          <w:rFonts w:hint="eastAsia"/>
          <w:color w:val="000000" w:themeColor="text1"/>
          <w:highlight w:val="none"/>
          <w14:textFill>
            <w14:solidFill>
              <w14:schemeClr w14:val="tx1"/>
            </w14:solidFill>
          </w14:textFill>
        </w:rPr>
      </w:pPr>
    </w:p>
    <w:p w14:paraId="4DA8C540">
      <w:pPr>
        <w:pStyle w:val="15"/>
        <w:rPr>
          <w:rFonts w:hint="eastAsia"/>
          <w:color w:val="000000" w:themeColor="text1"/>
          <w:highlight w:val="none"/>
          <w14:textFill>
            <w14:solidFill>
              <w14:schemeClr w14:val="tx1"/>
            </w14:solidFill>
          </w14:textFill>
        </w:rPr>
      </w:pPr>
    </w:p>
    <w:p w14:paraId="5A70694E">
      <w:pPr>
        <w:pStyle w:val="15"/>
        <w:rPr>
          <w:rFonts w:hint="eastAsia"/>
          <w:color w:val="000000" w:themeColor="text1"/>
          <w:highlight w:val="none"/>
          <w14:textFill>
            <w14:solidFill>
              <w14:schemeClr w14:val="tx1"/>
            </w14:solidFill>
          </w14:textFill>
        </w:rPr>
      </w:pPr>
    </w:p>
    <w:p w14:paraId="144E3F35">
      <w:pPr>
        <w:pStyle w:val="15"/>
        <w:rPr>
          <w:rFonts w:hint="eastAsia"/>
          <w:color w:val="000000" w:themeColor="text1"/>
          <w:highlight w:val="none"/>
          <w14:textFill>
            <w14:solidFill>
              <w14:schemeClr w14:val="tx1"/>
            </w14:solidFill>
          </w14:textFill>
        </w:rPr>
      </w:pPr>
    </w:p>
    <w:p w14:paraId="3AF5130C">
      <w:pPr>
        <w:pStyle w:val="15"/>
        <w:rPr>
          <w:rFonts w:hint="eastAsia"/>
          <w:color w:val="000000" w:themeColor="text1"/>
          <w:highlight w:val="none"/>
          <w14:textFill>
            <w14:solidFill>
              <w14:schemeClr w14:val="tx1"/>
            </w14:solidFill>
          </w14:textFill>
        </w:rPr>
      </w:pPr>
    </w:p>
    <w:p w14:paraId="0C514E7A">
      <w:pPr>
        <w:pStyle w:val="15"/>
        <w:rPr>
          <w:rFonts w:hint="eastAsia"/>
          <w:color w:val="000000" w:themeColor="text1"/>
          <w:highlight w:val="none"/>
          <w14:textFill>
            <w14:solidFill>
              <w14:schemeClr w14:val="tx1"/>
            </w14:solidFill>
          </w14:textFill>
        </w:rPr>
      </w:pPr>
    </w:p>
    <w:p w14:paraId="592C19F2">
      <w:pPr>
        <w:pStyle w:val="15"/>
        <w:rPr>
          <w:rFonts w:hint="eastAsia"/>
          <w:color w:val="000000" w:themeColor="text1"/>
          <w:highlight w:val="none"/>
          <w14:textFill>
            <w14:solidFill>
              <w14:schemeClr w14:val="tx1"/>
            </w14:solidFill>
          </w14:textFill>
        </w:rPr>
      </w:pPr>
    </w:p>
    <w:p w14:paraId="608CC338">
      <w:pPr>
        <w:pStyle w:val="15"/>
        <w:rPr>
          <w:rFonts w:hint="eastAsia"/>
          <w:color w:val="000000" w:themeColor="text1"/>
          <w:highlight w:val="none"/>
          <w14:textFill>
            <w14:solidFill>
              <w14:schemeClr w14:val="tx1"/>
            </w14:solidFill>
          </w14:textFill>
        </w:rPr>
      </w:pPr>
    </w:p>
    <w:p w14:paraId="2A3BC673">
      <w:pPr>
        <w:pStyle w:val="15"/>
        <w:rPr>
          <w:rFonts w:hint="eastAsia"/>
          <w:color w:val="000000" w:themeColor="text1"/>
          <w:highlight w:val="none"/>
          <w14:textFill>
            <w14:solidFill>
              <w14:schemeClr w14:val="tx1"/>
            </w14:solidFill>
          </w14:textFill>
        </w:rPr>
      </w:pPr>
    </w:p>
    <w:p w14:paraId="70B0B6D0">
      <w:pPr>
        <w:pStyle w:val="15"/>
        <w:rPr>
          <w:rFonts w:hint="eastAsia"/>
          <w:color w:val="000000" w:themeColor="text1"/>
          <w:highlight w:val="none"/>
          <w14:textFill>
            <w14:solidFill>
              <w14:schemeClr w14:val="tx1"/>
            </w14:solidFill>
          </w14:textFill>
        </w:rPr>
      </w:pPr>
    </w:p>
    <w:p w14:paraId="63F4CD4A">
      <w:pPr>
        <w:pStyle w:val="15"/>
        <w:rPr>
          <w:rFonts w:hint="eastAsia"/>
          <w:color w:val="000000" w:themeColor="text1"/>
          <w:highlight w:val="none"/>
          <w14:textFill>
            <w14:solidFill>
              <w14:schemeClr w14:val="tx1"/>
            </w14:solidFill>
          </w14:textFill>
        </w:rPr>
      </w:pPr>
    </w:p>
    <w:p w14:paraId="071F1B9F">
      <w:pPr>
        <w:pStyle w:val="15"/>
        <w:rPr>
          <w:rFonts w:hint="eastAsia"/>
          <w:color w:val="000000" w:themeColor="text1"/>
          <w:highlight w:val="none"/>
          <w14:textFill>
            <w14:solidFill>
              <w14:schemeClr w14:val="tx1"/>
            </w14:solidFill>
          </w14:textFill>
        </w:rPr>
      </w:pPr>
    </w:p>
    <w:p w14:paraId="13DF0AC2">
      <w:pPr>
        <w:pStyle w:val="15"/>
        <w:rPr>
          <w:rFonts w:hint="eastAsia"/>
          <w:color w:val="000000" w:themeColor="text1"/>
          <w:highlight w:val="none"/>
          <w14:textFill>
            <w14:solidFill>
              <w14:schemeClr w14:val="tx1"/>
            </w14:solidFill>
          </w14:textFill>
        </w:rPr>
      </w:pPr>
    </w:p>
    <w:p w14:paraId="37085533">
      <w:pPr>
        <w:pStyle w:val="15"/>
        <w:rPr>
          <w:rFonts w:hint="eastAsia"/>
          <w:color w:val="000000" w:themeColor="text1"/>
          <w:highlight w:val="none"/>
          <w14:textFill>
            <w14:solidFill>
              <w14:schemeClr w14:val="tx1"/>
            </w14:solidFill>
          </w14:textFill>
        </w:rPr>
      </w:pPr>
    </w:p>
    <w:p w14:paraId="32AFB50A">
      <w:pPr>
        <w:pStyle w:val="15"/>
        <w:rPr>
          <w:rFonts w:hint="eastAsia"/>
          <w:color w:val="000000" w:themeColor="text1"/>
          <w:highlight w:val="none"/>
          <w14:textFill>
            <w14:solidFill>
              <w14:schemeClr w14:val="tx1"/>
            </w14:solidFill>
          </w14:textFill>
        </w:rPr>
      </w:pPr>
    </w:p>
    <w:p w14:paraId="1074FEC7">
      <w:pPr>
        <w:pStyle w:val="15"/>
        <w:rPr>
          <w:rFonts w:hint="eastAsia"/>
          <w:color w:val="000000" w:themeColor="text1"/>
          <w:highlight w:val="none"/>
          <w14:textFill>
            <w14:solidFill>
              <w14:schemeClr w14:val="tx1"/>
            </w14:solidFill>
          </w14:textFill>
        </w:rPr>
      </w:pPr>
    </w:p>
    <w:p w14:paraId="1EC21C92">
      <w:pPr>
        <w:pStyle w:val="15"/>
        <w:rPr>
          <w:rFonts w:hint="eastAsia"/>
          <w:color w:val="000000" w:themeColor="text1"/>
          <w:highlight w:val="none"/>
          <w14:textFill>
            <w14:solidFill>
              <w14:schemeClr w14:val="tx1"/>
            </w14:solidFill>
          </w14:textFill>
        </w:rPr>
      </w:pPr>
    </w:p>
    <w:p w14:paraId="617ECAD8">
      <w:pPr>
        <w:pStyle w:val="15"/>
        <w:rPr>
          <w:rFonts w:hint="eastAsia"/>
          <w:color w:val="000000" w:themeColor="text1"/>
          <w:highlight w:val="none"/>
          <w14:textFill>
            <w14:solidFill>
              <w14:schemeClr w14:val="tx1"/>
            </w14:solidFill>
          </w14:textFill>
        </w:rPr>
      </w:pPr>
    </w:p>
    <w:p w14:paraId="78823A3F">
      <w:pPr>
        <w:pStyle w:val="15"/>
        <w:rPr>
          <w:rFonts w:hint="eastAsia"/>
          <w:color w:val="000000" w:themeColor="text1"/>
          <w:highlight w:val="none"/>
          <w14:textFill>
            <w14:solidFill>
              <w14:schemeClr w14:val="tx1"/>
            </w14:solidFill>
          </w14:textFill>
        </w:rPr>
      </w:pPr>
    </w:p>
    <w:p w14:paraId="01E88E0A">
      <w:pPr>
        <w:pStyle w:val="15"/>
        <w:rPr>
          <w:rFonts w:hint="eastAsia"/>
          <w:color w:val="000000" w:themeColor="text1"/>
          <w:highlight w:val="none"/>
          <w14:textFill>
            <w14:solidFill>
              <w14:schemeClr w14:val="tx1"/>
            </w14:solidFill>
          </w14:textFill>
        </w:rPr>
      </w:pPr>
    </w:p>
    <w:p w14:paraId="10D5DFF9">
      <w:pPr>
        <w:pStyle w:val="15"/>
        <w:rPr>
          <w:rFonts w:hint="eastAsia"/>
          <w:color w:val="000000" w:themeColor="text1"/>
          <w:highlight w:val="none"/>
          <w14:textFill>
            <w14:solidFill>
              <w14:schemeClr w14:val="tx1"/>
            </w14:solidFill>
          </w14:textFill>
        </w:rPr>
      </w:pPr>
    </w:p>
    <w:p w14:paraId="33AC4305">
      <w:pPr>
        <w:pStyle w:val="15"/>
        <w:rPr>
          <w:rFonts w:hint="eastAsia"/>
          <w:color w:val="000000" w:themeColor="text1"/>
          <w:highlight w:val="none"/>
          <w14:textFill>
            <w14:solidFill>
              <w14:schemeClr w14:val="tx1"/>
            </w14:solidFill>
          </w14:textFill>
        </w:rPr>
      </w:pPr>
    </w:p>
    <w:p w14:paraId="3DD90A5B">
      <w:pPr>
        <w:pStyle w:val="4"/>
        <w:rPr>
          <w:rFonts w:hint="eastAsia" w:hAnsi="宋体" w:cs="宋体"/>
          <w:color w:val="000000" w:themeColor="text1"/>
          <w:sz w:val="28"/>
          <w:szCs w:val="36"/>
          <w:highlight w:val="none"/>
          <w14:textFill>
            <w14:solidFill>
              <w14:schemeClr w14:val="tx1"/>
            </w14:solidFill>
          </w14:textFill>
        </w:rPr>
      </w:pPr>
      <w:bookmarkStart w:id="152" w:name="_Toc40975455"/>
      <w:bookmarkStart w:id="153" w:name="_Toc220232401"/>
      <w:bookmarkStart w:id="154" w:name="_Toc31042_WPSOffice_Level2"/>
      <w:bookmarkStart w:id="155" w:name="_Toc516969104"/>
      <w:bookmarkStart w:id="156" w:name="_Hlt510342906"/>
      <w:r>
        <w:rPr>
          <w:rFonts w:hint="eastAsia" w:hAnsi="宋体" w:cs="宋体"/>
          <w:color w:val="000000" w:themeColor="text1"/>
          <w:sz w:val="28"/>
          <w:highlight w:val="none"/>
          <w14:textFill>
            <w14:solidFill>
              <w14:schemeClr w14:val="tx1"/>
            </w14:solidFill>
          </w14:textFill>
        </w:rPr>
        <w:t>七．所</w:t>
      </w:r>
      <w:bookmarkStart w:id="157" w:name="_Hlt510342883"/>
      <w:bookmarkEnd w:id="157"/>
      <w:r>
        <w:rPr>
          <w:rFonts w:hint="eastAsia" w:hAnsi="宋体" w:cs="宋体"/>
          <w:color w:val="000000" w:themeColor="text1"/>
          <w:sz w:val="28"/>
          <w:highlight w:val="none"/>
          <w14:textFill>
            <w14:solidFill>
              <w14:schemeClr w14:val="tx1"/>
            </w14:solidFill>
          </w14:textFill>
        </w:rPr>
        <w:t>供货物组部件、备品、备件清单</w:t>
      </w:r>
      <w:bookmarkEnd w:id="152"/>
      <w:bookmarkEnd w:id="153"/>
      <w:bookmarkEnd w:id="154"/>
      <w:bookmarkEnd w:id="155"/>
      <w:r>
        <w:rPr>
          <w:rFonts w:hint="eastAsia" w:hAnsi="宋体" w:cs="宋体"/>
          <w:color w:val="000000" w:themeColor="text1"/>
          <w:sz w:val="28"/>
          <w:highlight w:val="none"/>
          <w14:textFill>
            <w14:solidFill>
              <w14:schemeClr w14:val="tx1"/>
            </w14:solidFill>
          </w14:textFill>
        </w:rPr>
        <w:t>（可不填写）</w:t>
      </w:r>
    </w:p>
    <w:bookmarkEnd w:id="156"/>
    <w:tbl>
      <w:tblPr>
        <w:tblStyle w:val="21"/>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7128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734F4C89">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186" w:type="dxa"/>
            <w:noWrap w:val="0"/>
            <w:vAlign w:val="center"/>
          </w:tcPr>
          <w:p w14:paraId="51B7012D">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名称</w:t>
            </w:r>
          </w:p>
        </w:tc>
        <w:tc>
          <w:tcPr>
            <w:tcW w:w="1730" w:type="dxa"/>
            <w:noWrap w:val="0"/>
            <w:vAlign w:val="center"/>
          </w:tcPr>
          <w:p w14:paraId="5B037C2D">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规格型号</w:t>
            </w:r>
          </w:p>
        </w:tc>
        <w:tc>
          <w:tcPr>
            <w:tcW w:w="1037" w:type="dxa"/>
            <w:noWrap w:val="0"/>
            <w:vAlign w:val="center"/>
          </w:tcPr>
          <w:p w14:paraId="505E4AFD">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数量</w:t>
            </w:r>
          </w:p>
        </w:tc>
        <w:tc>
          <w:tcPr>
            <w:tcW w:w="1286" w:type="dxa"/>
            <w:noWrap w:val="0"/>
            <w:vAlign w:val="center"/>
          </w:tcPr>
          <w:p w14:paraId="2D240E19">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单价</w:t>
            </w:r>
          </w:p>
        </w:tc>
        <w:tc>
          <w:tcPr>
            <w:tcW w:w="1236" w:type="dxa"/>
            <w:noWrap w:val="0"/>
            <w:vAlign w:val="center"/>
          </w:tcPr>
          <w:p w14:paraId="77A83D62">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小计</w:t>
            </w:r>
          </w:p>
        </w:tc>
        <w:tc>
          <w:tcPr>
            <w:tcW w:w="1098" w:type="dxa"/>
            <w:noWrap w:val="0"/>
            <w:vAlign w:val="center"/>
          </w:tcPr>
          <w:p w14:paraId="1ABC4412">
            <w:pPr>
              <w:pStyle w:val="10"/>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备注</w:t>
            </w:r>
          </w:p>
        </w:tc>
      </w:tr>
      <w:tr w14:paraId="6241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D472F1D">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1</w:t>
            </w:r>
          </w:p>
        </w:tc>
        <w:tc>
          <w:tcPr>
            <w:tcW w:w="1186" w:type="dxa"/>
            <w:noWrap w:val="0"/>
            <w:vAlign w:val="top"/>
          </w:tcPr>
          <w:p w14:paraId="766C1689">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2A422BC9">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12267192">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177AD192">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097428AC">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465B2157">
            <w:pPr>
              <w:pStyle w:val="10"/>
              <w:rPr>
                <w:rFonts w:hint="eastAsia" w:hAnsi="宋体" w:cs="宋体"/>
                <w:color w:val="000000" w:themeColor="text1"/>
                <w:sz w:val="24"/>
                <w:highlight w:val="none"/>
                <w:lang w:val="en-US" w:eastAsia="zh-CN"/>
                <w14:textFill>
                  <w14:solidFill>
                    <w14:schemeClr w14:val="tx1"/>
                  </w14:solidFill>
                </w14:textFill>
              </w:rPr>
            </w:pPr>
          </w:p>
        </w:tc>
      </w:tr>
      <w:tr w14:paraId="6134D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B499926">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2</w:t>
            </w:r>
          </w:p>
        </w:tc>
        <w:tc>
          <w:tcPr>
            <w:tcW w:w="1186" w:type="dxa"/>
            <w:noWrap w:val="0"/>
            <w:vAlign w:val="top"/>
          </w:tcPr>
          <w:p w14:paraId="362A6FE3">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43F0486A">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77FFE4D4">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3ED81299">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082C79D6">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1E3D6F02">
            <w:pPr>
              <w:pStyle w:val="10"/>
              <w:rPr>
                <w:rFonts w:hint="eastAsia" w:hAnsi="宋体" w:cs="宋体"/>
                <w:color w:val="000000" w:themeColor="text1"/>
                <w:sz w:val="24"/>
                <w:highlight w:val="none"/>
                <w:lang w:val="en-US" w:eastAsia="zh-CN"/>
                <w14:textFill>
                  <w14:solidFill>
                    <w14:schemeClr w14:val="tx1"/>
                  </w14:solidFill>
                </w14:textFill>
              </w:rPr>
            </w:pPr>
          </w:p>
        </w:tc>
      </w:tr>
      <w:tr w14:paraId="1EDC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1257C88">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3</w:t>
            </w:r>
          </w:p>
        </w:tc>
        <w:tc>
          <w:tcPr>
            <w:tcW w:w="1186" w:type="dxa"/>
            <w:noWrap w:val="0"/>
            <w:vAlign w:val="top"/>
          </w:tcPr>
          <w:p w14:paraId="3EF66056">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2E1B7F7C">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1D297643">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39DC80AB">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32D5D26B">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4B851F9A">
            <w:pPr>
              <w:pStyle w:val="10"/>
              <w:rPr>
                <w:rFonts w:hint="eastAsia" w:hAnsi="宋体" w:cs="宋体"/>
                <w:color w:val="000000" w:themeColor="text1"/>
                <w:sz w:val="24"/>
                <w:highlight w:val="none"/>
                <w:lang w:val="en-US" w:eastAsia="zh-CN"/>
                <w14:textFill>
                  <w14:solidFill>
                    <w14:schemeClr w14:val="tx1"/>
                  </w14:solidFill>
                </w14:textFill>
              </w:rPr>
            </w:pPr>
          </w:p>
        </w:tc>
      </w:tr>
      <w:tr w14:paraId="7EC4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B984E3E">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4</w:t>
            </w:r>
          </w:p>
        </w:tc>
        <w:tc>
          <w:tcPr>
            <w:tcW w:w="1186" w:type="dxa"/>
            <w:tcBorders>
              <w:right w:val="single" w:color="auto" w:sz="4" w:space="0"/>
            </w:tcBorders>
            <w:noWrap w:val="0"/>
            <w:vAlign w:val="top"/>
          </w:tcPr>
          <w:p w14:paraId="613D7744">
            <w:pPr>
              <w:rPr>
                <w:rFonts w:hint="eastAsia" w:ascii="宋体" w:hAnsi="宋体" w:cs="宋体"/>
                <w:color w:val="000000" w:themeColor="text1"/>
                <w:sz w:val="24"/>
                <w:highlight w:val="none"/>
                <w14:textFill>
                  <w14:solidFill>
                    <w14:schemeClr w14:val="tx1"/>
                  </w14:solidFill>
                </w14:textFill>
              </w:rPr>
            </w:pPr>
          </w:p>
        </w:tc>
        <w:tc>
          <w:tcPr>
            <w:tcW w:w="1730" w:type="dxa"/>
            <w:tcBorders>
              <w:right w:val="single" w:color="auto" w:sz="4" w:space="0"/>
            </w:tcBorders>
            <w:noWrap w:val="0"/>
            <w:vAlign w:val="top"/>
          </w:tcPr>
          <w:p w14:paraId="28BCA9B4">
            <w:pPr>
              <w:rPr>
                <w:rFonts w:hint="eastAsia" w:ascii="宋体" w:hAnsi="宋体" w:cs="宋体"/>
                <w:color w:val="000000" w:themeColor="text1"/>
                <w:sz w:val="24"/>
                <w:highlight w:val="none"/>
                <w14:textFill>
                  <w14:solidFill>
                    <w14:schemeClr w14:val="tx1"/>
                  </w14:solidFill>
                </w14:textFill>
              </w:rPr>
            </w:pPr>
          </w:p>
        </w:tc>
        <w:tc>
          <w:tcPr>
            <w:tcW w:w="1037" w:type="dxa"/>
            <w:tcBorders>
              <w:left w:val="single" w:color="auto" w:sz="4" w:space="0"/>
            </w:tcBorders>
            <w:noWrap w:val="0"/>
            <w:vAlign w:val="top"/>
          </w:tcPr>
          <w:p w14:paraId="035A7194">
            <w:pPr>
              <w:rPr>
                <w:rFonts w:hint="eastAsia" w:ascii="宋体" w:hAnsi="宋体" w:cs="宋体"/>
                <w:color w:val="000000" w:themeColor="text1"/>
                <w:sz w:val="24"/>
                <w:highlight w:val="none"/>
                <w14:textFill>
                  <w14:solidFill>
                    <w14:schemeClr w14:val="tx1"/>
                  </w14:solidFill>
                </w14:textFill>
              </w:rPr>
            </w:pPr>
          </w:p>
        </w:tc>
        <w:tc>
          <w:tcPr>
            <w:tcW w:w="1286" w:type="dxa"/>
            <w:tcBorders>
              <w:left w:val="single" w:color="auto" w:sz="4" w:space="0"/>
            </w:tcBorders>
            <w:noWrap w:val="0"/>
            <w:vAlign w:val="top"/>
          </w:tcPr>
          <w:p w14:paraId="7FAC5468">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tcBorders>
              <w:left w:val="nil"/>
            </w:tcBorders>
            <w:noWrap w:val="0"/>
            <w:vAlign w:val="top"/>
          </w:tcPr>
          <w:p w14:paraId="0AB48B7E">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76426983">
            <w:pPr>
              <w:pStyle w:val="10"/>
              <w:rPr>
                <w:rFonts w:hint="eastAsia" w:hAnsi="宋体" w:cs="宋体"/>
                <w:color w:val="000000" w:themeColor="text1"/>
                <w:sz w:val="24"/>
                <w:highlight w:val="none"/>
                <w:lang w:val="en-US" w:eastAsia="zh-CN"/>
                <w14:textFill>
                  <w14:solidFill>
                    <w14:schemeClr w14:val="tx1"/>
                  </w14:solidFill>
                </w14:textFill>
              </w:rPr>
            </w:pPr>
          </w:p>
        </w:tc>
      </w:tr>
      <w:tr w14:paraId="6646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2603501">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5</w:t>
            </w:r>
          </w:p>
        </w:tc>
        <w:tc>
          <w:tcPr>
            <w:tcW w:w="1186" w:type="dxa"/>
            <w:noWrap w:val="0"/>
            <w:vAlign w:val="top"/>
          </w:tcPr>
          <w:p w14:paraId="24CEBB71">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30ED2922">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168C5AF0">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3777C586">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34B61A30">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37AA4C1E">
            <w:pPr>
              <w:pStyle w:val="10"/>
              <w:rPr>
                <w:rFonts w:hint="eastAsia" w:hAnsi="宋体" w:cs="宋体"/>
                <w:color w:val="000000" w:themeColor="text1"/>
                <w:sz w:val="24"/>
                <w:highlight w:val="none"/>
                <w:lang w:val="en-US" w:eastAsia="zh-CN"/>
                <w14:textFill>
                  <w14:solidFill>
                    <w14:schemeClr w14:val="tx1"/>
                  </w14:solidFill>
                </w14:textFill>
              </w:rPr>
            </w:pPr>
          </w:p>
        </w:tc>
      </w:tr>
      <w:tr w14:paraId="53F2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9FD832E">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6</w:t>
            </w:r>
          </w:p>
        </w:tc>
        <w:tc>
          <w:tcPr>
            <w:tcW w:w="1186" w:type="dxa"/>
            <w:noWrap w:val="0"/>
            <w:vAlign w:val="top"/>
          </w:tcPr>
          <w:p w14:paraId="42ECF299">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11FFD41D">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7AF5A1E1">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6EEE1D31">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4FC621ED">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2B634E77">
            <w:pPr>
              <w:pStyle w:val="10"/>
              <w:rPr>
                <w:rFonts w:hint="eastAsia" w:hAnsi="宋体" w:cs="宋体"/>
                <w:color w:val="000000" w:themeColor="text1"/>
                <w:sz w:val="24"/>
                <w:highlight w:val="none"/>
                <w:lang w:val="en-US" w:eastAsia="zh-CN"/>
                <w14:textFill>
                  <w14:solidFill>
                    <w14:schemeClr w14:val="tx1"/>
                  </w14:solidFill>
                </w14:textFill>
              </w:rPr>
            </w:pPr>
          </w:p>
        </w:tc>
      </w:tr>
      <w:tr w14:paraId="0DD87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41DEA6D">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7</w:t>
            </w:r>
          </w:p>
        </w:tc>
        <w:tc>
          <w:tcPr>
            <w:tcW w:w="1186" w:type="dxa"/>
            <w:noWrap w:val="0"/>
            <w:vAlign w:val="top"/>
          </w:tcPr>
          <w:p w14:paraId="1A98260B">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54880FA8">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4C9AB159">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6D3F787A">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45BD23AD">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2A620F30">
            <w:pPr>
              <w:pStyle w:val="10"/>
              <w:rPr>
                <w:rFonts w:hint="eastAsia" w:hAnsi="宋体" w:cs="宋体"/>
                <w:color w:val="000000" w:themeColor="text1"/>
                <w:sz w:val="24"/>
                <w:highlight w:val="none"/>
                <w:lang w:val="en-US" w:eastAsia="zh-CN"/>
                <w14:textFill>
                  <w14:solidFill>
                    <w14:schemeClr w14:val="tx1"/>
                  </w14:solidFill>
                </w14:textFill>
              </w:rPr>
            </w:pPr>
          </w:p>
        </w:tc>
      </w:tr>
      <w:tr w14:paraId="769C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4B002A2">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8</w:t>
            </w:r>
          </w:p>
        </w:tc>
        <w:tc>
          <w:tcPr>
            <w:tcW w:w="1186" w:type="dxa"/>
            <w:noWrap w:val="0"/>
            <w:vAlign w:val="top"/>
          </w:tcPr>
          <w:p w14:paraId="32D0890F">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06869E39">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51645D56">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1A9819B9">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34B1D50C">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46410EBE">
            <w:pPr>
              <w:pStyle w:val="10"/>
              <w:rPr>
                <w:rFonts w:hint="eastAsia" w:hAnsi="宋体" w:cs="宋体"/>
                <w:color w:val="000000" w:themeColor="text1"/>
                <w:sz w:val="24"/>
                <w:highlight w:val="none"/>
                <w:lang w:val="en-US" w:eastAsia="zh-CN"/>
                <w14:textFill>
                  <w14:solidFill>
                    <w14:schemeClr w14:val="tx1"/>
                  </w14:solidFill>
                </w14:textFill>
              </w:rPr>
            </w:pPr>
          </w:p>
        </w:tc>
      </w:tr>
      <w:tr w14:paraId="6A31B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1A44A62">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color w:val="000000" w:themeColor="text1"/>
                <w:sz w:val="24"/>
                <w:highlight w:val="none"/>
                <w:lang w:val="en-US" w:eastAsia="zh-CN"/>
                <w14:textFill>
                  <w14:solidFill>
                    <w14:schemeClr w14:val="tx1"/>
                  </w14:solidFill>
                </w14:textFill>
              </w:rPr>
              <w:t>9</w:t>
            </w:r>
          </w:p>
        </w:tc>
        <w:tc>
          <w:tcPr>
            <w:tcW w:w="1186" w:type="dxa"/>
            <w:noWrap w:val="0"/>
            <w:vAlign w:val="top"/>
          </w:tcPr>
          <w:p w14:paraId="74FBF862">
            <w:pPr>
              <w:rPr>
                <w:rFonts w:hint="eastAsia" w:ascii="宋体" w:hAnsi="宋体" w:cs="宋体"/>
                <w:color w:val="000000" w:themeColor="text1"/>
                <w:sz w:val="24"/>
                <w:highlight w:val="none"/>
                <w14:textFill>
                  <w14:solidFill>
                    <w14:schemeClr w14:val="tx1"/>
                  </w14:solidFill>
                </w14:textFill>
              </w:rPr>
            </w:pPr>
          </w:p>
        </w:tc>
        <w:tc>
          <w:tcPr>
            <w:tcW w:w="1730" w:type="dxa"/>
            <w:noWrap w:val="0"/>
            <w:vAlign w:val="top"/>
          </w:tcPr>
          <w:p w14:paraId="39A8088B">
            <w:pPr>
              <w:rPr>
                <w:rFonts w:hint="eastAsia" w:ascii="宋体" w:hAnsi="宋体" w:cs="宋体"/>
                <w:color w:val="000000" w:themeColor="text1"/>
                <w:sz w:val="24"/>
                <w:highlight w:val="none"/>
                <w14:textFill>
                  <w14:solidFill>
                    <w14:schemeClr w14:val="tx1"/>
                  </w14:solidFill>
                </w14:textFill>
              </w:rPr>
            </w:pPr>
          </w:p>
        </w:tc>
        <w:tc>
          <w:tcPr>
            <w:tcW w:w="1037" w:type="dxa"/>
            <w:noWrap w:val="0"/>
            <w:vAlign w:val="top"/>
          </w:tcPr>
          <w:p w14:paraId="0C1EC16F">
            <w:pPr>
              <w:rPr>
                <w:rFonts w:hint="eastAsia" w:ascii="宋体" w:hAnsi="宋体" w:cs="宋体"/>
                <w:color w:val="000000" w:themeColor="text1"/>
                <w:sz w:val="24"/>
                <w:highlight w:val="none"/>
                <w14:textFill>
                  <w14:solidFill>
                    <w14:schemeClr w14:val="tx1"/>
                  </w14:solidFill>
                </w14:textFill>
              </w:rPr>
            </w:pPr>
          </w:p>
        </w:tc>
        <w:tc>
          <w:tcPr>
            <w:tcW w:w="1286" w:type="dxa"/>
            <w:noWrap w:val="0"/>
            <w:vAlign w:val="top"/>
          </w:tcPr>
          <w:p w14:paraId="393CC296">
            <w:pPr>
              <w:pStyle w:val="10"/>
              <w:rPr>
                <w:rFonts w:hint="eastAsia" w:hAnsi="宋体" w:cs="宋体"/>
                <w:color w:val="000000" w:themeColor="text1"/>
                <w:sz w:val="24"/>
                <w:highlight w:val="none"/>
                <w:lang w:val="en-US" w:eastAsia="zh-CN"/>
                <w14:textFill>
                  <w14:solidFill>
                    <w14:schemeClr w14:val="tx1"/>
                  </w14:solidFill>
                </w14:textFill>
              </w:rPr>
            </w:pPr>
          </w:p>
        </w:tc>
        <w:tc>
          <w:tcPr>
            <w:tcW w:w="1236" w:type="dxa"/>
            <w:noWrap w:val="0"/>
            <w:vAlign w:val="top"/>
          </w:tcPr>
          <w:p w14:paraId="1C63BF47">
            <w:pPr>
              <w:pStyle w:val="10"/>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top"/>
          </w:tcPr>
          <w:p w14:paraId="1A498C8C">
            <w:pPr>
              <w:pStyle w:val="10"/>
              <w:rPr>
                <w:rFonts w:hint="eastAsia" w:hAnsi="宋体" w:cs="宋体"/>
                <w:color w:val="000000" w:themeColor="text1"/>
                <w:sz w:val="24"/>
                <w:highlight w:val="none"/>
                <w:lang w:val="en-US" w:eastAsia="zh-CN"/>
                <w14:textFill>
                  <w14:solidFill>
                    <w14:schemeClr w14:val="tx1"/>
                  </w14:solidFill>
                </w14:textFill>
              </w:rPr>
            </w:pPr>
          </w:p>
        </w:tc>
      </w:tr>
      <w:tr w14:paraId="7101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56A59710">
            <w:pPr>
              <w:pStyle w:val="10"/>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合计</w:t>
            </w:r>
          </w:p>
        </w:tc>
        <w:tc>
          <w:tcPr>
            <w:tcW w:w="1236" w:type="dxa"/>
            <w:noWrap w:val="0"/>
            <w:vAlign w:val="center"/>
          </w:tcPr>
          <w:p w14:paraId="2D392586">
            <w:pPr>
              <w:pStyle w:val="10"/>
              <w:jc w:val="center"/>
              <w:rPr>
                <w:rFonts w:hint="eastAsia" w:hAnsi="宋体" w:cs="宋体"/>
                <w:color w:val="000000" w:themeColor="text1"/>
                <w:sz w:val="24"/>
                <w:highlight w:val="none"/>
                <w:lang w:val="en-US" w:eastAsia="zh-CN"/>
                <w14:textFill>
                  <w14:solidFill>
                    <w14:schemeClr w14:val="tx1"/>
                  </w14:solidFill>
                </w14:textFill>
              </w:rPr>
            </w:pPr>
          </w:p>
        </w:tc>
        <w:tc>
          <w:tcPr>
            <w:tcW w:w="1098" w:type="dxa"/>
            <w:noWrap w:val="0"/>
            <w:vAlign w:val="center"/>
          </w:tcPr>
          <w:p w14:paraId="2ED908EE">
            <w:pPr>
              <w:pStyle w:val="10"/>
              <w:jc w:val="center"/>
              <w:rPr>
                <w:rFonts w:hint="eastAsia" w:hAnsi="宋体" w:cs="宋体"/>
                <w:color w:val="000000" w:themeColor="text1"/>
                <w:sz w:val="24"/>
                <w:highlight w:val="none"/>
                <w:lang w:val="en-US" w:eastAsia="zh-CN"/>
                <w14:textFill>
                  <w14:solidFill>
                    <w14:schemeClr w14:val="tx1"/>
                  </w14:solidFill>
                </w14:textFill>
              </w:rPr>
            </w:pPr>
          </w:p>
        </w:tc>
      </w:tr>
    </w:tbl>
    <w:p w14:paraId="31B4B033">
      <w:pPr>
        <w:pStyle w:val="11"/>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投标人电子</w:t>
      </w:r>
      <w:r>
        <w:rPr>
          <w:rFonts w:hint="eastAsia" w:ascii="宋体" w:hAnsi="宋体" w:cs="宋体"/>
          <w:color w:val="000000" w:themeColor="text1"/>
          <w:sz w:val="24"/>
          <w:highlight w:val="none"/>
          <w:lang w:val="en-US" w:eastAsia="zh-CN"/>
          <w14:textFill>
            <w14:solidFill>
              <w14:schemeClr w14:val="tx1"/>
            </w14:solidFill>
          </w14:textFill>
        </w:rPr>
        <w:t>公签</w:t>
      </w:r>
      <w:r>
        <w:rPr>
          <w:rFonts w:hint="eastAsia" w:ascii="宋体" w:hAnsi="宋体" w:cs="宋体"/>
          <w:color w:val="000000" w:themeColor="text1"/>
          <w:sz w:val="24"/>
          <w:highlight w:val="none"/>
          <w14:textFill>
            <w14:solidFill>
              <w14:schemeClr w14:val="tx1"/>
            </w14:solidFill>
          </w14:textFill>
        </w:rPr>
        <w:t>章：</w:t>
      </w:r>
    </w:p>
    <w:p w14:paraId="5D67B64A">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szCs w:val="27"/>
          <w:highlight w:val="none"/>
          <w14:textFill>
            <w14:solidFill>
              <w14:schemeClr w14:val="tx1"/>
            </w14:solidFill>
          </w14:textFill>
        </w:rPr>
        <w:t>备注：备品备件系指免费质保期满后一定期限的易损件、耗材等。</w:t>
      </w:r>
    </w:p>
    <w:p w14:paraId="616DE30F">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2D8D2C3B">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7A465B32">
      <w:pPr>
        <w:pStyle w:val="15"/>
        <w:rPr>
          <w:rFonts w:hint="eastAsia"/>
          <w:color w:val="000000" w:themeColor="text1"/>
          <w:highlight w:val="none"/>
          <w14:textFill>
            <w14:solidFill>
              <w14:schemeClr w14:val="tx1"/>
            </w14:solidFill>
          </w14:textFill>
        </w:rPr>
      </w:pPr>
    </w:p>
    <w:p w14:paraId="084B05E5">
      <w:pPr>
        <w:pStyle w:val="15"/>
        <w:rPr>
          <w:rFonts w:hint="eastAsia"/>
          <w:color w:val="000000" w:themeColor="text1"/>
          <w:highlight w:val="none"/>
          <w14:textFill>
            <w14:solidFill>
              <w14:schemeClr w14:val="tx1"/>
            </w14:solidFill>
          </w14:textFill>
        </w:rPr>
      </w:pPr>
    </w:p>
    <w:p w14:paraId="06824492">
      <w:pPr>
        <w:pStyle w:val="15"/>
        <w:rPr>
          <w:rFonts w:hint="eastAsia"/>
          <w:color w:val="000000" w:themeColor="text1"/>
          <w:highlight w:val="none"/>
          <w14:textFill>
            <w14:solidFill>
              <w14:schemeClr w14:val="tx1"/>
            </w14:solidFill>
          </w14:textFill>
        </w:rPr>
      </w:pPr>
    </w:p>
    <w:p w14:paraId="75ED2251">
      <w:pPr>
        <w:pStyle w:val="15"/>
        <w:rPr>
          <w:rFonts w:hint="eastAsia"/>
          <w:color w:val="000000" w:themeColor="text1"/>
          <w:highlight w:val="none"/>
          <w14:textFill>
            <w14:solidFill>
              <w14:schemeClr w14:val="tx1"/>
            </w14:solidFill>
          </w14:textFill>
        </w:rPr>
      </w:pPr>
    </w:p>
    <w:p w14:paraId="43E84622">
      <w:pPr>
        <w:pStyle w:val="15"/>
        <w:rPr>
          <w:rFonts w:hint="eastAsia"/>
          <w:color w:val="000000" w:themeColor="text1"/>
          <w:highlight w:val="none"/>
          <w14:textFill>
            <w14:solidFill>
              <w14:schemeClr w14:val="tx1"/>
            </w14:solidFill>
          </w14:textFill>
        </w:rPr>
      </w:pPr>
    </w:p>
    <w:p w14:paraId="161E6F88">
      <w:pPr>
        <w:pStyle w:val="15"/>
        <w:rPr>
          <w:rFonts w:hint="eastAsia"/>
          <w:color w:val="000000" w:themeColor="text1"/>
          <w:highlight w:val="none"/>
          <w14:textFill>
            <w14:solidFill>
              <w14:schemeClr w14:val="tx1"/>
            </w14:solidFill>
          </w14:textFill>
        </w:rPr>
      </w:pPr>
    </w:p>
    <w:p w14:paraId="02DF2E6E">
      <w:pPr>
        <w:pStyle w:val="15"/>
        <w:rPr>
          <w:rFonts w:hint="eastAsia"/>
          <w:color w:val="000000" w:themeColor="text1"/>
          <w:highlight w:val="none"/>
          <w14:textFill>
            <w14:solidFill>
              <w14:schemeClr w14:val="tx1"/>
            </w14:solidFill>
          </w14:textFill>
        </w:rPr>
      </w:pPr>
    </w:p>
    <w:p w14:paraId="3C29566B">
      <w:pPr>
        <w:pStyle w:val="15"/>
        <w:rPr>
          <w:rFonts w:hint="eastAsia"/>
          <w:color w:val="000000" w:themeColor="text1"/>
          <w:highlight w:val="none"/>
          <w14:textFill>
            <w14:solidFill>
              <w14:schemeClr w14:val="tx1"/>
            </w14:solidFill>
          </w14:textFill>
        </w:rPr>
      </w:pPr>
    </w:p>
    <w:p w14:paraId="441037C2">
      <w:pPr>
        <w:pStyle w:val="15"/>
        <w:rPr>
          <w:rFonts w:hint="eastAsia"/>
          <w:color w:val="000000" w:themeColor="text1"/>
          <w:highlight w:val="none"/>
          <w14:textFill>
            <w14:solidFill>
              <w14:schemeClr w14:val="tx1"/>
            </w14:solidFill>
          </w14:textFill>
        </w:rPr>
      </w:pPr>
    </w:p>
    <w:p w14:paraId="27DB572F">
      <w:pPr>
        <w:pStyle w:val="15"/>
        <w:rPr>
          <w:rFonts w:hint="eastAsia"/>
          <w:color w:val="000000" w:themeColor="text1"/>
          <w:highlight w:val="none"/>
          <w14:textFill>
            <w14:solidFill>
              <w14:schemeClr w14:val="tx1"/>
            </w14:solidFill>
          </w14:textFill>
        </w:rPr>
      </w:pPr>
    </w:p>
    <w:p w14:paraId="6471BE25">
      <w:pPr>
        <w:pStyle w:val="15"/>
        <w:rPr>
          <w:rFonts w:hint="eastAsia"/>
          <w:color w:val="000000" w:themeColor="text1"/>
          <w:highlight w:val="none"/>
          <w14:textFill>
            <w14:solidFill>
              <w14:schemeClr w14:val="tx1"/>
            </w14:solidFill>
          </w14:textFill>
        </w:rPr>
      </w:pPr>
    </w:p>
    <w:p w14:paraId="6FCFE8EE">
      <w:pPr>
        <w:pStyle w:val="15"/>
        <w:rPr>
          <w:rFonts w:hint="eastAsia"/>
          <w:color w:val="000000" w:themeColor="text1"/>
          <w:highlight w:val="none"/>
          <w14:textFill>
            <w14:solidFill>
              <w14:schemeClr w14:val="tx1"/>
            </w14:solidFill>
          </w14:textFill>
        </w:rPr>
      </w:pPr>
    </w:p>
    <w:p w14:paraId="1B5C0FEB">
      <w:pPr>
        <w:pStyle w:val="15"/>
        <w:rPr>
          <w:rFonts w:hint="eastAsia"/>
          <w:color w:val="000000" w:themeColor="text1"/>
          <w:highlight w:val="none"/>
          <w14:textFill>
            <w14:solidFill>
              <w14:schemeClr w14:val="tx1"/>
            </w14:solidFill>
          </w14:textFill>
        </w:rPr>
      </w:pPr>
    </w:p>
    <w:p w14:paraId="1CF3F176">
      <w:pPr>
        <w:pStyle w:val="15"/>
        <w:rPr>
          <w:rFonts w:hint="eastAsia"/>
          <w:color w:val="000000" w:themeColor="text1"/>
          <w:highlight w:val="none"/>
          <w14:textFill>
            <w14:solidFill>
              <w14:schemeClr w14:val="tx1"/>
            </w14:solidFill>
          </w14:textFill>
        </w:rPr>
      </w:pPr>
    </w:p>
    <w:p w14:paraId="6AC99602">
      <w:pPr>
        <w:pStyle w:val="15"/>
        <w:rPr>
          <w:rFonts w:hint="eastAsia"/>
          <w:color w:val="000000" w:themeColor="text1"/>
          <w:highlight w:val="none"/>
          <w14:textFill>
            <w14:solidFill>
              <w14:schemeClr w14:val="tx1"/>
            </w14:solidFill>
          </w14:textFill>
        </w:rPr>
      </w:pPr>
    </w:p>
    <w:p w14:paraId="09A0A52F">
      <w:pPr>
        <w:pStyle w:val="4"/>
        <w:rPr>
          <w:rFonts w:hint="eastAsia" w:hAnsi="宋体" w:cs="宋体"/>
          <w:color w:val="000000" w:themeColor="text1"/>
          <w:sz w:val="28"/>
          <w:highlight w:val="none"/>
          <w14:textFill>
            <w14:solidFill>
              <w14:schemeClr w14:val="tx1"/>
            </w14:solidFill>
          </w14:textFill>
        </w:rPr>
      </w:pPr>
      <w:bookmarkStart w:id="158" w:name="_Toc220232402"/>
      <w:bookmarkStart w:id="159" w:name="_Toc40975456"/>
      <w:bookmarkStart w:id="160" w:name="_Toc516969105"/>
      <w:bookmarkStart w:id="161" w:name="_Toc5312_WPSOffice_Level2"/>
    </w:p>
    <w:p w14:paraId="275B8909">
      <w:pPr>
        <w:pStyle w:val="4"/>
        <w:rPr>
          <w:rFonts w:hint="eastAsia" w:hAnsi="宋体" w:cs="宋体"/>
          <w:color w:val="000000" w:themeColor="text1"/>
          <w:sz w:val="28"/>
          <w:highlight w:val="none"/>
          <w14:textFill>
            <w14:solidFill>
              <w14:schemeClr w14:val="tx1"/>
            </w14:solidFill>
          </w14:textFill>
        </w:rPr>
      </w:pPr>
    </w:p>
    <w:p w14:paraId="0224E6E5">
      <w:pPr>
        <w:pStyle w:val="4"/>
        <w:rPr>
          <w:rFonts w:hint="eastAsia" w:hAnsi="宋体" w:cs="宋体"/>
          <w:color w:val="000000" w:themeColor="text1"/>
          <w:sz w:val="28"/>
          <w:szCs w:val="36"/>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八．有关证明文件</w:t>
      </w:r>
      <w:bookmarkEnd w:id="158"/>
      <w:bookmarkEnd w:id="159"/>
      <w:bookmarkEnd w:id="160"/>
      <w:bookmarkEnd w:id="161"/>
    </w:p>
    <w:p w14:paraId="3CC87CF7">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提供符合投标邀请（招标公告）、货物需求一览表及评标办法规定的相关证明文件。</w:t>
      </w:r>
    </w:p>
    <w:p w14:paraId="26AFD092">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4A09184">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991F8EF">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5CCE40B">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DB7E2B0">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202A6B9">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650F4FF">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FD579DC">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D0CDDAC">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AA186C4">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E598500">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E58DB15">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56FF67B">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9B18025">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5353580">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12AA631">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BF4988A">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B99EF5D">
      <w:pPr>
        <w:pStyle w:val="15"/>
        <w:rPr>
          <w:rFonts w:hint="eastAsia"/>
          <w:color w:val="000000" w:themeColor="text1"/>
          <w:highlight w:val="none"/>
          <w14:textFill>
            <w14:solidFill>
              <w14:schemeClr w14:val="tx1"/>
            </w14:solidFill>
          </w14:textFill>
        </w:rPr>
      </w:pPr>
    </w:p>
    <w:p w14:paraId="57112B68">
      <w:pPr>
        <w:pStyle w:val="15"/>
        <w:rPr>
          <w:rFonts w:hint="eastAsia"/>
          <w:color w:val="000000" w:themeColor="text1"/>
          <w:highlight w:val="none"/>
          <w14:textFill>
            <w14:solidFill>
              <w14:schemeClr w14:val="tx1"/>
            </w14:solidFill>
          </w14:textFill>
        </w:rPr>
      </w:pPr>
    </w:p>
    <w:p w14:paraId="3B928E33">
      <w:pPr>
        <w:pStyle w:val="15"/>
        <w:rPr>
          <w:rFonts w:hint="eastAsia"/>
          <w:color w:val="000000" w:themeColor="text1"/>
          <w:highlight w:val="none"/>
          <w14:textFill>
            <w14:solidFill>
              <w14:schemeClr w14:val="tx1"/>
            </w14:solidFill>
          </w14:textFill>
        </w:rPr>
      </w:pPr>
    </w:p>
    <w:p w14:paraId="43E6AFA5">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5C03CA3">
      <w:pPr>
        <w:pStyle w:val="15"/>
        <w:rPr>
          <w:rFonts w:hint="eastAsia"/>
          <w:color w:val="000000" w:themeColor="text1"/>
          <w:highlight w:val="none"/>
          <w14:textFill>
            <w14:solidFill>
              <w14:schemeClr w14:val="tx1"/>
            </w14:solidFill>
          </w14:textFill>
        </w:rPr>
      </w:pPr>
    </w:p>
    <w:p w14:paraId="598DCE0A">
      <w:pPr>
        <w:pStyle w:val="15"/>
        <w:rPr>
          <w:rFonts w:hint="eastAsia"/>
          <w:color w:val="000000" w:themeColor="text1"/>
          <w:highlight w:val="none"/>
          <w14:textFill>
            <w14:solidFill>
              <w14:schemeClr w14:val="tx1"/>
            </w14:solidFill>
          </w14:textFill>
        </w:rPr>
      </w:pPr>
    </w:p>
    <w:p w14:paraId="23C6D4CE">
      <w:pPr>
        <w:pStyle w:val="15"/>
        <w:rPr>
          <w:rFonts w:hint="eastAsia"/>
          <w:color w:val="000000" w:themeColor="text1"/>
          <w:highlight w:val="none"/>
          <w14:textFill>
            <w14:solidFill>
              <w14:schemeClr w14:val="tx1"/>
            </w14:solidFill>
          </w14:textFill>
        </w:rPr>
      </w:pPr>
    </w:p>
    <w:p w14:paraId="1AE2E82D">
      <w:pPr>
        <w:pStyle w:val="15"/>
        <w:rPr>
          <w:rFonts w:hint="eastAsia"/>
          <w:color w:val="000000" w:themeColor="text1"/>
          <w:highlight w:val="none"/>
          <w14:textFill>
            <w14:solidFill>
              <w14:schemeClr w14:val="tx1"/>
            </w14:solidFill>
          </w14:textFill>
        </w:rPr>
      </w:pPr>
    </w:p>
    <w:p w14:paraId="0DE98AC5">
      <w:pPr>
        <w:pStyle w:val="15"/>
        <w:rPr>
          <w:rFonts w:hint="eastAsia"/>
          <w:color w:val="000000" w:themeColor="text1"/>
          <w:highlight w:val="none"/>
          <w14:textFill>
            <w14:solidFill>
              <w14:schemeClr w14:val="tx1"/>
            </w14:solidFill>
          </w14:textFill>
        </w:rPr>
      </w:pPr>
    </w:p>
    <w:p w14:paraId="0166AD40">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9344F36">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14BB67F">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97E2F4F">
      <w:pPr>
        <w:pStyle w:val="4"/>
        <w:rPr>
          <w:rFonts w:hint="eastAsia"/>
          <w:b/>
          <w:bCs/>
          <w:color w:val="000000" w:themeColor="text1"/>
          <w:sz w:val="28"/>
          <w:szCs w:val="28"/>
          <w:highlight w:val="none"/>
          <w14:textFill>
            <w14:solidFill>
              <w14:schemeClr w14:val="tx1"/>
            </w14:solidFill>
          </w14:textFill>
        </w:rPr>
      </w:pPr>
      <w:bookmarkStart w:id="162" w:name="_Toc13715_WPSOffice_Level2"/>
      <w:bookmarkStart w:id="163" w:name="_Toc40975457"/>
      <w:r>
        <w:rPr>
          <w:rFonts w:hint="eastAsia" w:hAnsi="宋体" w:cs="宋体"/>
          <w:color w:val="000000" w:themeColor="text1"/>
          <w:sz w:val="28"/>
          <w:szCs w:val="28"/>
          <w:highlight w:val="none"/>
          <w14:textFill>
            <w14:solidFill>
              <w14:schemeClr w14:val="tx1"/>
            </w14:solidFill>
          </w14:textFill>
        </w:rPr>
        <w:t>九．</w:t>
      </w:r>
      <w:bookmarkEnd w:id="162"/>
      <w:bookmarkEnd w:id="163"/>
      <w:bookmarkStart w:id="164" w:name="_Toc220232403"/>
      <w:r>
        <w:rPr>
          <w:rFonts w:hint="eastAsia"/>
          <w:b/>
          <w:bCs/>
          <w:color w:val="000000" w:themeColor="text1"/>
          <w:sz w:val="28"/>
          <w:szCs w:val="28"/>
          <w:highlight w:val="none"/>
          <w14:textFill>
            <w14:solidFill>
              <w14:schemeClr w14:val="tx1"/>
            </w14:solidFill>
          </w14:textFill>
        </w:rPr>
        <w:t>中小企业声明函（货物）</w:t>
      </w:r>
    </w:p>
    <w:p w14:paraId="515521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0C2503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5CF147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43804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3F9932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14:paraId="453128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14:paraId="72947F7C">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4E0D1F12">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5384A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sz w:val="24"/>
          <w:szCs w:val="24"/>
          <w:highlight w:val="none"/>
          <w14:textFill>
            <w14:solidFill>
              <w14:schemeClr w14:val="tx1"/>
            </w14:solidFill>
          </w14:textFill>
        </w:rPr>
      </w:pPr>
    </w:p>
    <w:p w14:paraId="0FB8AA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p>
    <w:p w14:paraId="0EBFD4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p>
    <w:p w14:paraId="3D39A0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注：1.</w:t>
      </w:r>
      <w:r>
        <w:rPr>
          <w:rFonts w:hint="eastAsia"/>
          <w:color w:val="000000" w:themeColor="text1"/>
          <w:highlight w:val="none"/>
          <w14:textFill>
            <w14:solidFill>
              <w14:schemeClr w14:val="tx1"/>
            </w14:solidFill>
          </w14:textFill>
        </w:rPr>
        <w:t>从业人员、营业收入、资产总额填报上一年度数据，无上一年度数据的新成立企业可不填报。</w:t>
      </w:r>
    </w:p>
    <w:p w14:paraId="7E216D44">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本项目如是只面向中小企业采购的应当必须提供。</w:t>
      </w:r>
    </w:p>
    <w:p w14:paraId="0F45D4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p>
    <w:p w14:paraId="347DAD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 w:val="28"/>
          <w:szCs w:val="28"/>
          <w:highlight w:val="none"/>
          <w14:textFill>
            <w14:solidFill>
              <w14:schemeClr w14:val="tx1"/>
            </w14:solidFill>
          </w14:textFill>
        </w:rPr>
      </w:pPr>
    </w:p>
    <w:p w14:paraId="4AAFB2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 w:val="28"/>
          <w:szCs w:val="28"/>
          <w:highlight w:val="none"/>
          <w14:textFill>
            <w14:solidFill>
              <w14:schemeClr w14:val="tx1"/>
            </w14:solidFill>
          </w14:textFill>
        </w:rPr>
      </w:pPr>
    </w:p>
    <w:p w14:paraId="65087EFF">
      <w:pPr>
        <w:rPr>
          <w:rFonts w:hint="eastAsia" w:ascii="宋体" w:hAnsi="宋体" w:cs="宋体"/>
          <w:color w:val="000000" w:themeColor="text1"/>
          <w:sz w:val="28"/>
          <w:szCs w:val="28"/>
          <w:highlight w:val="none"/>
          <w14:textFill>
            <w14:solidFill>
              <w14:schemeClr w14:val="tx1"/>
            </w14:solidFill>
          </w14:textFill>
        </w:rPr>
      </w:pPr>
    </w:p>
    <w:p w14:paraId="0932F44B">
      <w:pPr>
        <w:rPr>
          <w:rFonts w:hint="eastAsia" w:ascii="宋体" w:hAnsi="宋体" w:cs="宋体"/>
          <w:color w:val="000000" w:themeColor="text1"/>
          <w:sz w:val="28"/>
          <w:szCs w:val="28"/>
          <w:highlight w:val="none"/>
          <w14:textFill>
            <w14:solidFill>
              <w14:schemeClr w14:val="tx1"/>
            </w14:solidFill>
          </w14:textFill>
        </w:rPr>
      </w:pPr>
    </w:p>
    <w:p w14:paraId="14C0B7CA">
      <w:pPr>
        <w:rPr>
          <w:rFonts w:hint="eastAsia" w:ascii="宋体" w:hAnsi="宋体" w:cs="宋体"/>
          <w:color w:val="000000" w:themeColor="text1"/>
          <w:sz w:val="28"/>
          <w:szCs w:val="28"/>
          <w:highlight w:val="none"/>
          <w14:textFill>
            <w14:solidFill>
              <w14:schemeClr w14:val="tx1"/>
            </w14:solidFill>
          </w14:textFill>
        </w:rPr>
      </w:pPr>
    </w:p>
    <w:p w14:paraId="71CBCDEB">
      <w:pPr>
        <w:rPr>
          <w:rFonts w:hint="eastAsia" w:ascii="宋体" w:hAnsi="宋体" w:cs="宋体"/>
          <w:color w:val="000000" w:themeColor="text1"/>
          <w:highlight w:val="none"/>
          <w14:textFill>
            <w14:solidFill>
              <w14:schemeClr w14:val="tx1"/>
            </w14:solidFill>
          </w14:textFill>
        </w:rPr>
      </w:pPr>
    </w:p>
    <w:bookmarkEnd w:id="164"/>
    <w:p w14:paraId="74F3A25E">
      <w:pPr>
        <w:pStyle w:val="4"/>
        <w:rPr>
          <w:rFonts w:hint="eastAsia" w:hAnsi="宋体" w:cs="宋体"/>
          <w:color w:val="000000" w:themeColor="text1"/>
          <w:sz w:val="36"/>
          <w:szCs w:val="36"/>
          <w:highlight w:val="none"/>
          <w14:textFill>
            <w14:solidFill>
              <w14:schemeClr w14:val="tx1"/>
            </w14:solidFill>
          </w14:textFill>
        </w:rPr>
      </w:pPr>
      <w:bookmarkStart w:id="165" w:name="_Hlt526418111"/>
      <w:bookmarkEnd w:id="165"/>
      <w:bookmarkStart w:id="166" w:name="_Hlt526418103"/>
      <w:bookmarkEnd w:id="166"/>
      <w:bookmarkStart w:id="167" w:name="_Toc516969110"/>
      <w:bookmarkStart w:id="168" w:name="_Toc2532_WPSOffice_Level2"/>
      <w:bookmarkStart w:id="169" w:name="_Toc220232405"/>
      <w:r>
        <w:rPr>
          <w:rFonts w:hAnsi="宋体" w:cs="宋体"/>
          <w:color w:val="000000" w:themeColor="text1"/>
          <w:sz w:val="28"/>
          <w:highlight w:val="none"/>
          <w14:textFill>
            <w14:solidFill>
              <w14:schemeClr w14:val="tx1"/>
            </w14:solidFill>
          </w14:textFill>
        </w:rPr>
        <w:br w:type="page"/>
      </w:r>
      <w:bookmarkStart w:id="170" w:name="_Toc40975458"/>
      <w:r>
        <w:rPr>
          <w:rFonts w:hint="eastAsia" w:hAnsi="宋体" w:cs="宋体"/>
          <w:color w:val="000000" w:themeColor="text1"/>
          <w:sz w:val="28"/>
          <w:highlight w:val="none"/>
          <w14:textFill>
            <w14:solidFill>
              <w14:schemeClr w14:val="tx1"/>
            </w14:solidFill>
          </w14:textFill>
        </w:rPr>
        <w:t>十．售后服务</w:t>
      </w:r>
      <w:bookmarkEnd w:id="167"/>
      <w:bookmarkEnd w:id="168"/>
      <w:bookmarkEnd w:id="169"/>
      <w:bookmarkEnd w:id="170"/>
    </w:p>
    <w:p w14:paraId="5615D68B">
      <w:pPr>
        <w:jc w:val="center"/>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2C00D1AD">
      <w:pPr>
        <w:spacing w:line="500" w:lineRule="exact"/>
        <w:jc w:val="center"/>
        <w:rPr>
          <w:rFonts w:hint="eastAsia" w:ascii="宋体" w:hAnsi="宋体" w:cs="宋体"/>
          <w:b/>
          <w:bCs/>
          <w:color w:val="000000" w:themeColor="text1"/>
          <w:sz w:val="30"/>
          <w:highlight w:val="none"/>
          <w14:textFill>
            <w14:solidFill>
              <w14:schemeClr w14:val="tx1"/>
            </w14:solidFill>
          </w14:textFill>
        </w:rPr>
      </w:pPr>
      <w:bookmarkStart w:id="171" w:name="_Hlt526418107"/>
      <w:bookmarkEnd w:id="171"/>
    </w:p>
    <w:p w14:paraId="1557DB73">
      <w:pPr>
        <w:pStyle w:val="4"/>
        <w:rPr>
          <w:rFonts w:hint="eastAsia" w:hAnsi="宋体" w:cs="宋体"/>
          <w:color w:val="000000" w:themeColor="text1"/>
          <w:sz w:val="44"/>
          <w:highlight w:val="none"/>
          <w14:textFill>
            <w14:solidFill>
              <w14:schemeClr w14:val="tx1"/>
            </w14:solidFill>
          </w14:textFill>
        </w:rPr>
      </w:pPr>
      <w:bookmarkStart w:id="172" w:name="_Hlt509738384"/>
      <w:bookmarkStart w:id="173" w:name="_Toc359404312"/>
      <w:bookmarkStart w:id="174" w:name="_Toc516969111"/>
      <w:bookmarkStart w:id="175" w:name="_Toc197934560"/>
      <w:bookmarkStart w:id="176" w:name="_Toc30338_WPSOffice_Level2"/>
      <w:bookmarkStart w:id="177" w:name="_Toc40975459"/>
      <w:r>
        <w:rPr>
          <w:rFonts w:hint="eastAsia" w:hAnsi="宋体" w:cs="宋体"/>
          <w:color w:val="000000" w:themeColor="text1"/>
          <w:sz w:val="28"/>
          <w:highlight w:val="none"/>
          <w14:textFill>
            <w14:solidFill>
              <w14:schemeClr w14:val="tx1"/>
            </w14:solidFill>
          </w14:textFill>
        </w:rPr>
        <w:t>十一、所投货物的技术资料等</w:t>
      </w:r>
      <w:bookmarkEnd w:id="172"/>
      <w:bookmarkEnd w:id="173"/>
      <w:bookmarkEnd w:id="174"/>
      <w:bookmarkEnd w:id="175"/>
      <w:bookmarkEnd w:id="176"/>
      <w:bookmarkEnd w:id="177"/>
      <w:bookmarkStart w:id="178" w:name="_Hlt509650291"/>
      <w:bookmarkEnd w:id="178"/>
    </w:p>
    <w:p w14:paraId="68F721C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（投标人可自行制作格式，附产品技术彩页）</w:t>
      </w:r>
    </w:p>
    <w:p w14:paraId="7A74FB89">
      <w:pPr>
        <w:jc w:val="center"/>
        <w:rPr>
          <w:rFonts w:hint="eastAsia" w:ascii="宋体" w:hAnsi="宋体" w:cs="宋体"/>
          <w:color w:val="000000" w:themeColor="text1"/>
          <w:sz w:val="24"/>
          <w:highlight w:val="none"/>
          <w14:textFill>
            <w14:solidFill>
              <w14:schemeClr w14:val="tx1"/>
            </w14:solidFill>
          </w14:textFill>
        </w:rPr>
      </w:pPr>
    </w:p>
    <w:p w14:paraId="0E2F00B6">
      <w:pPr>
        <w:jc w:val="center"/>
        <w:rPr>
          <w:rFonts w:hint="eastAsia" w:ascii="宋体" w:hAnsi="宋体" w:cs="宋体"/>
          <w:color w:val="000000" w:themeColor="text1"/>
          <w:sz w:val="24"/>
          <w:highlight w:val="none"/>
          <w14:textFill>
            <w14:solidFill>
              <w14:schemeClr w14:val="tx1"/>
            </w14:solidFill>
          </w14:textFill>
        </w:rPr>
      </w:pPr>
    </w:p>
    <w:p w14:paraId="070D5685">
      <w:pPr>
        <w:jc w:val="center"/>
        <w:rPr>
          <w:rFonts w:hint="eastAsia" w:ascii="宋体" w:hAnsi="宋体" w:cs="宋体"/>
          <w:color w:val="000000" w:themeColor="text1"/>
          <w:sz w:val="24"/>
          <w:highlight w:val="none"/>
          <w14:textFill>
            <w14:solidFill>
              <w14:schemeClr w14:val="tx1"/>
            </w14:solidFill>
          </w14:textFill>
        </w:rPr>
      </w:pPr>
    </w:p>
    <w:p w14:paraId="76AA11BC">
      <w:pPr>
        <w:pStyle w:val="4"/>
        <w:rPr>
          <w:rFonts w:hint="eastAsia" w:hAnsi="宋体" w:cs="宋体"/>
          <w:color w:val="000000" w:themeColor="text1"/>
          <w:sz w:val="28"/>
          <w:highlight w:val="none"/>
          <w14:textFill>
            <w14:solidFill>
              <w14:schemeClr w14:val="tx1"/>
            </w14:solidFill>
          </w14:textFill>
        </w:rPr>
      </w:pPr>
      <w:r>
        <w:rPr>
          <w:rFonts w:hint="eastAsia" w:hAnsi="宋体" w:cs="宋体"/>
          <w:color w:val="000000" w:themeColor="text1"/>
          <w:sz w:val="28"/>
          <w:highlight w:val="none"/>
          <w14:textFill>
            <w14:solidFill>
              <w14:schemeClr w14:val="tx1"/>
            </w14:solidFill>
          </w14:textFill>
        </w:rPr>
        <w:t>十二、其他投标人认为需要提供得材料等</w:t>
      </w:r>
    </w:p>
    <w:p w14:paraId="1D5E759B">
      <w:pPr>
        <w:pStyle w:val="4"/>
        <w:rPr>
          <w:rFonts w:hint="eastAsia" w:hAnsi="宋体" w:cs="宋体"/>
          <w:color w:val="000000" w:themeColor="text1"/>
          <w:sz w:val="28"/>
          <w:highlight w:val="none"/>
          <w14:textFill>
            <w14:solidFill>
              <w14:schemeClr w14:val="tx1"/>
            </w14:solidFill>
          </w14:textFill>
        </w:rPr>
      </w:pPr>
    </w:p>
    <w:p w14:paraId="0AA3DC0D">
      <w:pPr>
        <w:jc w:val="center"/>
        <w:rPr>
          <w:rFonts w:hint="eastAsia" w:ascii="宋体" w:hAnsi="宋体" w:cs="宋体"/>
          <w:color w:val="000000" w:themeColor="text1"/>
          <w:sz w:val="24"/>
          <w:highlight w:val="none"/>
          <w14:textFill>
            <w14:solidFill>
              <w14:schemeClr w14:val="tx1"/>
            </w14:solidFill>
          </w14:textFill>
        </w:rPr>
      </w:pPr>
    </w:p>
    <w:p w14:paraId="3B88E928">
      <w:pPr>
        <w:jc w:val="center"/>
        <w:rPr>
          <w:rFonts w:hint="eastAsia" w:ascii="宋体" w:hAnsi="宋体" w:cs="宋体"/>
          <w:color w:val="000000" w:themeColor="text1"/>
          <w:sz w:val="24"/>
          <w:highlight w:val="none"/>
          <w14:textFill>
            <w14:solidFill>
              <w14:schemeClr w14:val="tx1"/>
            </w14:solidFill>
          </w14:textFill>
        </w:rPr>
      </w:pPr>
    </w:p>
    <w:p w14:paraId="302AC56F">
      <w:pPr>
        <w:jc w:val="center"/>
        <w:rPr>
          <w:rFonts w:hint="eastAsia" w:ascii="宋体" w:hAnsi="宋体" w:cs="宋体"/>
          <w:color w:val="000000" w:themeColor="text1"/>
          <w:sz w:val="24"/>
          <w:highlight w:val="none"/>
          <w14:textFill>
            <w14:solidFill>
              <w14:schemeClr w14:val="tx1"/>
            </w14:solidFill>
          </w14:textFill>
        </w:rPr>
      </w:pPr>
    </w:p>
    <w:p w14:paraId="196CFD0C">
      <w:pPr>
        <w:jc w:val="center"/>
        <w:rPr>
          <w:rFonts w:hint="eastAsia" w:ascii="宋体" w:hAnsi="宋体" w:cs="宋体"/>
          <w:color w:val="000000" w:themeColor="text1"/>
          <w:sz w:val="24"/>
          <w:highlight w:val="none"/>
          <w14:textFill>
            <w14:solidFill>
              <w14:schemeClr w14:val="tx1"/>
            </w14:solidFill>
          </w14:textFill>
        </w:rPr>
      </w:pPr>
    </w:p>
    <w:p w14:paraId="6A27F833">
      <w:pPr>
        <w:jc w:val="center"/>
        <w:rPr>
          <w:rFonts w:hint="eastAsia" w:ascii="宋体" w:hAnsi="宋体" w:cs="宋体"/>
          <w:color w:val="000000" w:themeColor="text1"/>
          <w:sz w:val="24"/>
          <w:highlight w:val="none"/>
          <w14:textFill>
            <w14:solidFill>
              <w14:schemeClr w14:val="tx1"/>
            </w14:solidFill>
          </w14:textFill>
        </w:rPr>
      </w:pPr>
    </w:p>
    <w:p w14:paraId="0663764A">
      <w:pPr>
        <w:jc w:val="center"/>
        <w:rPr>
          <w:rFonts w:hint="eastAsia" w:ascii="宋体" w:hAnsi="宋体" w:cs="宋体"/>
          <w:color w:val="000000" w:themeColor="text1"/>
          <w:sz w:val="24"/>
          <w:highlight w:val="none"/>
          <w14:textFill>
            <w14:solidFill>
              <w14:schemeClr w14:val="tx1"/>
            </w14:solidFill>
          </w14:textFill>
        </w:rPr>
      </w:pPr>
    </w:p>
    <w:p w14:paraId="73804F3C">
      <w:pPr>
        <w:jc w:val="center"/>
        <w:rPr>
          <w:rFonts w:hint="eastAsia" w:ascii="宋体" w:hAnsi="宋体" w:cs="宋体"/>
          <w:color w:val="000000" w:themeColor="text1"/>
          <w:sz w:val="24"/>
          <w:highlight w:val="none"/>
          <w14:textFill>
            <w14:solidFill>
              <w14:schemeClr w14:val="tx1"/>
            </w14:solidFill>
          </w14:textFill>
        </w:rPr>
      </w:pPr>
    </w:p>
    <w:p w14:paraId="0B560E6D">
      <w:pPr>
        <w:jc w:val="center"/>
        <w:rPr>
          <w:rFonts w:hint="eastAsia" w:ascii="宋体" w:hAnsi="宋体" w:cs="宋体"/>
          <w:color w:val="000000" w:themeColor="text1"/>
          <w:sz w:val="24"/>
          <w:highlight w:val="none"/>
          <w14:textFill>
            <w14:solidFill>
              <w14:schemeClr w14:val="tx1"/>
            </w14:solidFill>
          </w14:textFill>
        </w:rPr>
      </w:pPr>
    </w:p>
    <w:p w14:paraId="3330B84F">
      <w:pPr>
        <w:jc w:val="center"/>
        <w:rPr>
          <w:rFonts w:hint="eastAsia" w:ascii="宋体" w:hAnsi="宋体" w:cs="宋体"/>
          <w:color w:val="000000" w:themeColor="text1"/>
          <w:sz w:val="24"/>
          <w:highlight w:val="none"/>
          <w14:textFill>
            <w14:solidFill>
              <w14:schemeClr w14:val="tx1"/>
            </w14:solidFill>
          </w14:textFill>
        </w:rPr>
      </w:pPr>
    </w:p>
    <w:p w14:paraId="05187568">
      <w:pPr>
        <w:jc w:val="center"/>
        <w:rPr>
          <w:rFonts w:hint="eastAsia" w:ascii="宋体" w:hAnsi="宋体" w:cs="宋体"/>
          <w:color w:val="000000" w:themeColor="text1"/>
          <w:sz w:val="24"/>
          <w:highlight w:val="none"/>
          <w14:textFill>
            <w14:solidFill>
              <w14:schemeClr w14:val="tx1"/>
            </w14:solidFill>
          </w14:textFill>
        </w:rPr>
      </w:pPr>
    </w:p>
    <w:p w14:paraId="5896D7CB">
      <w:pPr>
        <w:jc w:val="center"/>
        <w:rPr>
          <w:rFonts w:hint="eastAsia" w:ascii="宋体" w:hAnsi="宋体" w:cs="宋体"/>
          <w:color w:val="000000" w:themeColor="text1"/>
          <w:sz w:val="24"/>
          <w:highlight w:val="none"/>
          <w14:textFill>
            <w14:solidFill>
              <w14:schemeClr w14:val="tx1"/>
            </w14:solidFill>
          </w14:textFill>
        </w:rPr>
      </w:pPr>
    </w:p>
    <w:p w14:paraId="108CEFA2">
      <w:pPr>
        <w:jc w:val="center"/>
        <w:rPr>
          <w:rFonts w:hint="eastAsia" w:ascii="宋体" w:hAnsi="宋体" w:cs="宋体"/>
          <w:color w:val="000000" w:themeColor="text1"/>
          <w:sz w:val="24"/>
          <w:highlight w:val="none"/>
          <w14:textFill>
            <w14:solidFill>
              <w14:schemeClr w14:val="tx1"/>
            </w14:solidFill>
          </w14:textFill>
        </w:rPr>
      </w:pPr>
    </w:p>
    <w:p w14:paraId="1562B75F">
      <w:pPr>
        <w:pStyle w:val="15"/>
        <w:rPr>
          <w:rFonts w:hint="eastAsia"/>
          <w:color w:val="000000" w:themeColor="text1"/>
          <w:highlight w:val="none"/>
          <w14:textFill>
            <w14:solidFill>
              <w14:schemeClr w14:val="tx1"/>
            </w14:solidFill>
          </w14:textFill>
        </w:rPr>
      </w:pPr>
    </w:p>
    <w:p w14:paraId="47DD6F42">
      <w:pPr>
        <w:pStyle w:val="15"/>
        <w:rPr>
          <w:rFonts w:hint="eastAsia"/>
          <w:color w:val="000000" w:themeColor="text1"/>
          <w:highlight w:val="none"/>
          <w14:textFill>
            <w14:solidFill>
              <w14:schemeClr w14:val="tx1"/>
            </w14:solidFill>
          </w14:textFill>
        </w:rPr>
      </w:pPr>
    </w:p>
    <w:p w14:paraId="50F2E595">
      <w:pPr>
        <w:pStyle w:val="15"/>
        <w:rPr>
          <w:rFonts w:hint="eastAsia"/>
          <w:color w:val="000000" w:themeColor="text1"/>
          <w:highlight w:val="none"/>
          <w14:textFill>
            <w14:solidFill>
              <w14:schemeClr w14:val="tx1"/>
            </w14:solidFill>
          </w14:textFill>
        </w:rPr>
      </w:pPr>
    </w:p>
    <w:p w14:paraId="06BEA088">
      <w:pPr>
        <w:pStyle w:val="15"/>
        <w:rPr>
          <w:rFonts w:hint="eastAsia"/>
          <w:color w:val="000000" w:themeColor="text1"/>
          <w:highlight w:val="none"/>
          <w14:textFill>
            <w14:solidFill>
              <w14:schemeClr w14:val="tx1"/>
            </w14:solidFill>
          </w14:textFill>
        </w:rPr>
      </w:pPr>
    </w:p>
    <w:p w14:paraId="6CB685FF">
      <w:pPr>
        <w:pStyle w:val="15"/>
        <w:rPr>
          <w:rFonts w:hint="eastAsia"/>
          <w:color w:val="000000" w:themeColor="text1"/>
          <w:highlight w:val="none"/>
          <w14:textFill>
            <w14:solidFill>
              <w14:schemeClr w14:val="tx1"/>
            </w14:solidFill>
          </w14:textFill>
        </w:rPr>
      </w:pPr>
    </w:p>
    <w:p w14:paraId="5922A476">
      <w:pPr>
        <w:pStyle w:val="15"/>
        <w:rPr>
          <w:rFonts w:hint="eastAsia"/>
          <w:color w:val="000000" w:themeColor="text1"/>
          <w:highlight w:val="none"/>
          <w14:textFill>
            <w14:solidFill>
              <w14:schemeClr w14:val="tx1"/>
            </w14:solidFill>
          </w14:textFill>
        </w:rPr>
      </w:pPr>
    </w:p>
    <w:p w14:paraId="3456BA73">
      <w:pPr>
        <w:pStyle w:val="15"/>
        <w:rPr>
          <w:rFonts w:hint="eastAsia"/>
          <w:color w:val="000000" w:themeColor="text1"/>
          <w:highlight w:val="none"/>
          <w14:textFill>
            <w14:solidFill>
              <w14:schemeClr w14:val="tx1"/>
            </w14:solidFill>
          </w14:textFill>
        </w:rPr>
      </w:pPr>
    </w:p>
    <w:p w14:paraId="120A7063">
      <w:pPr>
        <w:jc w:val="center"/>
        <w:rPr>
          <w:rFonts w:hint="eastAsia" w:ascii="宋体" w:hAnsi="宋体" w:cs="宋体"/>
          <w:color w:val="000000" w:themeColor="text1"/>
          <w:sz w:val="24"/>
          <w:highlight w:val="none"/>
          <w14:textFill>
            <w14:solidFill>
              <w14:schemeClr w14:val="tx1"/>
            </w14:solidFill>
          </w14:textFill>
        </w:rPr>
      </w:pPr>
    </w:p>
    <w:p w14:paraId="34C1517B">
      <w:pPr>
        <w:jc w:val="center"/>
        <w:rPr>
          <w:rFonts w:hint="eastAsia" w:ascii="宋体" w:hAnsi="宋体" w:cs="宋体"/>
          <w:color w:val="000000" w:themeColor="text1"/>
          <w:sz w:val="24"/>
          <w:highlight w:val="none"/>
          <w14:textFill>
            <w14:solidFill>
              <w14:schemeClr w14:val="tx1"/>
            </w14:solidFill>
          </w14:textFill>
        </w:rPr>
      </w:pPr>
    </w:p>
    <w:p w14:paraId="2004698E">
      <w:pPr>
        <w:jc w:val="center"/>
        <w:rPr>
          <w:rFonts w:hint="eastAsia" w:ascii="宋体" w:hAnsi="宋体" w:cs="宋体"/>
          <w:color w:val="000000" w:themeColor="text1"/>
          <w:sz w:val="24"/>
          <w:highlight w:val="none"/>
          <w14:textFill>
            <w14:solidFill>
              <w14:schemeClr w14:val="tx1"/>
            </w14:solidFill>
          </w14:textFill>
        </w:rPr>
      </w:pPr>
    </w:p>
    <w:p w14:paraId="785B81D4">
      <w:pPr>
        <w:jc w:val="center"/>
        <w:rPr>
          <w:rFonts w:hint="eastAsia" w:ascii="宋体" w:hAnsi="宋体" w:cs="宋体"/>
          <w:color w:val="000000" w:themeColor="text1"/>
          <w:sz w:val="24"/>
          <w:highlight w:val="none"/>
          <w14:textFill>
            <w14:solidFill>
              <w14:schemeClr w14:val="tx1"/>
            </w14:solidFill>
          </w14:textFill>
        </w:rPr>
      </w:pPr>
    </w:p>
    <w:p w14:paraId="059892FD">
      <w:pPr>
        <w:jc w:val="center"/>
        <w:rPr>
          <w:rFonts w:hint="eastAsia" w:ascii="宋体" w:hAnsi="宋体" w:cs="宋体"/>
          <w:color w:val="000000" w:themeColor="text1"/>
          <w:sz w:val="24"/>
          <w:highlight w:val="none"/>
          <w14:textFill>
            <w14:solidFill>
              <w14:schemeClr w14:val="tx1"/>
            </w14:solidFill>
          </w14:textFill>
        </w:rPr>
      </w:pPr>
    </w:p>
    <w:p w14:paraId="2F9FD317">
      <w:pPr>
        <w:pStyle w:val="15"/>
        <w:rPr>
          <w:rFonts w:hint="eastAsia"/>
          <w:color w:val="000000" w:themeColor="text1"/>
          <w:highlight w:val="none"/>
          <w14:textFill>
            <w14:solidFill>
              <w14:schemeClr w14:val="tx1"/>
            </w14:solidFill>
          </w14:textFill>
        </w:rPr>
      </w:pPr>
    </w:p>
    <w:p w14:paraId="65201C1A">
      <w:pPr>
        <w:pStyle w:val="15"/>
        <w:rPr>
          <w:rFonts w:hint="eastAsia"/>
          <w:color w:val="000000" w:themeColor="text1"/>
          <w:highlight w:val="none"/>
          <w14:textFill>
            <w14:solidFill>
              <w14:schemeClr w14:val="tx1"/>
            </w14:solidFill>
          </w14:textFill>
        </w:rPr>
      </w:pPr>
    </w:p>
    <w:p w14:paraId="2E1803BF">
      <w:pPr>
        <w:pStyle w:val="15"/>
        <w:rPr>
          <w:rFonts w:hint="eastAsia"/>
          <w:color w:val="000000" w:themeColor="text1"/>
          <w:highlight w:val="none"/>
          <w14:textFill>
            <w14:solidFill>
              <w14:schemeClr w14:val="tx1"/>
            </w14:solidFill>
          </w14:textFill>
        </w:rPr>
      </w:pPr>
    </w:p>
    <w:p w14:paraId="2C57A193">
      <w:pPr>
        <w:pStyle w:val="8"/>
        <w:ind w:right="-21" w:firstLine="0" w:firstLineChars="0"/>
        <w:rPr>
          <w:rFonts w:hint="eastAsia" w:ascii="宋体" w:hAnsi="宋体" w:eastAsia="宋体" w:cs="宋体"/>
          <w:color w:val="000000" w:themeColor="text1"/>
          <w:highlight w:val="none"/>
          <w14:textFill>
            <w14:solidFill>
              <w14:schemeClr w14:val="tx1"/>
            </w14:solidFill>
          </w14:textFill>
        </w:rPr>
      </w:pPr>
    </w:p>
    <w:p w14:paraId="1A091A2D">
      <w:pPr>
        <w:spacing w:line="380" w:lineRule="exact"/>
        <w:jc w:val="cente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十三、政府采购供应商诚信承诺书</w:t>
      </w:r>
    </w:p>
    <w:p w14:paraId="219FE6E4">
      <w:pPr>
        <w:spacing w:line="380" w:lineRule="exact"/>
        <w:jc w:val="center"/>
        <w:rPr>
          <w:rFonts w:hint="eastAsia" w:ascii="宋体" w:hAnsi="宋体" w:cs="宋体"/>
          <w:b/>
          <w:color w:val="000000" w:themeColor="text1"/>
          <w:sz w:val="24"/>
          <w:highlight w:val="none"/>
          <w14:textFill>
            <w14:solidFill>
              <w14:schemeClr w14:val="tx1"/>
            </w14:solidFill>
          </w14:textFill>
        </w:rPr>
      </w:pPr>
    </w:p>
    <w:p w14:paraId="0B1309A9">
      <w:pPr>
        <w:spacing w:line="3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F10A79F">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066D826E">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015ADC46">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3B946A69">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155467ED">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416EAA9E">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6A923E0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75DFBC9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2229B2C1">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12139BCD">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751E3DA4">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（十ー）擅自或与与采购人串通或接受采购人要求，在履约合同中通过减少货物数量，更换品牌、降低配置、技术要求、质量和服务标准等，却仍按原合同进行虚假验收或终止政府采购合同;</w:t>
      </w:r>
    </w:p>
    <w:p w14:paraId="7D90F277">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3049E84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57F3F274">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8951A43">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2D50A671">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317DF53D">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26D33218">
      <w:pPr>
        <w:spacing w:line="380" w:lineRule="exact"/>
        <w:rPr>
          <w:rFonts w:hint="eastAsia" w:ascii="宋体" w:hAnsi="宋体" w:cs="宋体"/>
          <w:color w:val="000000" w:themeColor="text1"/>
          <w:sz w:val="24"/>
          <w:highlight w:val="none"/>
          <w14:textFill>
            <w14:solidFill>
              <w14:schemeClr w14:val="tx1"/>
            </w14:solidFill>
          </w14:textFill>
        </w:rPr>
      </w:pPr>
    </w:p>
    <w:p w14:paraId="737CDC1C">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eastAsia="宋体" w:cs="宋体"/>
          <w:color w:val="000000" w:themeColor="text1"/>
          <w:sz w:val="24"/>
          <w:highlight w:val="none"/>
          <w14:textFill>
            <w14:solidFill>
              <w14:schemeClr w14:val="tx1"/>
            </w14:solidFill>
          </w14:textFill>
        </w:rPr>
        <w:t>电子</w:t>
      </w:r>
      <w:r>
        <w:rPr>
          <w:rFonts w:hint="eastAsia" w:ascii="宋体" w:hAnsi="宋体" w:eastAsia="宋体" w:cs="宋体"/>
          <w:color w:val="000000" w:themeColor="text1"/>
          <w:sz w:val="24"/>
          <w:highlight w:val="none"/>
          <w:lang w:val="en-US" w:eastAsia="zh-CN"/>
          <w14:textFill>
            <w14:solidFill>
              <w14:schemeClr w14:val="tx1"/>
            </w14:solidFill>
          </w14:textFill>
        </w:rPr>
        <w:t>公</w:t>
      </w:r>
      <w:r>
        <w:rPr>
          <w:rFonts w:hint="eastAsia" w:ascii="宋体" w:hAnsi="宋体" w:eastAsia="宋体" w:cs="宋体"/>
          <w:color w:val="000000" w:themeColor="text1"/>
          <w:sz w:val="24"/>
          <w:highlight w:val="none"/>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A5487BD">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0D2A292B">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241E3D50">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05F818A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121CDFAA">
      <w:pPr>
        <w:pStyle w:val="27"/>
        <w:ind w:firstLine="210"/>
        <w:rPr>
          <w:color w:val="000000" w:themeColor="text1"/>
          <w:highlight w:val="none"/>
          <w14:textFill>
            <w14:solidFill>
              <w14:schemeClr w14:val="tx1"/>
            </w14:solidFill>
          </w14:textFill>
        </w:rPr>
      </w:pPr>
    </w:p>
    <w:p w14:paraId="67F8A5D8">
      <w:pPr>
        <w:pStyle w:val="27"/>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72838BDD">
      <w:pPr>
        <w:pStyle w:val="27"/>
        <w:ind w:firstLine="240"/>
        <w:rPr>
          <w:rFonts w:ascii="宋体" w:hAnsi="宋体"/>
          <w:color w:val="000000" w:themeColor="text1"/>
          <w:sz w:val="24"/>
          <w:szCs w:val="24"/>
          <w:highlight w:val="none"/>
          <w14:textFill>
            <w14:solidFill>
              <w14:schemeClr w14:val="tx1"/>
            </w14:solidFill>
          </w14:textFill>
        </w:rPr>
      </w:pPr>
    </w:p>
    <w:p w14:paraId="2DD58DB8">
      <w:pPr>
        <w:pStyle w:val="27"/>
        <w:ind w:firstLine="240"/>
        <w:rPr>
          <w:rFonts w:hint="eastAsia" w:ascii="宋体" w:hAnsi="宋体"/>
          <w:color w:val="000000" w:themeColor="text1"/>
          <w:sz w:val="24"/>
          <w:szCs w:val="24"/>
          <w:highlight w:val="none"/>
          <w14:textFill>
            <w14:solidFill>
              <w14:schemeClr w14:val="tx1"/>
            </w14:solidFill>
          </w14:textFill>
        </w:rPr>
      </w:pPr>
    </w:p>
    <w:p w14:paraId="7EBD6ED3">
      <w:pPr>
        <w:pStyle w:val="27"/>
        <w:ind w:firstLine="240"/>
        <w:rPr>
          <w:rFonts w:hint="eastAsia" w:ascii="宋体" w:hAnsi="宋体"/>
          <w:color w:val="000000" w:themeColor="text1"/>
          <w:sz w:val="24"/>
          <w:szCs w:val="24"/>
          <w:highlight w:val="none"/>
          <w14:textFill>
            <w14:solidFill>
              <w14:schemeClr w14:val="tx1"/>
            </w14:solidFill>
          </w14:textFill>
        </w:rPr>
      </w:pPr>
    </w:p>
    <w:p w14:paraId="4B5CED20">
      <w:pPr>
        <w:pStyle w:val="27"/>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各供应商：</w:t>
      </w:r>
    </w:p>
    <w:p w14:paraId="7FDF93A5">
      <w:pPr>
        <w:pStyle w:val="27"/>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欢迎贵公司参与周口市政府采购活动！</w:t>
      </w:r>
    </w:p>
    <w:p w14:paraId="363D0417">
      <w:pPr>
        <w:pStyle w:val="27"/>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CFFD75">
      <w:pPr>
        <w:pStyle w:val="27"/>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贷款渠道和提供贷款的金融机构，可在河南省政府采购网“河南省政府采购合同融资平台”查询联系。</w:t>
      </w:r>
    </w:p>
    <w:p w14:paraId="0084692C">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850934F">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7D6D7AA">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6F046F3">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67A130B">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655AD9">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DEEF6DD">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ADF9A4C">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7CAA0C3">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8BC7007">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09D8299">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F4413A9">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70CBA81">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DF1609A">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E47A5D6">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E00F0EF">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0A36970">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03D9B0">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DC91A9A">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87A063E">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C43CDE3">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DEF44DD">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7AB9C4D">
      <w:pPr>
        <w:pStyle w:val="18"/>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6AF30B5">
      <w:pPr>
        <w:rPr>
          <w:color w:val="000000" w:themeColor="text1"/>
          <w:highlight w:val="none"/>
          <w14:textFill>
            <w14:solidFill>
              <w14:schemeClr w14:val="tx1"/>
            </w14:solidFill>
          </w14:textFill>
        </w:rPr>
      </w:pPr>
    </w:p>
    <w:sectPr>
      <w:pgSz w:w="11906" w:h="16838"/>
      <w:pgMar w:top="1389" w:right="1440" w:bottom="1440" w:left="1389"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73C84">
    <w:pPr>
      <w:pStyle w:val="13"/>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004507D4">
                          <w:pPr>
                            <w:pStyle w:val="13"/>
                            <w:rPr>
                              <w:rStyle w:val="24"/>
                              <w:rFonts w:hint="eastAsia"/>
                            </w:rPr>
                          </w:pPr>
                          <w:r>
                            <w:fldChar w:fldCharType="begin"/>
                          </w:r>
                          <w:r>
                            <w:rPr>
                              <w:rStyle w:val="24"/>
                            </w:rPr>
                            <w:instrText xml:space="preserve">PAGE   \* MERGEFORMAT</w:instrText>
                          </w:r>
                          <w:r>
                            <w:fldChar w:fldCharType="separate"/>
                          </w:r>
                          <w:r>
                            <w:rPr>
                              <w:rStyle w:val="24"/>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004507D4">
                    <w:pPr>
                      <w:pStyle w:val="13"/>
                      <w:rPr>
                        <w:rStyle w:val="24"/>
                        <w:rFonts w:hint="eastAsia"/>
                      </w:rPr>
                    </w:pPr>
                    <w:r>
                      <w:fldChar w:fldCharType="begin"/>
                    </w:r>
                    <w:r>
                      <w:rPr>
                        <w:rStyle w:val="24"/>
                      </w:rPr>
                      <w:instrText xml:space="preserve">PAGE   \* MERGEFORMAT</w:instrText>
                    </w:r>
                    <w:r>
                      <w:fldChar w:fldCharType="separate"/>
                    </w:r>
                    <w:r>
                      <w:rPr>
                        <w:rStyle w:val="24"/>
                        <w:lang w:val="zh-CN"/>
                      </w:rP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ED83B">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D40B41F"/>
    <w:multiLevelType w:val="singleLevel"/>
    <w:tmpl w:val="2D40B41F"/>
    <w:lvl w:ilvl="0" w:tentative="0">
      <w:start w:val="1"/>
      <w:numFmt w:val="decimal"/>
      <w:lvlText w:val="(%1)"/>
      <w:lvlJc w:val="left"/>
      <w:pPr>
        <w:ind w:left="425" w:hanging="425"/>
      </w:pPr>
      <w:rPr>
        <w:rFonts w:hint="default"/>
      </w:rPr>
    </w:lvl>
  </w:abstractNum>
  <w:abstractNum w:abstractNumId="3">
    <w:nsid w:val="3F8C83AF"/>
    <w:multiLevelType w:val="singleLevel"/>
    <w:tmpl w:val="3F8C83AF"/>
    <w:lvl w:ilvl="0" w:tentative="0">
      <w:start w:val="1"/>
      <w:numFmt w:val="decimal"/>
      <w:lvlText w:val="(%1)"/>
      <w:lvlJc w:val="left"/>
      <w:pPr>
        <w:ind w:left="425" w:hanging="425"/>
      </w:pPr>
      <w:rPr>
        <w:rFonts w:hint="default"/>
      </w:rPr>
    </w:lvl>
  </w:abstractNum>
  <w:abstractNum w:abstractNumId="4">
    <w:nsid w:val="4DBA56ED"/>
    <w:multiLevelType w:val="singleLevel"/>
    <w:tmpl w:val="4DBA56ED"/>
    <w:lvl w:ilvl="0" w:tentative="0">
      <w:start w:val="1"/>
      <w:numFmt w:val="decimal"/>
      <w:suff w:val="space"/>
      <w:lvlText w:val="(%1)"/>
      <w:lvlJc w:val="left"/>
      <w:pPr>
        <w:ind w:left="454" w:hanging="454"/>
      </w:pPr>
      <w:rPr>
        <w:rFonts w:hint="default"/>
      </w:rPr>
    </w:lvl>
  </w:abstractNum>
  <w:abstractNum w:abstractNumId="5">
    <w:nsid w:val="6058BAAF"/>
    <w:multiLevelType w:val="singleLevel"/>
    <w:tmpl w:val="6058BAAF"/>
    <w:lvl w:ilvl="0" w:tentative="0">
      <w:start w:val="1"/>
      <w:numFmt w:val="decimal"/>
      <w:suff w:val="nothing"/>
      <w:lvlText w:val="%1、"/>
      <w:lvlJc w:val="left"/>
    </w:lvl>
  </w:abstractNum>
  <w:abstractNum w:abstractNumId="6">
    <w:nsid w:val="65FDED8A"/>
    <w:multiLevelType w:val="singleLevel"/>
    <w:tmpl w:val="65FDED8A"/>
    <w:lvl w:ilvl="0" w:tentative="0">
      <w:start w:val="1"/>
      <w:numFmt w:val="decimal"/>
      <w:lvlText w:val="%1."/>
      <w:lvlJc w:val="left"/>
      <w:pPr>
        <w:ind w:left="425" w:hanging="425"/>
      </w:pPr>
      <w:rPr>
        <w:rFonts w:hint="default"/>
      </w:rPr>
    </w:lvl>
  </w:abstractNum>
  <w:num w:numId="1">
    <w:abstractNumId w:val="6"/>
  </w:num>
  <w:num w:numId="2">
    <w:abstractNumId w:val="3"/>
  </w:num>
  <w:num w:numId="3">
    <w:abstractNumId w:val="2"/>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OWM2NGIyODQ5NjlkZTExYzA2NzE1YTNlYTVkY2MifQ=="/>
  </w:docVars>
  <w:rsids>
    <w:rsidRoot w:val="3AEF4B05"/>
    <w:rsid w:val="00FC206D"/>
    <w:rsid w:val="013435B5"/>
    <w:rsid w:val="016C033C"/>
    <w:rsid w:val="016F45ED"/>
    <w:rsid w:val="03014BA1"/>
    <w:rsid w:val="03B22EB7"/>
    <w:rsid w:val="04293179"/>
    <w:rsid w:val="0457232B"/>
    <w:rsid w:val="048E7480"/>
    <w:rsid w:val="051558E2"/>
    <w:rsid w:val="05551D4C"/>
    <w:rsid w:val="05F31C91"/>
    <w:rsid w:val="06916667"/>
    <w:rsid w:val="07856705"/>
    <w:rsid w:val="07A82607"/>
    <w:rsid w:val="080A1514"/>
    <w:rsid w:val="08631D98"/>
    <w:rsid w:val="08FE3850"/>
    <w:rsid w:val="0B5F56D3"/>
    <w:rsid w:val="0BBF4826"/>
    <w:rsid w:val="0BE342E4"/>
    <w:rsid w:val="0C7C4DBA"/>
    <w:rsid w:val="0CA57A5D"/>
    <w:rsid w:val="0CED738A"/>
    <w:rsid w:val="0D2766C4"/>
    <w:rsid w:val="0DA151AB"/>
    <w:rsid w:val="0DB31D06"/>
    <w:rsid w:val="0DCB704F"/>
    <w:rsid w:val="0E1261FD"/>
    <w:rsid w:val="0EAE0E4B"/>
    <w:rsid w:val="0ED63EFE"/>
    <w:rsid w:val="0F843DFB"/>
    <w:rsid w:val="0F8B4CE8"/>
    <w:rsid w:val="1090632E"/>
    <w:rsid w:val="10E548CC"/>
    <w:rsid w:val="12377FEB"/>
    <w:rsid w:val="12437AFC"/>
    <w:rsid w:val="124A70DD"/>
    <w:rsid w:val="12B5349E"/>
    <w:rsid w:val="12F76475"/>
    <w:rsid w:val="13213120"/>
    <w:rsid w:val="13315BA7"/>
    <w:rsid w:val="1384118D"/>
    <w:rsid w:val="146D2C0E"/>
    <w:rsid w:val="14D94748"/>
    <w:rsid w:val="14EF7AC7"/>
    <w:rsid w:val="15FC6940"/>
    <w:rsid w:val="17B9616B"/>
    <w:rsid w:val="17C35773"/>
    <w:rsid w:val="17C9257A"/>
    <w:rsid w:val="18934C0E"/>
    <w:rsid w:val="18E216F1"/>
    <w:rsid w:val="19F32613"/>
    <w:rsid w:val="1A226249"/>
    <w:rsid w:val="1A8F5615"/>
    <w:rsid w:val="1B0B4F2F"/>
    <w:rsid w:val="1B486183"/>
    <w:rsid w:val="1B760AE4"/>
    <w:rsid w:val="1C19367C"/>
    <w:rsid w:val="1C9D605B"/>
    <w:rsid w:val="1CA94A00"/>
    <w:rsid w:val="1EC27FFB"/>
    <w:rsid w:val="1EC410C3"/>
    <w:rsid w:val="1FA25F71"/>
    <w:rsid w:val="1FA26223"/>
    <w:rsid w:val="1FC85AE5"/>
    <w:rsid w:val="1FE860F8"/>
    <w:rsid w:val="20B61DE1"/>
    <w:rsid w:val="20D34741"/>
    <w:rsid w:val="2126011C"/>
    <w:rsid w:val="21262DE6"/>
    <w:rsid w:val="21C66054"/>
    <w:rsid w:val="21E02A17"/>
    <w:rsid w:val="222039B6"/>
    <w:rsid w:val="22C75BE0"/>
    <w:rsid w:val="22EE7610"/>
    <w:rsid w:val="242E2AF3"/>
    <w:rsid w:val="248024EA"/>
    <w:rsid w:val="25A65182"/>
    <w:rsid w:val="25F136F5"/>
    <w:rsid w:val="26386BE4"/>
    <w:rsid w:val="27FF406E"/>
    <w:rsid w:val="295757E3"/>
    <w:rsid w:val="295959FF"/>
    <w:rsid w:val="29CB00FF"/>
    <w:rsid w:val="29D67050"/>
    <w:rsid w:val="2A5A558B"/>
    <w:rsid w:val="2BAE2033"/>
    <w:rsid w:val="2C0156C7"/>
    <w:rsid w:val="2C820DC9"/>
    <w:rsid w:val="2CC80D37"/>
    <w:rsid w:val="2D0839C4"/>
    <w:rsid w:val="2DC45B3D"/>
    <w:rsid w:val="2DDC7133"/>
    <w:rsid w:val="2DF81343"/>
    <w:rsid w:val="2F5928D5"/>
    <w:rsid w:val="2F926239"/>
    <w:rsid w:val="2F9C21A2"/>
    <w:rsid w:val="300C5C28"/>
    <w:rsid w:val="300F506A"/>
    <w:rsid w:val="305A4537"/>
    <w:rsid w:val="30F0044A"/>
    <w:rsid w:val="31385CA0"/>
    <w:rsid w:val="3310254A"/>
    <w:rsid w:val="3381627F"/>
    <w:rsid w:val="33B65F28"/>
    <w:rsid w:val="341006AF"/>
    <w:rsid w:val="34140EA1"/>
    <w:rsid w:val="37893954"/>
    <w:rsid w:val="38C75B10"/>
    <w:rsid w:val="3905525C"/>
    <w:rsid w:val="39271051"/>
    <w:rsid w:val="39DF446A"/>
    <w:rsid w:val="3AEF4B05"/>
    <w:rsid w:val="3B343BD6"/>
    <w:rsid w:val="3CE82ECA"/>
    <w:rsid w:val="3D1D0DC6"/>
    <w:rsid w:val="3D4E0F7F"/>
    <w:rsid w:val="3D714C6E"/>
    <w:rsid w:val="3D932E36"/>
    <w:rsid w:val="3D9A2B54"/>
    <w:rsid w:val="3DA54918"/>
    <w:rsid w:val="3DDC1282"/>
    <w:rsid w:val="3E5C71F0"/>
    <w:rsid w:val="3EFF6AAA"/>
    <w:rsid w:val="404D383F"/>
    <w:rsid w:val="40754A75"/>
    <w:rsid w:val="40EB5625"/>
    <w:rsid w:val="41250249"/>
    <w:rsid w:val="41501FD0"/>
    <w:rsid w:val="41A05B22"/>
    <w:rsid w:val="42CD3559"/>
    <w:rsid w:val="42DC0376"/>
    <w:rsid w:val="438453CE"/>
    <w:rsid w:val="442944F4"/>
    <w:rsid w:val="443C3B44"/>
    <w:rsid w:val="455455A1"/>
    <w:rsid w:val="455530C7"/>
    <w:rsid w:val="45855280"/>
    <w:rsid w:val="462A00B0"/>
    <w:rsid w:val="46503FBA"/>
    <w:rsid w:val="465C65CE"/>
    <w:rsid w:val="479C6D8B"/>
    <w:rsid w:val="47C92D3C"/>
    <w:rsid w:val="484A67E7"/>
    <w:rsid w:val="48F36F76"/>
    <w:rsid w:val="48F50123"/>
    <w:rsid w:val="499F5FF1"/>
    <w:rsid w:val="4A1E1CDA"/>
    <w:rsid w:val="4B7F4E5D"/>
    <w:rsid w:val="4BD761B9"/>
    <w:rsid w:val="4BEA4569"/>
    <w:rsid w:val="4C7D53DD"/>
    <w:rsid w:val="4C916D27"/>
    <w:rsid w:val="4C9444D5"/>
    <w:rsid w:val="4D3A5B51"/>
    <w:rsid w:val="4F271630"/>
    <w:rsid w:val="4F572FB5"/>
    <w:rsid w:val="4FF27066"/>
    <w:rsid w:val="521A4710"/>
    <w:rsid w:val="52B17B73"/>
    <w:rsid w:val="52B63410"/>
    <w:rsid w:val="543F566E"/>
    <w:rsid w:val="547A48F8"/>
    <w:rsid w:val="548D514B"/>
    <w:rsid w:val="54ED2139"/>
    <w:rsid w:val="553D7E00"/>
    <w:rsid w:val="56130B60"/>
    <w:rsid w:val="57633422"/>
    <w:rsid w:val="580D499E"/>
    <w:rsid w:val="58862772"/>
    <w:rsid w:val="58D42829"/>
    <w:rsid w:val="58F509F1"/>
    <w:rsid w:val="59103135"/>
    <w:rsid w:val="59462FFB"/>
    <w:rsid w:val="5A6776CD"/>
    <w:rsid w:val="5AAE70AA"/>
    <w:rsid w:val="5AEE394A"/>
    <w:rsid w:val="5B311D2E"/>
    <w:rsid w:val="5B9D37EC"/>
    <w:rsid w:val="5C78796F"/>
    <w:rsid w:val="5C797243"/>
    <w:rsid w:val="5C8A1451"/>
    <w:rsid w:val="5CA2740B"/>
    <w:rsid w:val="5DAD189A"/>
    <w:rsid w:val="5DE80B25"/>
    <w:rsid w:val="5E203E1A"/>
    <w:rsid w:val="5E317DD6"/>
    <w:rsid w:val="5EC724E8"/>
    <w:rsid w:val="5EF62DCD"/>
    <w:rsid w:val="5FB92779"/>
    <w:rsid w:val="5FC01EE5"/>
    <w:rsid w:val="617545FA"/>
    <w:rsid w:val="61D513C0"/>
    <w:rsid w:val="6299419B"/>
    <w:rsid w:val="63C66CAD"/>
    <w:rsid w:val="63CD67F3"/>
    <w:rsid w:val="63E36016"/>
    <w:rsid w:val="64540CC2"/>
    <w:rsid w:val="64DF6596"/>
    <w:rsid w:val="656C284C"/>
    <w:rsid w:val="66B0201E"/>
    <w:rsid w:val="66D460EA"/>
    <w:rsid w:val="68C64435"/>
    <w:rsid w:val="694B64F8"/>
    <w:rsid w:val="6A90057A"/>
    <w:rsid w:val="6AF27578"/>
    <w:rsid w:val="6B680BAF"/>
    <w:rsid w:val="6C0B711B"/>
    <w:rsid w:val="6DC9627D"/>
    <w:rsid w:val="6E695756"/>
    <w:rsid w:val="6EB5235D"/>
    <w:rsid w:val="6EF72976"/>
    <w:rsid w:val="700A66D9"/>
    <w:rsid w:val="709167F3"/>
    <w:rsid w:val="70AD4450"/>
    <w:rsid w:val="70D5731B"/>
    <w:rsid w:val="71221EFC"/>
    <w:rsid w:val="718F6E95"/>
    <w:rsid w:val="727765A2"/>
    <w:rsid w:val="72A5093A"/>
    <w:rsid w:val="73337CF4"/>
    <w:rsid w:val="733419E4"/>
    <w:rsid w:val="73D43285"/>
    <w:rsid w:val="73D94061"/>
    <w:rsid w:val="74F05498"/>
    <w:rsid w:val="75096F5F"/>
    <w:rsid w:val="75243D99"/>
    <w:rsid w:val="75671ED7"/>
    <w:rsid w:val="75B710B1"/>
    <w:rsid w:val="76A71125"/>
    <w:rsid w:val="76D66828"/>
    <w:rsid w:val="771D3195"/>
    <w:rsid w:val="784B5AE0"/>
    <w:rsid w:val="792F0F5E"/>
    <w:rsid w:val="796706F8"/>
    <w:rsid w:val="7A0D5743"/>
    <w:rsid w:val="7B593E18"/>
    <w:rsid w:val="7BE44282"/>
    <w:rsid w:val="7C0A3603"/>
    <w:rsid w:val="7CB974BC"/>
    <w:rsid w:val="7CFB1883"/>
    <w:rsid w:val="7D256900"/>
    <w:rsid w:val="7DF06F0E"/>
    <w:rsid w:val="7E9B6AC9"/>
    <w:rsid w:val="7EDE76AE"/>
    <w:rsid w:val="7EF401A0"/>
    <w:rsid w:val="7F19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3"/>
    <w:basedOn w:val="1"/>
    <w:qFormat/>
    <w:uiPriority w:val="0"/>
    <w:rPr>
      <w:rFonts w:ascii="黑体" w:hAnsi="Arial" w:eastAsia="黑体"/>
      <w:b/>
      <w:sz w:val="28"/>
    </w:rPr>
  </w:style>
  <w:style w:type="paragraph" w:styleId="7">
    <w:name w:val="Body Text"/>
    <w:basedOn w:val="1"/>
    <w:next w:val="8"/>
    <w:qFormat/>
    <w:uiPriority w:val="0"/>
    <w:rPr>
      <w:rFonts w:ascii="宋体" w:hAnsi="Arial"/>
      <w:sz w:val="28"/>
    </w:rPr>
  </w:style>
  <w:style w:type="paragraph" w:styleId="8">
    <w:name w:val="Body Text First Indent"/>
    <w:basedOn w:val="7"/>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9">
    <w:name w:val="Body Text Indent"/>
    <w:basedOn w:val="1"/>
    <w:next w:val="1"/>
    <w:qFormat/>
    <w:uiPriority w:val="0"/>
    <w:pPr>
      <w:ind w:firstLine="645"/>
    </w:pPr>
    <w:rPr>
      <w:rFonts w:ascii="楷体_GB2312" w:eastAsia="楷体_GB2312"/>
      <w:sz w:val="32"/>
    </w:rPr>
  </w:style>
  <w:style w:type="paragraph" w:styleId="10">
    <w:name w:val="Plain Text"/>
    <w:basedOn w:val="1"/>
    <w:qFormat/>
    <w:uiPriority w:val="0"/>
    <w:rPr>
      <w:rFonts w:ascii="宋体" w:hAnsi="Courier New"/>
    </w:rPr>
  </w:style>
  <w:style w:type="paragraph" w:styleId="11">
    <w:name w:val="Date"/>
    <w:basedOn w:val="1"/>
    <w:next w:val="1"/>
    <w:qFormat/>
    <w:uiPriority w:val="0"/>
    <w:rPr>
      <w:b/>
      <w:sz w:val="28"/>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footnote text"/>
    <w:basedOn w:val="1"/>
    <w:qFormat/>
    <w:uiPriority w:val="99"/>
    <w:pPr>
      <w:snapToGrid w:val="0"/>
      <w:jc w:val="left"/>
    </w:pPr>
    <w:rPr>
      <w:sz w:val="18"/>
      <w:szCs w:val="18"/>
    </w:rPr>
  </w:style>
  <w:style w:type="paragraph" w:styleId="16">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17">
    <w:name w:val="toc 2"/>
    <w:basedOn w:val="1"/>
    <w:next w:val="1"/>
    <w:qFormat/>
    <w:uiPriority w:val="39"/>
    <w:pPr>
      <w:ind w:left="210"/>
      <w:jc w:val="left"/>
    </w:pPr>
    <w:rPr>
      <w:smallCaps/>
      <w:sz w:val="28"/>
      <w:szCs w:val="24"/>
    </w:rPr>
  </w:style>
  <w:style w:type="paragraph" w:styleId="1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9">
    <w:name w:val="index 1"/>
    <w:basedOn w:val="1"/>
    <w:next w:val="1"/>
    <w:qFormat/>
    <w:uiPriority w:val="0"/>
    <w:pPr>
      <w:jc w:val="center"/>
    </w:pPr>
    <w:rPr>
      <w:rFonts w:ascii="仿宋_GB2312" w:eastAsia="仿宋_GB2312"/>
      <w:b/>
      <w:bCs/>
      <w:sz w:val="28"/>
    </w:rPr>
  </w:style>
  <w:style w:type="paragraph" w:styleId="20">
    <w:name w:val="Body Text First Indent 2"/>
    <w:basedOn w:val="9"/>
    <w:next w:val="1"/>
    <w:qFormat/>
    <w:uiPriority w:val="0"/>
    <w:pPr>
      <w:spacing w:after="120"/>
      <w:ind w:left="420" w:firstLine="210"/>
    </w:pPr>
    <w:rPr>
      <w:rFonts w:ascii="Times New Roman"/>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Emphasis"/>
    <w:basedOn w:val="23"/>
    <w:qFormat/>
    <w:uiPriority w:val="0"/>
    <w:rPr>
      <w:i/>
    </w:rPr>
  </w:style>
  <w:style w:type="paragraph" w:customStyle="1" w:styleId="26">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BodyText1I"/>
    <w:basedOn w:val="28"/>
    <w:qFormat/>
    <w:uiPriority w:val="99"/>
    <w:pPr>
      <w:spacing w:after="120"/>
      <w:ind w:firstLine="420" w:firstLineChars="100"/>
    </w:pPr>
  </w:style>
  <w:style w:type="paragraph" w:customStyle="1" w:styleId="28">
    <w:name w:val="BodyText"/>
    <w:basedOn w:val="1"/>
    <w:qFormat/>
    <w:uiPriority w:val="99"/>
    <w:pPr>
      <w:spacing w:after="120"/>
    </w:pPr>
  </w:style>
  <w:style w:type="character" w:customStyle="1" w:styleId="29">
    <w:name w:val="font41"/>
    <w:basedOn w:val="23"/>
    <w:qFormat/>
    <w:uiPriority w:val="0"/>
    <w:rPr>
      <w:rFonts w:ascii="微软雅黑" w:hAnsi="微软雅黑" w:eastAsia="微软雅黑" w:cs="微软雅黑"/>
      <w:b/>
      <w:color w:val="FFFFFF"/>
      <w:sz w:val="20"/>
      <w:szCs w:val="20"/>
      <w:u w:val="none"/>
    </w:rPr>
  </w:style>
  <w:style w:type="character" w:customStyle="1" w:styleId="30">
    <w:name w:val="font31"/>
    <w:basedOn w:val="23"/>
    <w:qFormat/>
    <w:uiPriority w:val="0"/>
    <w:rPr>
      <w:rFonts w:hint="eastAsia" w:ascii="宋体" w:hAnsi="宋体" w:eastAsia="宋体" w:cs="宋体"/>
      <w:color w:val="000000"/>
      <w:sz w:val="40"/>
      <w:szCs w:val="40"/>
      <w:u w:val="none"/>
    </w:rPr>
  </w:style>
  <w:style w:type="paragraph" w:customStyle="1" w:styleId="31">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table" w:customStyle="1" w:styleId="32">
    <w:name w:val="Table Normal"/>
    <w:unhideWhenUsed/>
    <w:qFormat/>
    <w:uiPriority w:val="0"/>
    <w:tblPr>
      <w:tblCellMar>
        <w:top w:w="0" w:type="dxa"/>
        <w:left w:w="0" w:type="dxa"/>
        <w:bottom w:w="0" w:type="dxa"/>
        <w:right w:w="0" w:type="dxa"/>
      </w:tblCellMar>
    </w:tblPr>
  </w:style>
  <w:style w:type="paragraph" w:customStyle="1" w:styleId="33">
    <w:name w:val="正文1"/>
    <w:basedOn w:val="1"/>
    <w:qFormat/>
    <w:uiPriority w:val="0"/>
    <w:pPr>
      <w:widowControl/>
      <w:topLinePunct/>
      <w:spacing w:before="156" w:beforeLines="50" w:after="156" w:afterLines="50" w:line="300" w:lineRule="auto"/>
      <w:ind w:left="420"/>
    </w:pPr>
    <w:rPr>
      <w:szCs w:val="24"/>
    </w:rPr>
  </w:style>
  <w:style w:type="paragraph" w:customStyle="1" w:styleId="34">
    <w:name w:val="Char Char Char Char Char Char Char1 Char"/>
    <w:basedOn w:val="1"/>
    <w:qFormat/>
    <w:uiPriority w:val="0"/>
    <w:rPr>
      <w:rFonts w:ascii="Tahoma" w:hAnsi="Tahoma"/>
      <w:sz w:val="24"/>
    </w:rPr>
  </w:style>
  <w:style w:type="paragraph" w:customStyle="1" w:styleId="35">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6">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7">
    <w:name w:val="NormalCharacter"/>
    <w:semiHidden/>
    <w:qFormat/>
    <w:uiPriority w:val="0"/>
    <w:rPr>
      <w:kern w:val="2"/>
      <w:sz w:val="21"/>
      <w:lang w:val="en-US" w:eastAsia="zh-CN" w:bidi="ar-SA"/>
    </w:r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39">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40">
    <w:name w:val="样式 正文Alt+ctrl+Z + 首行缩进:  2 字符3"/>
    <w:basedOn w:val="41"/>
    <w:qFormat/>
    <w:uiPriority w:val="0"/>
    <w:pPr>
      <w:snapToGrid w:val="0"/>
      <w:spacing w:after="0" w:afterLines="0"/>
      <w:ind w:firstLine="0" w:firstLineChars="0"/>
      <w:jc w:val="center"/>
    </w:pPr>
    <w:rPr>
      <w:rFonts w:ascii="宋体" w:hAnsi="宋体"/>
    </w:rPr>
  </w:style>
  <w:style w:type="paragraph" w:customStyle="1" w:styleId="41">
    <w:name w:val="正文Alt+ctrl+Z"/>
    <w:basedOn w:val="1"/>
    <w:qFormat/>
    <w:uiPriority w:val="0"/>
    <w:pPr>
      <w:spacing w:after="50" w:afterLines="50" w:line="360" w:lineRule="auto"/>
      <w:ind w:firstLine="200" w:firstLineChars="200"/>
    </w:pPr>
    <w:rPr>
      <w:sz w:val="24"/>
    </w:rPr>
  </w:style>
  <w:style w:type="character" w:customStyle="1" w:styleId="42">
    <w:name w:val="font01"/>
    <w:basedOn w:val="23"/>
    <w:qFormat/>
    <w:uiPriority w:val="0"/>
    <w:rPr>
      <w:rFonts w:hint="eastAsia" w:ascii="宋体" w:hAnsi="宋体" w:eastAsia="宋体" w:cs="宋体"/>
      <w:color w:val="000000"/>
      <w:sz w:val="22"/>
      <w:szCs w:val="22"/>
      <w:u w:val="none"/>
    </w:rPr>
  </w:style>
  <w:style w:type="character" w:customStyle="1" w:styleId="43">
    <w:name w:val="font51"/>
    <w:basedOn w:val="23"/>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12572</Words>
  <Characters>13743</Characters>
  <Lines>0</Lines>
  <Paragraphs>0</Paragraphs>
  <TotalTime>2</TotalTime>
  <ScaleCrop>false</ScaleCrop>
  <LinksUpToDate>false</LinksUpToDate>
  <CharactersWithSpaces>13945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2024-05-11T07:31:00Z</dcterms:created>
  <dc:creator>阳光微凉</dc:creator>
  <cp:lastModifiedBy>Administrator</cp:lastModifiedBy>
  <cp:lastPrinted>2024-05-13T00:26:00Z</cp:lastPrinted>
  <dcterms:modified xsi:type="dcterms:W3CDTF">2026-07-14T02:14:36Z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B03A5F917331484683144D08F28DA706_13</vt:lpwstr>
  </property>
  <property fmtid="{D5CDD505-2E9C-101B-9397-08002B2CF9AE}" pid="4" name="KSOTemplateDocerSaveRecord">
    <vt:lpwstr>eyJoZGlkIjoiMzY3OTE0MzFlMWZhNmYzYzU2Y2EwNGZmYzNmMTVlOWMifQ==</vt:lpwstr>
  </property>
</Properties>
</file>