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103B">
      <w:pPr>
        <w:tabs>
          <w:tab w:val="left" w:pos="315"/>
          <w:tab w:val="left" w:pos="8820"/>
        </w:tabs>
        <w:spacing w:line="800" w:lineRule="exact"/>
        <w:jc w:val="center"/>
        <w:rPr>
          <w:rFonts w:hint="eastAsia" w:ascii="宋体" w:hAnsi="宋体" w:eastAsia="宋体" w:cs="宋体"/>
          <w:b/>
          <w:bCs/>
          <w:kern w:val="2"/>
          <w:sz w:val="44"/>
          <w:szCs w:val="44"/>
          <w:lang w:eastAsia="zh-CN"/>
        </w:rPr>
      </w:pPr>
      <w:r>
        <w:rPr>
          <w:rFonts w:hint="eastAsia" w:ascii="宋体" w:hAnsi="宋体" w:eastAsia="宋体" w:cs="宋体"/>
          <w:b/>
          <w:bCs/>
          <w:kern w:val="2"/>
          <w:sz w:val="44"/>
          <w:szCs w:val="44"/>
          <w:lang w:eastAsia="zh-CN"/>
        </w:rPr>
        <w:t>周口市交通运输局周口市“十五五”现代综合交通运输体系发展规划编制服务采购项目</w:t>
      </w:r>
    </w:p>
    <w:p w14:paraId="2728AEBE">
      <w:pPr>
        <w:pStyle w:val="20"/>
        <w:ind w:left="440"/>
        <w:rPr>
          <w:lang w:eastAsia="zh-CN"/>
        </w:rPr>
      </w:pPr>
    </w:p>
    <w:p w14:paraId="58A3286A">
      <w:pPr>
        <w:pStyle w:val="20"/>
        <w:ind w:left="440"/>
        <w:rPr>
          <w:lang w:eastAsia="zh-CN"/>
        </w:rPr>
      </w:pPr>
    </w:p>
    <w:p w14:paraId="067203BA">
      <w:pPr>
        <w:rPr>
          <w:lang w:eastAsia="zh-CN"/>
        </w:rPr>
      </w:pPr>
    </w:p>
    <w:p w14:paraId="3E90D633">
      <w:pPr>
        <w:pStyle w:val="20"/>
        <w:ind w:left="440"/>
        <w:rPr>
          <w:lang w:eastAsia="zh-CN"/>
        </w:rPr>
      </w:pPr>
    </w:p>
    <w:p w14:paraId="2287333A">
      <w:pPr>
        <w:pStyle w:val="5"/>
        <w:rPr>
          <w:lang w:eastAsia="zh-CN"/>
        </w:rPr>
      </w:pPr>
    </w:p>
    <w:p w14:paraId="63606272">
      <w:pPr>
        <w:rPr>
          <w:lang w:eastAsia="zh-CN"/>
        </w:rPr>
      </w:pPr>
    </w:p>
    <w:p w14:paraId="7975AE7E">
      <w:pPr>
        <w:rPr>
          <w:lang w:eastAsia="zh-CN"/>
        </w:rPr>
      </w:pPr>
    </w:p>
    <w:p w14:paraId="696D5238">
      <w:pPr>
        <w:spacing w:line="1000" w:lineRule="exact"/>
        <w:jc w:val="center"/>
        <w:rPr>
          <w:rFonts w:ascii="宋体" w:hAnsi="宋体" w:cs="宋体"/>
          <w:b/>
          <w:bCs/>
          <w:sz w:val="28"/>
          <w:szCs w:val="28"/>
          <w:lang w:eastAsia="zh-CN"/>
        </w:rPr>
      </w:pPr>
      <w:r>
        <w:rPr>
          <w:rFonts w:hint="eastAsia" w:ascii="宋体" w:hAnsi="宋体" w:cs="宋体"/>
          <w:b/>
          <w:bCs/>
          <w:sz w:val="72"/>
          <w:szCs w:val="72"/>
          <w:lang w:eastAsia="zh-CN"/>
        </w:rPr>
        <w:t>竞争性磋商文件</w:t>
      </w:r>
    </w:p>
    <w:p w14:paraId="47DC28F0">
      <w:pPr>
        <w:spacing w:before="120" w:beforeLines="50" w:after="120" w:afterLines="50" w:line="360" w:lineRule="auto"/>
        <w:jc w:val="center"/>
        <w:rPr>
          <w:rFonts w:hint="default" w:ascii="宋体" w:hAnsi="宋体"/>
          <w:b/>
          <w:bCs/>
          <w:sz w:val="28"/>
          <w:szCs w:val="28"/>
          <w:highlight w:val="none"/>
          <w:lang w:val="en-US" w:eastAsia="zh-CN"/>
        </w:rPr>
      </w:pPr>
      <w:r>
        <w:rPr>
          <w:rFonts w:hint="eastAsia" w:ascii="宋体" w:hAnsi="宋体" w:cs="宋体"/>
          <w:b/>
          <w:bCs/>
          <w:spacing w:val="34"/>
          <w:sz w:val="28"/>
          <w:szCs w:val="28"/>
          <w:highlight w:val="none"/>
          <w:lang w:eastAsia="zh-CN"/>
        </w:rPr>
        <w:t>采购编号</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周财磋商采购-2026-47</w:t>
      </w:r>
    </w:p>
    <w:p w14:paraId="3BEE754E">
      <w:pPr>
        <w:spacing w:line="360" w:lineRule="auto"/>
        <w:jc w:val="center"/>
        <w:rPr>
          <w:rFonts w:ascii="宋体" w:hAnsi="宋体"/>
          <w:sz w:val="32"/>
          <w:szCs w:val="32"/>
        </w:rPr>
      </w:pPr>
    </w:p>
    <w:p w14:paraId="1255AC34">
      <w:pPr>
        <w:spacing w:line="360" w:lineRule="auto"/>
        <w:rPr>
          <w:rFonts w:ascii="宋体" w:hAnsi="宋体" w:cs="宋体"/>
          <w:sz w:val="32"/>
          <w:szCs w:val="32"/>
          <w:lang w:eastAsia="zh-CN"/>
        </w:rPr>
      </w:pPr>
      <w:r>
        <w:rPr>
          <w:rFonts w:ascii="宋体" w:hAnsi="宋体" w:cs="宋体"/>
          <w:sz w:val="32"/>
          <w:szCs w:val="32"/>
          <w:lang w:eastAsia="zh-CN"/>
        </w:rPr>
        <w:t xml:space="preserve">          </w:t>
      </w:r>
    </w:p>
    <w:p w14:paraId="0FE8D055">
      <w:pPr>
        <w:pStyle w:val="20"/>
        <w:ind w:left="440"/>
        <w:rPr>
          <w:lang w:eastAsia="zh-CN"/>
        </w:rPr>
      </w:pPr>
    </w:p>
    <w:p w14:paraId="49C9948E">
      <w:pPr>
        <w:pStyle w:val="5"/>
        <w:ind w:left="0"/>
        <w:rPr>
          <w:rFonts w:cs="宋体"/>
          <w:sz w:val="32"/>
          <w:szCs w:val="32"/>
          <w:lang w:eastAsia="zh-CN"/>
        </w:rPr>
      </w:pPr>
    </w:p>
    <w:p w14:paraId="252DB41B">
      <w:pPr>
        <w:rPr>
          <w:rFonts w:cs="宋体"/>
          <w:sz w:val="32"/>
          <w:szCs w:val="32"/>
          <w:lang w:eastAsia="zh-CN"/>
        </w:rPr>
      </w:pPr>
    </w:p>
    <w:p w14:paraId="0724FDAC">
      <w:pPr>
        <w:pStyle w:val="19"/>
        <w:ind w:firstLine="320"/>
        <w:rPr>
          <w:rFonts w:cs="宋体"/>
          <w:sz w:val="32"/>
          <w:szCs w:val="32"/>
        </w:rPr>
      </w:pPr>
    </w:p>
    <w:p w14:paraId="4B50EBE1">
      <w:pPr>
        <w:rPr>
          <w:lang w:eastAsia="zh-CN"/>
        </w:rPr>
      </w:pPr>
    </w:p>
    <w:p w14:paraId="453208B5">
      <w:pPr>
        <w:rPr>
          <w:lang w:eastAsia="zh-CN"/>
        </w:rPr>
      </w:pPr>
    </w:p>
    <w:p w14:paraId="71E91E43">
      <w:pPr>
        <w:rPr>
          <w:lang w:eastAsia="zh-CN"/>
        </w:rPr>
      </w:pPr>
    </w:p>
    <w:p w14:paraId="2279F462">
      <w:pPr>
        <w:rPr>
          <w:lang w:eastAsia="zh-CN"/>
        </w:rPr>
      </w:pPr>
    </w:p>
    <w:p w14:paraId="578FF3ED">
      <w:pPr>
        <w:rPr>
          <w:lang w:eastAsia="zh-CN"/>
        </w:rPr>
      </w:pPr>
    </w:p>
    <w:p w14:paraId="77F9EE77">
      <w:pPr>
        <w:spacing w:line="600" w:lineRule="exact"/>
        <w:jc w:val="center"/>
        <w:rPr>
          <w:rFonts w:hint="eastAsia" w:ascii="宋体" w:hAnsi="宋体"/>
          <w:b/>
          <w:bCs/>
          <w:sz w:val="36"/>
          <w:szCs w:val="36"/>
          <w:lang w:eastAsia="zh-CN"/>
        </w:rPr>
      </w:pPr>
    </w:p>
    <w:p w14:paraId="04EE8331">
      <w:pPr>
        <w:pStyle w:val="3"/>
        <w:rPr>
          <w:rFonts w:hint="eastAsia"/>
          <w:lang w:eastAsia="zh-CN"/>
        </w:rPr>
      </w:pPr>
    </w:p>
    <w:p w14:paraId="57C1E634">
      <w:pPr>
        <w:spacing w:line="600" w:lineRule="exact"/>
        <w:ind w:firstLine="1446" w:firstLineChars="400"/>
        <w:jc w:val="both"/>
        <w:rPr>
          <w:rFonts w:hint="eastAsia" w:ascii="宋体" w:hAnsi="宋体"/>
          <w:b/>
          <w:bCs/>
          <w:sz w:val="36"/>
          <w:szCs w:val="36"/>
          <w:lang w:eastAsia="zh-CN"/>
        </w:rPr>
      </w:pPr>
      <w:r>
        <w:rPr>
          <w:rFonts w:hint="eastAsia" w:ascii="宋体" w:hAnsi="宋体"/>
          <w:b/>
          <w:bCs/>
          <w:sz w:val="36"/>
          <w:szCs w:val="36"/>
          <w:lang w:eastAsia="zh-CN"/>
        </w:rPr>
        <w:t>采   购   人：</w:t>
      </w:r>
      <w:r>
        <w:rPr>
          <w:rFonts w:hint="eastAsia" w:ascii="宋体" w:hAnsi="宋体"/>
          <w:b/>
          <w:bCs/>
          <w:spacing w:val="51"/>
          <w:sz w:val="36"/>
          <w:szCs w:val="36"/>
          <w:lang w:eastAsia="zh-CN"/>
        </w:rPr>
        <w:t>周口市交通运输局</w:t>
      </w:r>
    </w:p>
    <w:p w14:paraId="22560E8F">
      <w:pPr>
        <w:spacing w:line="600" w:lineRule="exact"/>
        <w:jc w:val="center"/>
        <w:rPr>
          <w:rFonts w:ascii="宋体" w:hAnsi="宋体"/>
          <w:b/>
          <w:bCs/>
          <w:sz w:val="36"/>
          <w:szCs w:val="36"/>
          <w:lang w:eastAsia="zh-CN"/>
        </w:rPr>
      </w:pPr>
      <w:r>
        <w:rPr>
          <w:rFonts w:hint="eastAsia" w:ascii="宋体" w:hAnsi="宋体"/>
          <w:b/>
          <w:bCs/>
          <w:w w:val="99"/>
          <w:sz w:val="36"/>
          <w:szCs w:val="36"/>
          <w:lang w:val="en-US" w:eastAsia="zh-CN"/>
        </w:rPr>
        <w:t xml:space="preserve"> </w:t>
      </w:r>
      <w:r>
        <w:rPr>
          <w:rFonts w:hint="eastAsia" w:ascii="宋体" w:hAnsi="宋体"/>
          <w:b/>
          <w:bCs/>
          <w:w w:val="99"/>
          <w:sz w:val="36"/>
          <w:szCs w:val="36"/>
          <w:lang w:eastAsia="zh-CN"/>
        </w:rPr>
        <w:t>采购代理机</w:t>
      </w:r>
      <w:r>
        <w:rPr>
          <w:rFonts w:hint="eastAsia" w:ascii="宋体" w:hAnsi="宋体"/>
          <w:b/>
          <w:bCs/>
          <w:spacing w:val="14"/>
          <w:w w:val="99"/>
          <w:sz w:val="36"/>
          <w:szCs w:val="36"/>
          <w:lang w:eastAsia="zh-CN"/>
        </w:rPr>
        <w:t>构</w:t>
      </w:r>
      <w:r>
        <w:rPr>
          <w:rFonts w:hint="eastAsia" w:ascii="宋体" w:hAnsi="宋体"/>
          <w:b/>
          <w:bCs/>
          <w:sz w:val="36"/>
          <w:szCs w:val="36"/>
          <w:lang w:eastAsia="zh-CN"/>
        </w:rPr>
        <w:t>：圣弘建设股份有限公司</w:t>
      </w:r>
    </w:p>
    <w:p w14:paraId="0C469340">
      <w:pPr>
        <w:pStyle w:val="7"/>
        <w:spacing w:line="600" w:lineRule="exact"/>
        <w:jc w:val="center"/>
        <w:rPr>
          <w:rFonts w:hint="default"/>
          <w:b/>
          <w:sz w:val="44"/>
          <w:szCs w:val="44"/>
          <w:lang w:val="en-US" w:eastAsia="zh-CN"/>
        </w:rPr>
        <w:sectPr>
          <w:headerReference r:id="rId3" w:type="first"/>
          <w:footerReference r:id="rId5" w:type="first"/>
          <w:footerReference r:id="rId4" w:type="even"/>
          <w:pgSz w:w="11907" w:h="16460"/>
          <w:pgMar w:top="1757" w:right="1531" w:bottom="1531" w:left="1531" w:header="1134" w:footer="1077" w:gutter="0"/>
          <w:pgNumType w:start="0"/>
          <w:cols w:space="720" w:num="1"/>
        </w:sectPr>
      </w:pPr>
      <w:r>
        <w:rPr>
          <w:rFonts w:hint="eastAsia" w:hAnsi="宋体"/>
          <w:b/>
          <w:bCs/>
          <w:sz w:val="36"/>
          <w:szCs w:val="36"/>
        </w:rPr>
        <w:t>二〇二</w:t>
      </w:r>
      <w:r>
        <w:rPr>
          <w:rFonts w:hint="eastAsia" w:hAnsi="宋体"/>
          <w:b/>
          <w:bCs/>
          <w:sz w:val="36"/>
          <w:szCs w:val="36"/>
          <w:lang w:val="en-US" w:eastAsia="zh-CN"/>
        </w:rPr>
        <w:t>六年四月</w:t>
      </w:r>
    </w:p>
    <w:p w14:paraId="6E443E2A">
      <w:pPr>
        <w:jc w:val="center"/>
        <w:rPr>
          <w:b/>
          <w:sz w:val="44"/>
          <w:szCs w:val="44"/>
          <w:lang w:eastAsia="zh-CN"/>
        </w:rPr>
      </w:pPr>
      <w:r>
        <w:rPr>
          <w:rFonts w:hint="eastAsia"/>
          <w:b/>
          <w:sz w:val="44"/>
          <w:szCs w:val="44"/>
          <w:lang w:eastAsia="zh-CN"/>
        </w:rPr>
        <w:t>目  录</w:t>
      </w:r>
    </w:p>
    <w:p w14:paraId="5CF29B45">
      <w:pPr>
        <w:pStyle w:val="16"/>
        <w:tabs>
          <w:tab w:val="right" w:leader="dot" w:pos="8845"/>
        </w:tabs>
      </w:pPr>
      <w:r>
        <w:rPr>
          <w:lang w:eastAsia="zh-CN"/>
        </w:rPr>
        <w:fldChar w:fldCharType="begin"/>
      </w:r>
      <w:r>
        <w:rPr>
          <w:lang w:eastAsia="zh-CN"/>
        </w:rPr>
        <w:instrText xml:space="preserve"> TOC \o "1-3" \h \z \u </w:instrText>
      </w:r>
      <w:r>
        <w:rPr>
          <w:lang w:eastAsia="zh-CN"/>
        </w:rPr>
        <w:fldChar w:fldCharType="separate"/>
      </w:r>
      <w:r>
        <w:rPr>
          <w:lang w:eastAsia="zh-CN"/>
        </w:rPr>
        <w:fldChar w:fldCharType="begin"/>
      </w:r>
      <w:r>
        <w:rPr>
          <w:lang w:eastAsia="zh-CN"/>
        </w:rPr>
        <w:instrText xml:space="preserve"> HYPERLINK \l _Toc18454 </w:instrText>
      </w:r>
      <w:r>
        <w:rPr>
          <w:lang w:eastAsia="zh-CN"/>
        </w:rPr>
        <w:fldChar w:fldCharType="separate"/>
      </w:r>
      <w:r>
        <w:rPr>
          <w:rFonts w:hint="eastAsia" w:ascii="宋体" w:hAnsi="宋体" w:eastAsia="宋体"/>
          <w:i w:val="0"/>
          <w:szCs w:val="32"/>
          <w:lang w:eastAsia="zh-CN"/>
        </w:rPr>
        <w:t xml:space="preserve">第一章 </w:t>
      </w:r>
      <w:r>
        <w:rPr>
          <w:rFonts w:hint="eastAsia" w:ascii="宋体" w:hAnsi="宋体" w:eastAsia="宋体"/>
          <w:szCs w:val="32"/>
          <w:lang w:eastAsia="zh-CN"/>
        </w:rPr>
        <w:t>竞争性磋商公告</w:t>
      </w:r>
      <w:r>
        <w:tab/>
      </w:r>
      <w:r>
        <w:fldChar w:fldCharType="begin"/>
      </w:r>
      <w:r>
        <w:instrText xml:space="preserve"> PAGEREF _Toc18454 \h </w:instrText>
      </w:r>
      <w:r>
        <w:fldChar w:fldCharType="separate"/>
      </w:r>
      <w:r>
        <w:t>3</w:t>
      </w:r>
      <w:r>
        <w:fldChar w:fldCharType="end"/>
      </w:r>
      <w:r>
        <w:rPr>
          <w:lang w:eastAsia="zh-CN"/>
        </w:rPr>
        <w:fldChar w:fldCharType="end"/>
      </w:r>
    </w:p>
    <w:p w14:paraId="11B013CE">
      <w:pPr>
        <w:pStyle w:val="16"/>
        <w:tabs>
          <w:tab w:val="right" w:leader="dot" w:pos="8845"/>
        </w:tabs>
      </w:pPr>
      <w:r>
        <w:rPr>
          <w:rFonts w:cs="Calibri"/>
          <w:szCs w:val="20"/>
          <w:lang w:eastAsia="zh-CN"/>
        </w:rPr>
        <w:fldChar w:fldCharType="begin"/>
      </w:r>
      <w:r>
        <w:rPr>
          <w:rFonts w:cs="Calibri"/>
          <w:szCs w:val="20"/>
          <w:lang w:eastAsia="zh-CN"/>
        </w:rPr>
        <w:instrText xml:space="preserve"> HYPERLINK \l _Toc26023 </w:instrText>
      </w:r>
      <w:r>
        <w:rPr>
          <w:rFonts w:cs="Calibri"/>
          <w:szCs w:val="20"/>
          <w:lang w:eastAsia="zh-CN"/>
        </w:rPr>
        <w:fldChar w:fldCharType="separate"/>
      </w:r>
      <w:r>
        <w:rPr>
          <w:rFonts w:hint="eastAsia" w:ascii="宋体" w:hAnsi="宋体" w:eastAsia="宋体"/>
          <w:i w:val="0"/>
          <w:szCs w:val="32"/>
          <w:lang w:eastAsia="zh-CN"/>
        </w:rPr>
        <w:t xml:space="preserve">第二章 </w:t>
      </w:r>
      <w:r>
        <w:rPr>
          <w:rFonts w:hint="eastAsia" w:ascii="宋体" w:hAnsi="宋体" w:eastAsia="宋体"/>
          <w:szCs w:val="32"/>
          <w:lang w:eastAsia="zh-CN"/>
        </w:rPr>
        <w:t>响应单位</w:t>
      </w:r>
      <w:r>
        <w:rPr>
          <w:rFonts w:ascii="宋体" w:hAnsi="宋体" w:eastAsia="宋体"/>
          <w:szCs w:val="32"/>
          <w:lang w:eastAsia="zh-CN"/>
        </w:rPr>
        <w:t>须知</w:t>
      </w:r>
      <w:r>
        <w:rPr>
          <w:rFonts w:hint="eastAsia" w:ascii="宋体" w:hAnsi="宋体" w:eastAsia="宋体"/>
          <w:szCs w:val="32"/>
          <w:lang w:val="en-US" w:eastAsia="zh-CN"/>
        </w:rPr>
        <w:t>前附表</w:t>
      </w:r>
      <w:r>
        <w:tab/>
      </w:r>
      <w:r>
        <w:fldChar w:fldCharType="begin"/>
      </w:r>
      <w:r>
        <w:instrText xml:space="preserve"> PAGEREF _Toc26023 \h </w:instrText>
      </w:r>
      <w:r>
        <w:fldChar w:fldCharType="separate"/>
      </w:r>
      <w:r>
        <w:t>6</w:t>
      </w:r>
      <w:r>
        <w:fldChar w:fldCharType="end"/>
      </w:r>
      <w:r>
        <w:rPr>
          <w:rFonts w:cs="Calibri"/>
          <w:szCs w:val="20"/>
          <w:lang w:eastAsia="zh-CN"/>
        </w:rPr>
        <w:fldChar w:fldCharType="end"/>
      </w:r>
    </w:p>
    <w:p w14:paraId="2CA2D103">
      <w:pPr>
        <w:pStyle w:val="17"/>
        <w:tabs>
          <w:tab w:val="right" w:leader="dot" w:pos="8845"/>
        </w:tabs>
      </w:pPr>
      <w:r>
        <w:rPr>
          <w:rFonts w:cs="Calibri"/>
          <w:szCs w:val="20"/>
          <w:lang w:eastAsia="zh-CN"/>
        </w:rPr>
        <w:fldChar w:fldCharType="begin"/>
      </w:r>
      <w:r>
        <w:rPr>
          <w:rFonts w:cs="Calibri"/>
          <w:szCs w:val="20"/>
          <w:lang w:eastAsia="zh-CN"/>
        </w:rPr>
        <w:instrText xml:space="preserve"> HYPERLINK \l _Toc20866 </w:instrText>
      </w:r>
      <w:r>
        <w:rPr>
          <w:rFonts w:cs="Calibri"/>
          <w:szCs w:val="20"/>
          <w:lang w:eastAsia="zh-CN"/>
        </w:rPr>
        <w:fldChar w:fldCharType="separate"/>
      </w:r>
      <w:r>
        <w:rPr>
          <w:rFonts w:hint="eastAsia" w:ascii="宋体" w:hAnsi="宋体"/>
          <w:bCs/>
          <w:szCs w:val="21"/>
          <w:lang w:val="en-US" w:eastAsia="zh-CN"/>
        </w:rPr>
        <w:t>1.</w:t>
      </w:r>
      <w:r>
        <w:rPr>
          <w:rFonts w:ascii="宋体" w:hAnsi="宋体" w:eastAsia="宋体"/>
          <w:bCs/>
          <w:szCs w:val="21"/>
          <w:lang w:eastAsia="zh-CN"/>
        </w:rPr>
        <w:t>总则</w:t>
      </w:r>
      <w:r>
        <w:tab/>
      </w:r>
      <w:r>
        <w:fldChar w:fldCharType="begin"/>
      </w:r>
      <w:r>
        <w:instrText xml:space="preserve"> PAGEREF _Toc20866 \h </w:instrText>
      </w:r>
      <w:r>
        <w:fldChar w:fldCharType="separate"/>
      </w:r>
      <w:r>
        <w:t>13</w:t>
      </w:r>
      <w:r>
        <w:fldChar w:fldCharType="end"/>
      </w:r>
      <w:r>
        <w:rPr>
          <w:rFonts w:cs="Calibri"/>
          <w:szCs w:val="20"/>
          <w:lang w:eastAsia="zh-CN"/>
        </w:rPr>
        <w:fldChar w:fldCharType="end"/>
      </w:r>
    </w:p>
    <w:p w14:paraId="76970F8E">
      <w:pPr>
        <w:pStyle w:val="17"/>
        <w:tabs>
          <w:tab w:val="right" w:leader="dot" w:pos="8845"/>
        </w:tabs>
      </w:pPr>
      <w:r>
        <w:rPr>
          <w:rFonts w:cs="Calibri"/>
          <w:szCs w:val="20"/>
          <w:lang w:eastAsia="zh-CN"/>
        </w:rPr>
        <w:fldChar w:fldCharType="begin"/>
      </w:r>
      <w:r>
        <w:rPr>
          <w:rFonts w:cs="Calibri"/>
          <w:szCs w:val="20"/>
          <w:lang w:eastAsia="zh-CN"/>
        </w:rPr>
        <w:instrText xml:space="preserve"> HYPERLINK \l _Toc30134 </w:instrText>
      </w:r>
      <w:r>
        <w:rPr>
          <w:rFonts w:cs="Calibri"/>
          <w:szCs w:val="20"/>
          <w:lang w:eastAsia="zh-CN"/>
        </w:rPr>
        <w:fldChar w:fldCharType="separate"/>
      </w:r>
      <w:r>
        <w:rPr>
          <w:rFonts w:hint="eastAsia" w:ascii="宋体" w:hAnsi="宋体" w:eastAsia="宋体"/>
          <w:bCs/>
          <w:szCs w:val="21"/>
          <w:lang w:val="en-US" w:eastAsia="zh-CN"/>
        </w:rPr>
        <w:t>2.</w:t>
      </w:r>
      <w:r>
        <w:rPr>
          <w:rFonts w:ascii="宋体" w:hAnsi="宋体" w:eastAsia="宋体"/>
          <w:bCs/>
          <w:szCs w:val="21"/>
          <w:lang w:eastAsia="zh-CN"/>
        </w:rPr>
        <w:t>磋商文件</w:t>
      </w:r>
      <w:r>
        <w:tab/>
      </w:r>
      <w:r>
        <w:fldChar w:fldCharType="begin"/>
      </w:r>
      <w:r>
        <w:instrText xml:space="preserve"> PAGEREF _Toc30134 \h </w:instrText>
      </w:r>
      <w:r>
        <w:fldChar w:fldCharType="separate"/>
      </w:r>
      <w:r>
        <w:t>14</w:t>
      </w:r>
      <w:r>
        <w:fldChar w:fldCharType="end"/>
      </w:r>
      <w:r>
        <w:rPr>
          <w:rFonts w:cs="Calibri"/>
          <w:szCs w:val="20"/>
          <w:lang w:eastAsia="zh-CN"/>
        </w:rPr>
        <w:fldChar w:fldCharType="end"/>
      </w:r>
    </w:p>
    <w:p w14:paraId="1424720F">
      <w:pPr>
        <w:pStyle w:val="17"/>
        <w:tabs>
          <w:tab w:val="right" w:leader="dot" w:pos="8845"/>
        </w:tabs>
      </w:pPr>
      <w:r>
        <w:rPr>
          <w:rFonts w:cs="Calibri"/>
          <w:szCs w:val="20"/>
          <w:lang w:eastAsia="zh-CN"/>
        </w:rPr>
        <w:fldChar w:fldCharType="begin"/>
      </w:r>
      <w:r>
        <w:rPr>
          <w:rFonts w:cs="Calibri"/>
          <w:szCs w:val="20"/>
          <w:lang w:eastAsia="zh-CN"/>
        </w:rPr>
        <w:instrText xml:space="preserve"> HYPERLINK \l _Toc29055 </w:instrText>
      </w:r>
      <w:r>
        <w:rPr>
          <w:rFonts w:cs="Calibri"/>
          <w:szCs w:val="20"/>
          <w:lang w:eastAsia="zh-CN"/>
        </w:rPr>
        <w:fldChar w:fldCharType="separate"/>
      </w:r>
      <w:r>
        <w:rPr>
          <w:rFonts w:hint="eastAsia" w:ascii="宋体" w:hAnsi="宋体" w:eastAsia="宋体"/>
          <w:bCs/>
          <w:szCs w:val="21"/>
          <w:lang w:val="en-US" w:eastAsia="zh-CN"/>
        </w:rPr>
        <w:t>3.</w:t>
      </w:r>
      <w:r>
        <w:rPr>
          <w:rFonts w:ascii="宋体" w:hAnsi="宋体" w:eastAsia="宋体"/>
          <w:bCs/>
          <w:szCs w:val="21"/>
          <w:lang w:eastAsia="zh-CN"/>
        </w:rPr>
        <w:t>响应文件的编制</w:t>
      </w:r>
      <w:r>
        <w:tab/>
      </w:r>
      <w:r>
        <w:fldChar w:fldCharType="begin"/>
      </w:r>
      <w:r>
        <w:instrText xml:space="preserve"> PAGEREF _Toc29055 \h </w:instrText>
      </w:r>
      <w:r>
        <w:fldChar w:fldCharType="separate"/>
      </w:r>
      <w:r>
        <w:t>15</w:t>
      </w:r>
      <w:r>
        <w:fldChar w:fldCharType="end"/>
      </w:r>
      <w:r>
        <w:rPr>
          <w:rFonts w:cs="Calibri"/>
          <w:szCs w:val="20"/>
          <w:lang w:eastAsia="zh-CN"/>
        </w:rPr>
        <w:fldChar w:fldCharType="end"/>
      </w:r>
    </w:p>
    <w:p w14:paraId="4F81B95E">
      <w:pPr>
        <w:pStyle w:val="17"/>
        <w:tabs>
          <w:tab w:val="right" w:leader="dot" w:pos="8845"/>
        </w:tabs>
      </w:pPr>
      <w:r>
        <w:rPr>
          <w:rFonts w:cs="Calibri"/>
          <w:szCs w:val="20"/>
          <w:lang w:eastAsia="zh-CN"/>
        </w:rPr>
        <w:fldChar w:fldCharType="begin"/>
      </w:r>
      <w:r>
        <w:rPr>
          <w:rFonts w:cs="Calibri"/>
          <w:szCs w:val="20"/>
          <w:lang w:eastAsia="zh-CN"/>
        </w:rPr>
        <w:instrText xml:space="preserve"> HYPERLINK \l _Toc9705 </w:instrText>
      </w:r>
      <w:r>
        <w:rPr>
          <w:rFonts w:cs="Calibri"/>
          <w:szCs w:val="20"/>
          <w:lang w:eastAsia="zh-CN"/>
        </w:rPr>
        <w:fldChar w:fldCharType="separate"/>
      </w:r>
      <w:r>
        <w:rPr>
          <w:rFonts w:hint="eastAsia" w:ascii="宋体" w:hAnsi="宋体" w:eastAsia="宋体"/>
          <w:bCs/>
          <w:szCs w:val="21"/>
          <w:lang w:val="en-US" w:eastAsia="zh-CN"/>
        </w:rPr>
        <w:t>4.</w:t>
      </w:r>
      <w:r>
        <w:rPr>
          <w:rFonts w:hint="eastAsia" w:ascii="宋体" w:hAnsi="宋体" w:eastAsia="宋体"/>
          <w:bCs/>
          <w:szCs w:val="21"/>
          <w:lang w:eastAsia="zh-CN"/>
        </w:rPr>
        <w:t>加密</w:t>
      </w:r>
      <w:r>
        <w:rPr>
          <w:rFonts w:ascii="宋体" w:hAnsi="宋体" w:eastAsia="宋体"/>
          <w:bCs/>
          <w:szCs w:val="21"/>
          <w:lang w:eastAsia="zh-CN"/>
        </w:rPr>
        <w:t>响应文件的递交</w:t>
      </w:r>
      <w:r>
        <w:tab/>
      </w:r>
      <w:r>
        <w:fldChar w:fldCharType="begin"/>
      </w:r>
      <w:r>
        <w:instrText xml:space="preserve"> PAGEREF _Toc9705 \h </w:instrText>
      </w:r>
      <w:r>
        <w:fldChar w:fldCharType="separate"/>
      </w:r>
      <w:r>
        <w:t>16</w:t>
      </w:r>
      <w:r>
        <w:fldChar w:fldCharType="end"/>
      </w:r>
      <w:r>
        <w:rPr>
          <w:rFonts w:cs="Calibri"/>
          <w:szCs w:val="20"/>
          <w:lang w:eastAsia="zh-CN"/>
        </w:rPr>
        <w:fldChar w:fldCharType="end"/>
      </w:r>
    </w:p>
    <w:p w14:paraId="70AC45E9">
      <w:pPr>
        <w:pStyle w:val="17"/>
        <w:tabs>
          <w:tab w:val="right" w:leader="dot" w:pos="8845"/>
        </w:tabs>
      </w:pPr>
      <w:r>
        <w:rPr>
          <w:rFonts w:cs="Calibri"/>
          <w:szCs w:val="20"/>
          <w:lang w:eastAsia="zh-CN"/>
        </w:rPr>
        <w:fldChar w:fldCharType="begin"/>
      </w:r>
      <w:r>
        <w:rPr>
          <w:rFonts w:cs="Calibri"/>
          <w:szCs w:val="20"/>
          <w:lang w:eastAsia="zh-CN"/>
        </w:rPr>
        <w:instrText xml:space="preserve"> HYPERLINK \l _Toc11915 </w:instrText>
      </w:r>
      <w:r>
        <w:rPr>
          <w:rFonts w:cs="Calibri"/>
          <w:szCs w:val="20"/>
          <w:lang w:eastAsia="zh-CN"/>
        </w:rPr>
        <w:fldChar w:fldCharType="separate"/>
      </w:r>
      <w:r>
        <w:rPr>
          <w:rFonts w:hint="eastAsia" w:ascii="宋体" w:hAnsi="宋体" w:eastAsia="宋体"/>
          <w:bCs/>
          <w:szCs w:val="21"/>
          <w:lang w:val="en-US" w:eastAsia="zh-CN"/>
        </w:rPr>
        <w:t>5.</w:t>
      </w:r>
      <w:r>
        <w:rPr>
          <w:rFonts w:ascii="宋体" w:hAnsi="宋体" w:eastAsia="宋体"/>
          <w:bCs/>
          <w:szCs w:val="21"/>
          <w:lang w:eastAsia="zh-CN"/>
        </w:rPr>
        <w:t>开标</w:t>
      </w:r>
      <w:r>
        <w:tab/>
      </w:r>
      <w:r>
        <w:fldChar w:fldCharType="begin"/>
      </w:r>
      <w:r>
        <w:instrText xml:space="preserve"> PAGEREF _Toc11915 \h </w:instrText>
      </w:r>
      <w:r>
        <w:fldChar w:fldCharType="separate"/>
      </w:r>
      <w:r>
        <w:t>17</w:t>
      </w:r>
      <w:r>
        <w:fldChar w:fldCharType="end"/>
      </w:r>
      <w:r>
        <w:rPr>
          <w:rFonts w:cs="Calibri"/>
          <w:szCs w:val="20"/>
          <w:lang w:eastAsia="zh-CN"/>
        </w:rPr>
        <w:fldChar w:fldCharType="end"/>
      </w:r>
    </w:p>
    <w:p w14:paraId="277F39F7">
      <w:pPr>
        <w:pStyle w:val="17"/>
        <w:tabs>
          <w:tab w:val="right" w:leader="dot" w:pos="8845"/>
        </w:tabs>
      </w:pPr>
      <w:r>
        <w:rPr>
          <w:rFonts w:cs="Calibri"/>
          <w:szCs w:val="20"/>
          <w:lang w:eastAsia="zh-CN"/>
        </w:rPr>
        <w:fldChar w:fldCharType="begin"/>
      </w:r>
      <w:r>
        <w:rPr>
          <w:rFonts w:cs="Calibri"/>
          <w:szCs w:val="20"/>
          <w:lang w:eastAsia="zh-CN"/>
        </w:rPr>
        <w:instrText xml:space="preserve"> HYPERLINK \l _Toc2935 </w:instrText>
      </w:r>
      <w:r>
        <w:rPr>
          <w:rFonts w:cs="Calibri"/>
          <w:szCs w:val="20"/>
          <w:lang w:eastAsia="zh-CN"/>
        </w:rPr>
        <w:fldChar w:fldCharType="separate"/>
      </w:r>
      <w:r>
        <w:rPr>
          <w:rFonts w:hint="eastAsia" w:ascii="宋体" w:hAnsi="宋体" w:eastAsia="宋体"/>
          <w:bCs/>
          <w:szCs w:val="21"/>
          <w:lang w:eastAsia="zh-CN"/>
        </w:rPr>
        <w:t>6.</w:t>
      </w:r>
      <w:r>
        <w:rPr>
          <w:rFonts w:ascii="宋体" w:hAnsi="宋体" w:eastAsia="宋体"/>
          <w:bCs/>
          <w:szCs w:val="21"/>
          <w:lang w:eastAsia="zh-CN"/>
        </w:rPr>
        <w:t>评审</w:t>
      </w:r>
      <w:r>
        <w:tab/>
      </w:r>
      <w:r>
        <w:fldChar w:fldCharType="begin"/>
      </w:r>
      <w:r>
        <w:instrText xml:space="preserve"> PAGEREF _Toc2935 \h </w:instrText>
      </w:r>
      <w:r>
        <w:fldChar w:fldCharType="separate"/>
      </w:r>
      <w:r>
        <w:t>18</w:t>
      </w:r>
      <w:r>
        <w:fldChar w:fldCharType="end"/>
      </w:r>
      <w:r>
        <w:rPr>
          <w:rFonts w:cs="Calibri"/>
          <w:szCs w:val="20"/>
          <w:lang w:eastAsia="zh-CN"/>
        </w:rPr>
        <w:fldChar w:fldCharType="end"/>
      </w:r>
    </w:p>
    <w:p w14:paraId="203518B8">
      <w:pPr>
        <w:pStyle w:val="17"/>
        <w:tabs>
          <w:tab w:val="right" w:leader="dot" w:pos="8845"/>
        </w:tabs>
      </w:pPr>
      <w:r>
        <w:rPr>
          <w:rFonts w:cs="Calibri"/>
          <w:szCs w:val="20"/>
          <w:lang w:eastAsia="zh-CN"/>
        </w:rPr>
        <w:fldChar w:fldCharType="begin"/>
      </w:r>
      <w:r>
        <w:rPr>
          <w:rFonts w:cs="Calibri"/>
          <w:szCs w:val="20"/>
          <w:lang w:eastAsia="zh-CN"/>
        </w:rPr>
        <w:instrText xml:space="preserve"> HYPERLINK \l _Toc5868 </w:instrText>
      </w:r>
      <w:r>
        <w:rPr>
          <w:rFonts w:cs="Calibri"/>
          <w:szCs w:val="20"/>
          <w:lang w:eastAsia="zh-CN"/>
        </w:rPr>
        <w:fldChar w:fldCharType="separate"/>
      </w:r>
      <w:r>
        <w:rPr>
          <w:rFonts w:hint="eastAsia" w:ascii="宋体" w:hAnsi="宋体" w:eastAsia="宋体"/>
          <w:bCs/>
          <w:szCs w:val="21"/>
          <w:lang w:eastAsia="zh-CN"/>
        </w:rPr>
        <w:t>7.合同授予</w:t>
      </w:r>
      <w:r>
        <w:tab/>
      </w:r>
      <w:r>
        <w:fldChar w:fldCharType="begin"/>
      </w:r>
      <w:r>
        <w:instrText xml:space="preserve"> PAGEREF _Toc5868 \h </w:instrText>
      </w:r>
      <w:r>
        <w:fldChar w:fldCharType="separate"/>
      </w:r>
      <w:r>
        <w:t>20</w:t>
      </w:r>
      <w:r>
        <w:fldChar w:fldCharType="end"/>
      </w:r>
      <w:r>
        <w:rPr>
          <w:rFonts w:cs="Calibri"/>
          <w:szCs w:val="20"/>
          <w:lang w:eastAsia="zh-CN"/>
        </w:rPr>
        <w:fldChar w:fldCharType="end"/>
      </w:r>
    </w:p>
    <w:p w14:paraId="38566426">
      <w:pPr>
        <w:pStyle w:val="17"/>
        <w:tabs>
          <w:tab w:val="right" w:leader="dot" w:pos="8845"/>
        </w:tabs>
      </w:pPr>
      <w:r>
        <w:rPr>
          <w:rFonts w:cs="Calibri"/>
          <w:szCs w:val="20"/>
          <w:lang w:eastAsia="zh-CN"/>
        </w:rPr>
        <w:fldChar w:fldCharType="begin"/>
      </w:r>
      <w:r>
        <w:rPr>
          <w:rFonts w:cs="Calibri"/>
          <w:szCs w:val="20"/>
          <w:lang w:eastAsia="zh-CN"/>
        </w:rPr>
        <w:instrText xml:space="preserve"> HYPERLINK \l _Toc14799 </w:instrText>
      </w:r>
      <w:r>
        <w:rPr>
          <w:rFonts w:cs="Calibri"/>
          <w:szCs w:val="20"/>
          <w:lang w:eastAsia="zh-CN"/>
        </w:rPr>
        <w:fldChar w:fldCharType="separate"/>
      </w:r>
      <w:r>
        <w:rPr>
          <w:rFonts w:hint="eastAsia" w:ascii="宋体" w:hAnsi="宋体" w:eastAsia="宋体"/>
          <w:bCs/>
          <w:szCs w:val="21"/>
          <w:lang w:eastAsia="zh-CN"/>
        </w:rPr>
        <w:t>8.纪律和监督</w:t>
      </w:r>
      <w:r>
        <w:tab/>
      </w:r>
      <w:r>
        <w:fldChar w:fldCharType="begin"/>
      </w:r>
      <w:r>
        <w:instrText xml:space="preserve"> PAGEREF _Toc14799 \h </w:instrText>
      </w:r>
      <w:r>
        <w:fldChar w:fldCharType="separate"/>
      </w:r>
      <w:r>
        <w:t>21</w:t>
      </w:r>
      <w:r>
        <w:fldChar w:fldCharType="end"/>
      </w:r>
      <w:r>
        <w:rPr>
          <w:rFonts w:cs="Calibri"/>
          <w:szCs w:val="20"/>
          <w:lang w:eastAsia="zh-CN"/>
        </w:rPr>
        <w:fldChar w:fldCharType="end"/>
      </w:r>
    </w:p>
    <w:p w14:paraId="1E425DC3">
      <w:pPr>
        <w:pStyle w:val="17"/>
        <w:tabs>
          <w:tab w:val="right" w:leader="dot" w:pos="8845"/>
        </w:tabs>
      </w:pPr>
      <w:r>
        <w:rPr>
          <w:rFonts w:cs="Calibri"/>
          <w:szCs w:val="20"/>
          <w:lang w:eastAsia="zh-CN"/>
        </w:rPr>
        <w:fldChar w:fldCharType="begin"/>
      </w:r>
      <w:r>
        <w:rPr>
          <w:rFonts w:cs="Calibri"/>
          <w:szCs w:val="20"/>
          <w:lang w:eastAsia="zh-CN"/>
        </w:rPr>
        <w:instrText xml:space="preserve"> HYPERLINK \l _Toc15763 </w:instrText>
      </w:r>
      <w:r>
        <w:rPr>
          <w:rFonts w:cs="Calibri"/>
          <w:szCs w:val="20"/>
          <w:lang w:eastAsia="zh-CN"/>
        </w:rPr>
        <w:fldChar w:fldCharType="separate"/>
      </w:r>
      <w:r>
        <w:rPr>
          <w:rFonts w:hint="eastAsia" w:ascii="宋体" w:hAnsi="宋体" w:eastAsia="宋体"/>
          <w:bCs/>
          <w:szCs w:val="21"/>
          <w:lang w:eastAsia="zh-CN"/>
        </w:rPr>
        <w:t>9.</w:t>
      </w:r>
      <w:r>
        <w:rPr>
          <w:rFonts w:ascii="宋体" w:hAnsi="宋体" w:eastAsia="宋体"/>
          <w:bCs/>
          <w:szCs w:val="21"/>
          <w:lang w:eastAsia="zh-CN"/>
        </w:rPr>
        <w:t>质疑投诉</w:t>
      </w:r>
      <w:r>
        <w:tab/>
      </w:r>
      <w:r>
        <w:fldChar w:fldCharType="begin"/>
      </w:r>
      <w:r>
        <w:instrText xml:space="preserve"> PAGEREF _Toc15763 \h </w:instrText>
      </w:r>
      <w:r>
        <w:fldChar w:fldCharType="separate"/>
      </w:r>
      <w:r>
        <w:t>21</w:t>
      </w:r>
      <w:r>
        <w:fldChar w:fldCharType="end"/>
      </w:r>
      <w:r>
        <w:rPr>
          <w:rFonts w:cs="Calibri"/>
          <w:szCs w:val="20"/>
          <w:lang w:eastAsia="zh-CN"/>
        </w:rPr>
        <w:fldChar w:fldCharType="end"/>
      </w:r>
    </w:p>
    <w:p w14:paraId="6B2CBC6E">
      <w:pPr>
        <w:pStyle w:val="17"/>
        <w:tabs>
          <w:tab w:val="right" w:leader="dot" w:pos="8845"/>
        </w:tabs>
      </w:pPr>
      <w:r>
        <w:rPr>
          <w:rFonts w:cs="Calibri"/>
          <w:szCs w:val="20"/>
          <w:lang w:eastAsia="zh-CN"/>
        </w:rPr>
        <w:fldChar w:fldCharType="begin"/>
      </w:r>
      <w:r>
        <w:rPr>
          <w:rFonts w:cs="Calibri"/>
          <w:szCs w:val="20"/>
          <w:lang w:eastAsia="zh-CN"/>
        </w:rPr>
        <w:instrText xml:space="preserve"> HYPERLINK \l _Toc30834 </w:instrText>
      </w:r>
      <w:r>
        <w:rPr>
          <w:rFonts w:cs="Calibri"/>
          <w:szCs w:val="20"/>
          <w:lang w:eastAsia="zh-CN"/>
        </w:rPr>
        <w:fldChar w:fldCharType="separate"/>
      </w:r>
      <w:r>
        <w:rPr>
          <w:rFonts w:hint="eastAsia" w:ascii="宋体" w:hAnsi="宋体" w:eastAsia="宋体"/>
          <w:bCs/>
          <w:szCs w:val="21"/>
          <w:lang w:eastAsia="zh-CN"/>
        </w:rPr>
        <w:t>10.需要补充的其他内容</w:t>
      </w:r>
      <w:r>
        <w:tab/>
      </w:r>
      <w:r>
        <w:fldChar w:fldCharType="begin"/>
      </w:r>
      <w:r>
        <w:instrText xml:space="preserve"> PAGEREF _Toc30834 \h </w:instrText>
      </w:r>
      <w:r>
        <w:fldChar w:fldCharType="separate"/>
      </w:r>
      <w:r>
        <w:t>21</w:t>
      </w:r>
      <w:r>
        <w:fldChar w:fldCharType="end"/>
      </w:r>
      <w:r>
        <w:rPr>
          <w:rFonts w:cs="Calibri"/>
          <w:szCs w:val="20"/>
          <w:lang w:eastAsia="zh-CN"/>
        </w:rPr>
        <w:fldChar w:fldCharType="end"/>
      </w:r>
    </w:p>
    <w:p w14:paraId="23978732">
      <w:pPr>
        <w:pStyle w:val="16"/>
        <w:tabs>
          <w:tab w:val="right" w:leader="dot" w:pos="8845"/>
        </w:tabs>
      </w:pPr>
      <w:r>
        <w:rPr>
          <w:rFonts w:cs="Calibri"/>
          <w:szCs w:val="20"/>
          <w:lang w:eastAsia="zh-CN"/>
        </w:rPr>
        <w:fldChar w:fldCharType="begin"/>
      </w:r>
      <w:r>
        <w:rPr>
          <w:rFonts w:cs="Calibri"/>
          <w:szCs w:val="20"/>
          <w:lang w:eastAsia="zh-CN"/>
        </w:rPr>
        <w:instrText xml:space="preserve"> HYPERLINK \l _Toc4867 </w:instrText>
      </w:r>
      <w:r>
        <w:rPr>
          <w:rFonts w:cs="Calibri"/>
          <w:szCs w:val="20"/>
          <w:lang w:eastAsia="zh-CN"/>
        </w:rPr>
        <w:fldChar w:fldCharType="separate"/>
      </w:r>
      <w:r>
        <w:rPr>
          <w:rFonts w:hint="eastAsia" w:ascii="宋体" w:hAnsi="宋体"/>
          <w:szCs w:val="32"/>
          <w:lang w:eastAsia="zh-CN"/>
        </w:rPr>
        <w:t>第三章 合同条款及格式</w:t>
      </w:r>
      <w:r>
        <w:tab/>
      </w:r>
      <w:r>
        <w:fldChar w:fldCharType="begin"/>
      </w:r>
      <w:r>
        <w:instrText xml:space="preserve"> PAGEREF _Toc4867 \h </w:instrText>
      </w:r>
      <w:r>
        <w:fldChar w:fldCharType="separate"/>
      </w:r>
      <w:r>
        <w:t>25</w:t>
      </w:r>
      <w:r>
        <w:fldChar w:fldCharType="end"/>
      </w:r>
      <w:r>
        <w:rPr>
          <w:rFonts w:cs="Calibri"/>
          <w:szCs w:val="20"/>
          <w:lang w:eastAsia="zh-CN"/>
        </w:rPr>
        <w:fldChar w:fldCharType="end"/>
      </w:r>
    </w:p>
    <w:p w14:paraId="30FFC6CC">
      <w:pPr>
        <w:pStyle w:val="16"/>
        <w:tabs>
          <w:tab w:val="right" w:leader="dot" w:pos="8845"/>
        </w:tabs>
      </w:pPr>
      <w:r>
        <w:rPr>
          <w:rFonts w:cs="Calibri"/>
          <w:szCs w:val="20"/>
          <w:lang w:eastAsia="zh-CN"/>
        </w:rPr>
        <w:fldChar w:fldCharType="begin"/>
      </w:r>
      <w:r>
        <w:rPr>
          <w:rFonts w:cs="Calibri"/>
          <w:szCs w:val="20"/>
          <w:lang w:eastAsia="zh-CN"/>
        </w:rPr>
        <w:instrText xml:space="preserve"> HYPERLINK \l _Toc18616 </w:instrText>
      </w:r>
      <w:r>
        <w:rPr>
          <w:rFonts w:cs="Calibri"/>
          <w:szCs w:val="20"/>
          <w:lang w:eastAsia="zh-CN"/>
        </w:rPr>
        <w:fldChar w:fldCharType="separate"/>
      </w:r>
      <w:r>
        <w:rPr>
          <w:rFonts w:hint="eastAsia" w:ascii="宋体" w:hAnsi="宋体" w:eastAsia="宋体"/>
          <w:szCs w:val="32"/>
          <w:lang w:eastAsia="zh-CN"/>
        </w:rPr>
        <w:t xml:space="preserve">第四章  </w:t>
      </w:r>
      <w:r>
        <w:rPr>
          <w:rFonts w:ascii="宋体" w:hAnsi="宋体" w:eastAsia="宋体"/>
          <w:szCs w:val="32"/>
          <w:lang w:eastAsia="zh-CN"/>
        </w:rPr>
        <w:t>评审</w:t>
      </w:r>
      <w:r>
        <w:rPr>
          <w:rFonts w:hint="eastAsia" w:ascii="宋体" w:hAnsi="宋体" w:eastAsia="宋体"/>
          <w:szCs w:val="32"/>
          <w:lang w:eastAsia="zh-CN"/>
        </w:rPr>
        <w:t>方</w:t>
      </w:r>
      <w:r>
        <w:rPr>
          <w:rFonts w:ascii="宋体" w:hAnsi="宋体" w:eastAsia="宋体"/>
          <w:szCs w:val="32"/>
          <w:lang w:eastAsia="zh-CN"/>
        </w:rPr>
        <w:t>法</w:t>
      </w:r>
      <w:r>
        <w:tab/>
      </w:r>
      <w:r>
        <w:fldChar w:fldCharType="begin"/>
      </w:r>
      <w:r>
        <w:instrText xml:space="preserve"> PAGEREF _Toc18616 \h </w:instrText>
      </w:r>
      <w:r>
        <w:fldChar w:fldCharType="separate"/>
      </w:r>
      <w:r>
        <w:t>32</w:t>
      </w:r>
      <w:r>
        <w:fldChar w:fldCharType="end"/>
      </w:r>
      <w:r>
        <w:rPr>
          <w:rFonts w:cs="Calibri"/>
          <w:szCs w:val="20"/>
          <w:lang w:eastAsia="zh-CN"/>
        </w:rPr>
        <w:fldChar w:fldCharType="end"/>
      </w:r>
    </w:p>
    <w:p w14:paraId="6A9F74DF">
      <w:pPr>
        <w:pStyle w:val="17"/>
        <w:tabs>
          <w:tab w:val="right" w:leader="dot" w:pos="8845"/>
        </w:tabs>
      </w:pPr>
      <w:r>
        <w:rPr>
          <w:rFonts w:cs="Calibri"/>
          <w:szCs w:val="20"/>
          <w:lang w:eastAsia="zh-CN"/>
        </w:rPr>
        <w:fldChar w:fldCharType="begin"/>
      </w:r>
      <w:r>
        <w:rPr>
          <w:rFonts w:cs="Calibri"/>
          <w:szCs w:val="20"/>
          <w:lang w:eastAsia="zh-CN"/>
        </w:rPr>
        <w:instrText xml:space="preserve"> HYPERLINK \l _Toc8845 </w:instrText>
      </w:r>
      <w:r>
        <w:rPr>
          <w:rFonts w:cs="Calibri"/>
          <w:szCs w:val="20"/>
          <w:lang w:eastAsia="zh-CN"/>
        </w:rPr>
        <w:fldChar w:fldCharType="separate"/>
      </w:r>
      <w:r>
        <w:rPr>
          <w:rFonts w:ascii="宋体" w:hAnsi="宋体" w:eastAsia="宋体"/>
          <w:szCs w:val="21"/>
          <w:lang w:eastAsia="zh-CN"/>
        </w:rPr>
        <w:t>1.评审方法</w:t>
      </w:r>
      <w:r>
        <w:tab/>
      </w:r>
      <w:r>
        <w:fldChar w:fldCharType="begin"/>
      </w:r>
      <w:r>
        <w:instrText xml:space="preserve"> PAGEREF _Toc8845 \h </w:instrText>
      </w:r>
      <w:r>
        <w:fldChar w:fldCharType="separate"/>
      </w:r>
      <w:r>
        <w:t>36</w:t>
      </w:r>
      <w:r>
        <w:fldChar w:fldCharType="end"/>
      </w:r>
      <w:r>
        <w:rPr>
          <w:rFonts w:cs="Calibri"/>
          <w:szCs w:val="20"/>
          <w:lang w:eastAsia="zh-CN"/>
        </w:rPr>
        <w:fldChar w:fldCharType="end"/>
      </w:r>
    </w:p>
    <w:p w14:paraId="0C2ECE4C">
      <w:pPr>
        <w:pStyle w:val="17"/>
        <w:tabs>
          <w:tab w:val="right" w:leader="dot" w:pos="8845"/>
        </w:tabs>
      </w:pPr>
      <w:r>
        <w:rPr>
          <w:rFonts w:cs="Calibri"/>
          <w:szCs w:val="20"/>
          <w:lang w:eastAsia="zh-CN"/>
        </w:rPr>
        <w:fldChar w:fldCharType="begin"/>
      </w:r>
      <w:r>
        <w:rPr>
          <w:rFonts w:cs="Calibri"/>
          <w:szCs w:val="20"/>
          <w:lang w:eastAsia="zh-CN"/>
        </w:rPr>
        <w:instrText xml:space="preserve"> HYPERLINK \l _Toc17054 </w:instrText>
      </w:r>
      <w:r>
        <w:rPr>
          <w:rFonts w:cs="Calibri"/>
          <w:szCs w:val="20"/>
          <w:lang w:eastAsia="zh-CN"/>
        </w:rPr>
        <w:fldChar w:fldCharType="separate"/>
      </w:r>
      <w:r>
        <w:rPr>
          <w:rFonts w:ascii="宋体" w:hAnsi="宋体" w:eastAsia="宋体"/>
          <w:szCs w:val="21"/>
          <w:lang w:eastAsia="zh-CN"/>
        </w:rPr>
        <w:t>2.评审标准</w:t>
      </w:r>
      <w:r>
        <w:tab/>
      </w:r>
      <w:r>
        <w:fldChar w:fldCharType="begin"/>
      </w:r>
      <w:r>
        <w:instrText xml:space="preserve"> PAGEREF _Toc17054 \h </w:instrText>
      </w:r>
      <w:r>
        <w:fldChar w:fldCharType="separate"/>
      </w:r>
      <w:r>
        <w:t>36</w:t>
      </w:r>
      <w:r>
        <w:fldChar w:fldCharType="end"/>
      </w:r>
      <w:r>
        <w:rPr>
          <w:rFonts w:cs="Calibri"/>
          <w:szCs w:val="20"/>
          <w:lang w:eastAsia="zh-CN"/>
        </w:rPr>
        <w:fldChar w:fldCharType="end"/>
      </w:r>
    </w:p>
    <w:p w14:paraId="7F071D4C">
      <w:pPr>
        <w:pStyle w:val="17"/>
        <w:tabs>
          <w:tab w:val="right" w:leader="dot" w:pos="8845"/>
        </w:tabs>
      </w:pPr>
      <w:r>
        <w:rPr>
          <w:rFonts w:cs="Calibri"/>
          <w:szCs w:val="20"/>
          <w:lang w:eastAsia="zh-CN"/>
        </w:rPr>
        <w:fldChar w:fldCharType="begin"/>
      </w:r>
      <w:r>
        <w:rPr>
          <w:rFonts w:cs="Calibri"/>
          <w:szCs w:val="20"/>
          <w:lang w:eastAsia="zh-CN"/>
        </w:rPr>
        <w:instrText xml:space="preserve"> HYPERLINK \l _Toc15975 </w:instrText>
      </w:r>
      <w:r>
        <w:rPr>
          <w:rFonts w:cs="Calibri"/>
          <w:szCs w:val="20"/>
          <w:lang w:eastAsia="zh-CN"/>
        </w:rPr>
        <w:fldChar w:fldCharType="separate"/>
      </w:r>
      <w:r>
        <w:rPr>
          <w:rFonts w:ascii="宋体" w:hAnsi="宋体" w:eastAsia="宋体"/>
          <w:szCs w:val="21"/>
          <w:lang w:eastAsia="zh-CN"/>
        </w:rPr>
        <w:t>3.评审程序</w:t>
      </w:r>
      <w:r>
        <w:tab/>
      </w:r>
      <w:r>
        <w:fldChar w:fldCharType="begin"/>
      </w:r>
      <w:r>
        <w:instrText xml:space="preserve"> PAGEREF _Toc15975 \h </w:instrText>
      </w:r>
      <w:r>
        <w:fldChar w:fldCharType="separate"/>
      </w:r>
      <w:r>
        <w:t>38</w:t>
      </w:r>
      <w:r>
        <w:fldChar w:fldCharType="end"/>
      </w:r>
      <w:r>
        <w:rPr>
          <w:rFonts w:cs="Calibri"/>
          <w:szCs w:val="20"/>
          <w:lang w:eastAsia="zh-CN"/>
        </w:rPr>
        <w:fldChar w:fldCharType="end"/>
      </w:r>
    </w:p>
    <w:p w14:paraId="5A92589C">
      <w:pPr>
        <w:pStyle w:val="16"/>
        <w:tabs>
          <w:tab w:val="right" w:leader="dot" w:pos="8845"/>
        </w:tabs>
      </w:pPr>
      <w:r>
        <w:rPr>
          <w:rFonts w:cs="Calibri"/>
          <w:szCs w:val="20"/>
          <w:lang w:eastAsia="zh-CN"/>
        </w:rPr>
        <w:fldChar w:fldCharType="begin"/>
      </w:r>
      <w:r>
        <w:rPr>
          <w:rFonts w:cs="Calibri"/>
          <w:szCs w:val="20"/>
          <w:lang w:eastAsia="zh-CN"/>
        </w:rPr>
        <w:instrText xml:space="preserve"> HYPERLINK \l _Toc18697 </w:instrText>
      </w:r>
      <w:r>
        <w:rPr>
          <w:rFonts w:cs="Calibri"/>
          <w:szCs w:val="20"/>
          <w:lang w:eastAsia="zh-CN"/>
        </w:rPr>
        <w:fldChar w:fldCharType="separate"/>
      </w:r>
      <w:r>
        <w:rPr>
          <w:rFonts w:hint="eastAsia" w:ascii="宋体" w:hAnsi="宋体" w:eastAsia="宋体"/>
          <w:bCs/>
          <w:kern w:val="44"/>
          <w:szCs w:val="44"/>
          <w:highlight w:val="none"/>
          <w:lang w:val="en-US" w:eastAsia="zh-CN"/>
        </w:rPr>
        <w:t xml:space="preserve">第五章 </w:t>
      </w:r>
      <w:r>
        <w:rPr>
          <w:rFonts w:hint="eastAsia" w:ascii="宋体" w:hAnsi="宋体" w:eastAsia="宋体"/>
          <w:bCs/>
          <w:kern w:val="44"/>
          <w:szCs w:val="44"/>
          <w:highlight w:val="none"/>
          <w:lang w:eastAsia="zh-CN"/>
        </w:rPr>
        <w:t>采购内容及技术要求</w:t>
      </w:r>
      <w:r>
        <w:tab/>
      </w:r>
      <w:r>
        <w:fldChar w:fldCharType="begin"/>
      </w:r>
      <w:r>
        <w:instrText xml:space="preserve"> PAGEREF _Toc18697 \h </w:instrText>
      </w:r>
      <w:r>
        <w:fldChar w:fldCharType="separate"/>
      </w:r>
      <w:r>
        <w:t>39</w:t>
      </w:r>
      <w:r>
        <w:fldChar w:fldCharType="end"/>
      </w:r>
      <w:r>
        <w:rPr>
          <w:rFonts w:cs="Calibri"/>
          <w:szCs w:val="20"/>
          <w:lang w:eastAsia="zh-CN"/>
        </w:rPr>
        <w:fldChar w:fldCharType="end"/>
      </w:r>
    </w:p>
    <w:p w14:paraId="0C75BA74">
      <w:pPr>
        <w:pStyle w:val="16"/>
        <w:tabs>
          <w:tab w:val="right" w:leader="dot" w:pos="8845"/>
        </w:tabs>
      </w:pPr>
      <w:r>
        <w:rPr>
          <w:rFonts w:cs="Calibri"/>
          <w:szCs w:val="20"/>
          <w:lang w:eastAsia="zh-CN"/>
        </w:rPr>
        <w:fldChar w:fldCharType="begin"/>
      </w:r>
      <w:r>
        <w:rPr>
          <w:rFonts w:cs="Calibri"/>
          <w:szCs w:val="20"/>
          <w:lang w:eastAsia="zh-CN"/>
        </w:rPr>
        <w:instrText xml:space="preserve"> HYPERLINK \l _Toc14685 </w:instrText>
      </w:r>
      <w:r>
        <w:rPr>
          <w:rFonts w:cs="Calibri"/>
          <w:szCs w:val="20"/>
          <w:lang w:eastAsia="zh-CN"/>
        </w:rPr>
        <w:fldChar w:fldCharType="separate"/>
      </w:r>
      <w:r>
        <w:rPr>
          <w:rFonts w:hint="eastAsia" w:ascii="宋体" w:hAnsi="宋体"/>
          <w:bCs/>
          <w:kern w:val="44"/>
          <w:szCs w:val="44"/>
          <w:lang w:eastAsia="zh-CN"/>
        </w:rPr>
        <w:t xml:space="preserve">第六章 </w:t>
      </w:r>
      <w:r>
        <w:rPr>
          <w:rFonts w:ascii="宋体" w:hAnsi="宋体"/>
          <w:szCs w:val="32"/>
          <w:lang w:eastAsia="zh-CN"/>
        </w:rPr>
        <w:t>响应文件格式</w:t>
      </w:r>
      <w:r>
        <w:tab/>
      </w:r>
      <w:r>
        <w:fldChar w:fldCharType="begin"/>
      </w:r>
      <w:r>
        <w:instrText xml:space="preserve"> PAGEREF _Toc14685 \h </w:instrText>
      </w:r>
      <w:r>
        <w:fldChar w:fldCharType="separate"/>
      </w:r>
      <w:r>
        <w:t>40</w:t>
      </w:r>
      <w:r>
        <w:fldChar w:fldCharType="end"/>
      </w:r>
      <w:r>
        <w:rPr>
          <w:rFonts w:cs="Calibri"/>
          <w:szCs w:val="20"/>
          <w:lang w:eastAsia="zh-CN"/>
        </w:rPr>
        <w:fldChar w:fldCharType="end"/>
      </w:r>
    </w:p>
    <w:p w14:paraId="6F1E0F36">
      <w:pPr>
        <w:pStyle w:val="11"/>
        <w:tabs>
          <w:tab w:val="right" w:leader="dot" w:pos="8845"/>
        </w:tabs>
      </w:pPr>
      <w:r>
        <w:rPr>
          <w:rFonts w:cs="Calibri"/>
          <w:szCs w:val="20"/>
          <w:lang w:eastAsia="zh-CN"/>
        </w:rPr>
        <w:fldChar w:fldCharType="begin"/>
      </w:r>
      <w:r>
        <w:rPr>
          <w:rFonts w:cs="Calibri"/>
          <w:szCs w:val="20"/>
          <w:lang w:eastAsia="zh-CN"/>
        </w:rPr>
        <w:instrText xml:space="preserve"> HYPERLINK \l _Toc22822 </w:instrText>
      </w:r>
      <w:r>
        <w:rPr>
          <w:rFonts w:cs="Calibri"/>
          <w:szCs w:val="20"/>
          <w:lang w:eastAsia="zh-CN"/>
        </w:rPr>
        <w:fldChar w:fldCharType="separate"/>
      </w:r>
      <w:r>
        <w:rPr>
          <w:rFonts w:hint="eastAsia"/>
          <w:lang w:eastAsia="zh-CN"/>
        </w:rPr>
        <w:t>1.周口市公共资源交易信用承诺书</w:t>
      </w:r>
      <w:r>
        <w:tab/>
      </w:r>
      <w:r>
        <w:fldChar w:fldCharType="begin"/>
      </w:r>
      <w:r>
        <w:instrText xml:space="preserve"> PAGEREF _Toc22822 \h </w:instrText>
      </w:r>
      <w:r>
        <w:fldChar w:fldCharType="separate"/>
      </w:r>
      <w:r>
        <w:t>42</w:t>
      </w:r>
      <w:r>
        <w:fldChar w:fldCharType="end"/>
      </w:r>
      <w:r>
        <w:rPr>
          <w:rFonts w:cs="Calibri"/>
          <w:szCs w:val="20"/>
          <w:lang w:eastAsia="zh-CN"/>
        </w:rPr>
        <w:fldChar w:fldCharType="end"/>
      </w:r>
    </w:p>
    <w:p w14:paraId="34F22BDE">
      <w:pPr>
        <w:pStyle w:val="11"/>
        <w:tabs>
          <w:tab w:val="right" w:leader="dot" w:pos="8845"/>
        </w:tabs>
      </w:pPr>
      <w:r>
        <w:rPr>
          <w:rFonts w:cs="Calibri"/>
          <w:szCs w:val="20"/>
          <w:lang w:eastAsia="zh-CN"/>
        </w:rPr>
        <w:fldChar w:fldCharType="begin"/>
      </w:r>
      <w:r>
        <w:rPr>
          <w:rFonts w:cs="Calibri"/>
          <w:szCs w:val="20"/>
          <w:lang w:eastAsia="zh-CN"/>
        </w:rPr>
        <w:instrText xml:space="preserve"> HYPERLINK \l _Toc815 </w:instrText>
      </w:r>
      <w:r>
        <w:rPr>
          <w:rFonts w:cs="Calibri"/>
          <w:szCs w:val="20"/>
          <w:lang w:eastAsia="zh-CN"/>
        </w:rPr>
        <w:fldChar w:fldCharType="separate"/>
      </w:r>
      <w:r>
        <w:rPr>
          <w:rFonts w:hint="eastAsia"/>
          <w:lang w:eastAsia="zh-CN"/>
        </w:rPr>
        <w:t>2.招标代理服务费承诺函</w:t>
      </w:r>
      <w:r>
        <w:tab/>
      </w:r>
      <w:r>
        <w:fldChar w:fldCharType="begin"/>
      </w:r>
      <w:r>
        <w:instrText xml:space="preserve"> PAGEREF _Toc815 \h </w:instrText>
      </w:r>
      <w:r>
        <w:fldChar w:fldCharType="separate"/>
      </w:r>
      <w:r>
        <w:t>43</w:t>
      </w:r>
      <w:r>
        <w:fldChar w:fldCharType="end"/>
      </w:r>
      <w:r>
        <w:rPr>
          <w:rFonts w:cs="Calibri"/>
          <w:szCs w:val="20"/>
          <w:lang w:eastAsia="zh-CN"/>
        </w:rPr>
        <w:fldChar w:fldCharType="end"/>
      </w:r>
    </w:p>
    <w:p w14:paraId="0115B6B8">
      <w:pPr>
        <w:pStyle w:val="11"/>
        <w:tabs>
          <w:tab w:val="right" w:leader="dot" w:pos="8845"/>
        </w:tabs>
      </w:pPr>
      <w:r>
        <w:rPr>
          <w:rFonts w:cs="Calibri"/>
          <w:szCs w:val="20"/>
          <w:lang w:eastAsia="zh-CN"/>
        </w:rPr>
        <w:fldChar w:fldCharType="begin"/>
      </w:r>
      <w:r>
        <w:rPr>
          <w:rFonts w:cs="Calibri"/>
          <w:szCs w:val="20"/>
          <w:lang w:eastAsia="zh-CN"/>
        </w:rPr>
        <w:instrText xml:space="preserve"> HYPERLINK \l _Toc5585 </w:instrText>
      </w:r>
      <w:r>
        <w:rPr>
          <w:rFonts w:cs="Calibri"/>
          <w:szCs w:val="20"/>
          <w:lang w:eastAsia="zh-CN"/>
        </w:rPr>
        <w:fldChar w:fldCharType="separate"/>
      </w:r>
      <w:r>
        <w:rPr>
          <w:rFonts w:hint="eastAsia"/>
          <w:lang w:eastAsia="zh-CN"/>
        </w:rPr>
        <w:t>3.</w:t>
      </w:r>
      <w:r>
        <w:rPr>
          <w:lang w:eastAsia="zh-CN"/>
        </w:rPr>
        <w:t>报价函</w:t>
      </w:r>
      <w:r>
        <w:tab/>
      </w:r>
      <w:r>
        <w:fldChar w:fldCharType="begin"/>
      </w:r>
      <w:r>
        <w:instrText xml:space="preserve"> PAGEREF _Toc5585 \h </w:instrText>
      </w:r>
      <w:r>
        <w:fldChar w:fldCharType="separate"/>
      </w:r>
      <w:r>
        <w:t>44</w:t>
      </w:r>
      <w:r>
        <w:fldChar w:fldCharType="end"/>
      </w:r>
      <w:r>
        <w:rPr>
          <w:rFonts w:cs="Calibri"/>
          <w:szCs w:val="20"/>
          <w:lang w:eastAsia="zh-CN"/>
        </w:rPr>
        <w:fldChar w:fldCharType="end"/>
      </w:r>
    </w:p>
    <w:p w14:paraId="2E620CB2">
      <w:pPr>
        <w:pStyle w:val="11"/>
        <w:tabs>
          <w:tab w:val="right" w:leader="dot" w:pos="8845"/>
        </w:tabs>
      </w:pPr>
      <w:r>
        <w:rPr>
          <w:rFonts w:cs="Calibri"/>
          <w:szCs w:val="20"/>
          <w:lang w:eastAsia="zh-CN"/>
        </w:rPr>
        <w:fldChar w:fldCharType="begin"/>
      </w:r>
      <w:r>
        <w:rPr>
          <w:rFonts w:cs="Calibri"/>
          <w:szCs w:val="20"/>
          <w:lang w:eastAsia="zh-CN"/>
        </w:rPr>
        <w:instrText xml:space="preserve"> HYPERLINK \l _Toc25831 </w:instrText>
      </w:r>
      <w:r>
        <w:rPr>
          <w:rFonts w:cs="Calibri"/>
          <w:szCs w:val="20"/>
          <w:lang w:eastAsia="zh-CN"/>
        </w:rPr>
        <w:fldChar w:fldCharType="separate"/>
      </w:r>
      <w:r>
        <w:rPr>
          <w:rFonts w:hint="eastAsia"/>
          <w:lang w:eastAsia="zh-CN"/>
        </w:rPr>
        <w:t>4.</w:t>
      </w:r>
      <w:r>
        <w:rPr>
          <w:lang w:eastAsia="zh-CN"/>
        </w:rPr>
        <w:t>法定代表人身份证明及授权委托书</w:t>
      </w:r>
      <w:r>
        <w:tab/>
      </w:r>
      <w:r>
        <w:fldChar w:fldCharType="begin"/>
      </w:r>
      <w:r>
        <w:instrText xml:space="preserve"> PAGEREF _Toc25831 \h </w:instrText>
      </w:r>
      <w:r>
        <w:fldChar w:fldCharType="separate"/>
      </w:r>
      <w:r>
        <w:t>45</w:t>
      </w:r>
      <w:r>
        <w:fldChar w:fldCharType="end"/>
      </w:r>
      <w:r>
        <w:rPr>
          <w:rFonts w:cs="Calibri"/>
          <w:szCs w:val="20"/>
          <w:lang w:eastAsia="zh-CN"/>
        </w:rPr>
        <w:fldChar w:fldCharType="end"/>
      </w:r>
    </w:p>
    <w:p w14:paraId="34B9F166">
      <w:pPr>
        <w:pStyle w:val="11"/>
        <w:tabs>
          <w:tab w:val="right" w:leader="dot" w:pos="8845"/>
        </w:tabs>
      </w:pPr>
      <w:r>
        <w:rPr>
          <w:rFonts w:cs="Calibri"/>
          <w:szCs w:val="20"/>
          <w:lang w:eastAsia="zh-CN"/>
        </w:rPr>
        <w:fldChar w:fldCharType="begin"/>
      </w:r>
      <w:r>
        <w:rPr>
          <w:rFonts w:cs="Calibri"/>
          <w:szCs w:val="20"/>
          <w:lang w:eastAsia="zh-CN"/>
        </w:rPr>
        <w:instrText xml:space="preserve"> HYPERLINK \l _Toc30501 </w:instrText>
      </w:r>
      <w:r>
        <w:rPr>
          <w:rFonts w:cs="Calibri"/>
          <w:szCs w:val="20"/>
          <w:lang w:eastAsia="zh-CN"/>
        </w:rPr>
        <w:fldChar w:fldCharType="separate"/>
      </w:r>
      <w:r>
        <w:rPr>
          <w:rFonts w:hint="eastAsia" w:ascii="Times New Roman" w:hAnsi="Times New Roman"/>
          <w:kern w:val="2"/>
          <w:lang w:eastAsia="zh-CN"/>
        </w:rPr>
        <w:t>5.竞争性磋商报价表格</w:t>
      </w:r>
      <w:r>
        <w:tab/>
      </w:r>
      <w:r>
        <w:fldChar w:fldCharType="begin"/>
      </w:r>
      <w:r>
        <w:instrText xml:space="preserve"> PAGEREF _Toc30501 \h </w:instrText>
      </w:r>
      <w:r>
        <w:fldChar w:fldCharType="separate"/>
      </w:r>
      <w:r>
        <w:t>47</w:t>
      </w:r>
      <w:r>
        <w:fldChar w:fldCharType="end"/>
      </w:r>
      <w:r>
        <w:rPr>
          <w:rFonts w:cs="Calibri"/>
          <w:szCs w:val="20"/>
          <w:lang w:eastAsia="zh-CN"/>
        </w:rPr>
        <w:fldChar w:fldCharType="end"/>
      </w:r>
    </w:p>
    <w:p w14:paraId="2EB1E038">
      <w:pPr>
        <w:pStyle w:val="11"/>
        <w:tabs>
          <w:tab w:val="right" w:leader="dot" w:pos="8845"/>
        </w:tabs>
      </w:pPr>
      <w:r>
        <w:rPr>
          <w:rFonts w:cs="Calibri"/>
          <w:szCs w:val="20"/>
          <w:lang w:eastAsia="zh-CN"/>
        </w:rPr>
        <w:fldChar w:fldCharType="begin"/>
      </w:r>
      <w:r>
        <w:rPr>
          <w:rFonts w:cs="Calibri"/>
          <w:szCs w:val="20"/>
          <w:lang w:eastAsia="zh-CN"/>
        </w:rPr>
        <w:instrText xml:space="preserve"> HYPERLINK \l _Toc17560 </w:instrText>
      </w:r>
      <w:r>
        <w:rPr>
          <w:rFonts w:cs="Calibri"/>
          <w:szCs w:val="20"/>
          <w:lang w:eastAsia="zh-CN"/>
        </w:rPr>
        <w:fldChar w:fldCharType="separate"/>
      </w:r>
      <w:r>
        <w:rPr>
          <w:rFonts w:hint="eastAsia"/>
          <w:lang w:eastAsia="zh-CN"/>
        </w:rPr>
        <w:t>6.</w:t>
      </w:r>
      <w:r>
        <w:rPr>
          <w:lang w:eastAsia="zh-CN"/>
        </w:rPr>
        <w:t>资格审查资料</w:t>
      </w:r>
      <w:r>
        <w:tab/>
      </w:r>
      <w:r>
        <w:fldChar w:fldCharType="begin"/>
      </w:r>
      <w:r>
        <w:instrText xml:space="preserve"> PAGEREF _Toc17560 \h </w:instrText>
      </w:r>
      <w:r>
        <w:fldChar w:fldCharType="separate"/>
      </w:r>
      <w:r>
        <w:t>48</w:t>
      </w:r>
      <w:r>
        <w:fldChar w:fldCharType="end"/>
      </w:r>
      <w:r>
        <w:rPr>
          <w:rFonts w:cs="Calibri"/>
          <w:szCs w:val="20"/>
          <w:lang w:eastAsia="zh-CN"/>
        </w:rPr>
        <w:fldChar w:fldCharType="end"/>
      </w:r>
    </w:p>
    <w:p w14:paraId="4481DC69">
      <w:pPr>
        <w:pStyle w:val="11"/>
        <w:tabs>
          <w:tab w:val="right" w:leader="dot" w:pos="8845"/>
        </w:tabs>
      </w:pPr>
      <w:r>
        <w:rPr>
          <w:rFonts w:cs="Calibri"/>
          <w:szCs w:val="20"/>
          <w:lang w:eastAsia="zh-CN"/>
        </w:rPr>
        <w:fldChar w:fldCharType="begin"/>
      </w:r>
      <w:r>
        <w:rPr>
          <w:rFonts w:cs="Calibri"/>
          <w:szCs w:val="20"/>
          <w:lang w:eastAsia="zh-CN"/>
        </w:rPr>
        <w:instrText xml:space="preserve"> HYPERLINK \l _Toc1961 </w:instrText>
      </w:r>
      <w:r>
        <w:rPr>
          <w:rFonts w:cs="Calibri"/>
          <w:szCs w:val="20"/>
          <w:lang w:eastAsia="zh-CN"/>
        </w:rPr>
        <w:fldChar w:fldCharType="separate"/>
      </w:r>
      <w:r>
        <w:rPr>
          <w:rFonts w:hint="eastAsia"/>
          <w:lang w:eastAsia="zh-CN"/>
        </w:rPr>
        <w:t>7.</w:t>
      </w:r>
      <w:r>
        <w:rPr>
          <w:rFonts w:hint="eastAsia"/>
          <w:lang w:val="en-US" w:eastAsia="zh-CN"/>
        </w:rPr>
        <w:t>商务部分（格式自拟）</w:t>
      </w:r>
      <w:r>
        <w:tab/>
      </w:r>
      <w:r>
        <w:fldChar w:fldCharType="begin"/>
      </w:r>
      <w:r>
        <w:instrText xml:space="preserve"> PAGEREF _Toc1961 \h </w:instrText>
      </w:r>
      <w:r>
        <w:fldChar w:fldCharType="separate"/>
      </w:r>
      <w:r>
        <w:t>51</w:t>
      </w:r>
      <w:r>
        <w:fldChar w:fldCharType="end"/>
      </w:r>
      <w:r>
        <w:rPr>
          <w:rFonts w:cs="Calibri"/>
          <w:szCs w:val="20"/>
          <w:lang w:eastAsia="zh-CN"/>
        </w:rPr>
        <w:fldChar w:fldCharType="end"/>
      </w:r>
    </w:p>
    <w:p w14:paraId="1D4AA3E8">
      <w:pPr>
        <w:pStyle w:val="11"/>
        <w:tabs>
          <w:tab w:val="right" w:leader="dot" w:pos="8845"/>
        </w:tabs>
      </w:pPr>
      <w:r>
        <w:rPr>
          <w:rFonts w:cs="Calibri"/>
          <w:szCs w:val="20"/>
          <w:lang w:eastAsia="zh-CN"/>
        </w:rPr>
        <w:fldChar w:fldCharType="begin"/>
      </w:r>
      <w:r>
        <w:rPr>
          <w:rFonts w:cs="Calibri"/>
          <w:szCs w:val="20"/>
          <w:lang w:eastAsia="zh-CN"/>
        </w:rPr>
        <w:instrText xml:space="preserve"> HYPERLINK \l _Toc21612 </w:instrText>
      </w:r>
      <w:r>
        <w:rPr>
          <w:rFonts w:cs="Calibri"/>
          <w:szCs w:val="20"/>
          <w:lang w:eastAsia="zh-CN"/>
        </w:rPr>
        <w:fldChar w:fldCharType="separate"/>
      </w:r>
      <w:r>
        <w:rPr>
          <w:rFonts w:hint="eastAsia" w:eastAsia="宋体"/>
          <w:lang w:val="en-US" w:eastAsia="zh-CN"/>
        </w:rPr>
        <w:t>8.技术部分（格式自拟）</w:t>
      </w:r>
      <w:r>
        <w:tab/>
      </w:r>
      <w:r>
        <w:fldChar w:fldCharType="begin"/>
      </w:r>
      <w:r>
        <w:instrText xml:space="preserve"> PAGEREF _Toc21612 \h </w:instrText>
      </w:r>
      <w:r>
        <w:fldChar w:fldCharType="separate"/>
      </w:r>
      <w:r>
        <w:t>51</w:t>
      </w:r>
      <w:r>
        <w:fldChar w:fldCharType="end"/>
      </w:r>
      <w:r>
        <w:rPr>
          <w:rFonts w:cs="Calibri"/>
          <w:szCs w:val="20"/>
          <w:lang w:eastAsia="zh-CN"/>
        </w:rPr>
        <w:fldChar w:fldCharType="end"/>
      </w:r>
    </w:p>
    <w:p w14:paraId="54EF676A">
      <w:pPr>
        <w:pStyle w:val="11"/>
        <w:tabs>
          <w:tab w:val="right" w:leader="dot" w:pos="8845"/>
        </w:tabs>
      </w:pPr>
      <w:r>
        <w:rPr>
          <w:rFonts w:cs="Calibri"/>
          <w:szCs w:val="20"/>
          <w:lang w:eastAsia="zh-CN"/>
        </w:rPr>
        <w:fldChar w:fldCharType="begin"/>
      </w:r>
      <w:r>
        <w:rPr>
          <w:rFonts w:cs="Calibri"/>
          <w:szCs w:val="20"/>
          <w:lang w:eastAsia="zh-CN"/>
        </w:rPr>
        <w:instrText xml:space="preserve"> HYPERLINK \l _Toc9134 </w:instrText>
      </w:r>
      <w:r>
        <w:rPr>
          <w:rFonts w:cs="Calibri"/>
          <w:szCs w:val="20"/>
          <w:lang w:eastAsia="zh-CN"/>
        </w:rPr>
        <w:fldChar w:fldCharType="separate"/>
      </w:r>
      <w:r>
        <w:rPr>
          <w:rFonts w:hint="eastAsia"/>
          <w:lang w:val="en-US" w:eastAsia="zh-CN"/>
        </w:rPr>
        <w:t>9</w:t>
      </w:r>
      <w:r>
        <w:rPr>
          <w:rFonts w:hint="eastAsia"/>
          <w:lang w:eastAsia="zh-CN"/>
        </w:rPr>
        <w:t>.</w:t>
      </w:r>
      <w:r>
        <w:rPr>
          <w:lang w:eastAsia="zh-CN"/>
        </w:rPr>
        <w:t>反商业贿赂承诺书</w:t>
      </w:r>
      <w:r>
        <w:tab/>
      </w:r>
      <w:r>
        <w:fldChar w:fldCharType="begin"/>
      </w:r>
      <w:r>
        <w:instrText xml:space="preserve"> PAGEREF _Toc9134 \h </w:instrText>
      </w:r>
      <w:r>
        <w:fldChar w:fldCharType="separate"/>
      </w:r>
      <w:r>
        <w:t>52</w:t>
      </w:r>
      <w:r>
        <w:fldChar w:fldCharType="end"/>
      </w:r>
      <w:r>
        <w:rPr>
          <w:rFonts w:cs="Calibri"/>
          <w:szCs w:val="20"/>
          <w:lang w:eastAsia="zh-CN"/>
        </w:rPr>
        <w:fldChar w:fldCharType="end"/>
      </w:r>
    </w:p>
    <w:p w14:paraId="2C888A0A">
      <w:pPr>
        <w:pStyle w:val="11"/>
        <w:tabs>
          <w:tab w:val="right" w:leader="dot" w:pos="8845"/>
        </w:tabs>
      </w:pPr>
      <w:r>
        <w:rPr>
          <w:rFonts w:cs="Calibri"/>
          <w:szCs w:val="20"/>
          <w:lang w:eastAsia="zh-CN"/>
        </w:rPr>
        <w:fldChar w:fldCharType="begin"/>
      </w:r>
      <w:r>
        <w:rPr>
          <w:rFonts w:cs="Calibri"/>
          <w:szCs w:val="20"/>
          <w:lang w:eastAsia="zh-CN"/>
        </w:rPr>
        <w:instrText xml:space="preserve"> HYPERLINK \l _Toc28406 </w:instrText>
      </w:r>
      <w:r>
        <w:rPr>
          <w:rFonts w:cs="Calibri"/>
          <w:szCs w:val="20"/>
          <w:lang w:eastAsia="zh-CN"/>
        </w:rPr>
        <w:fldChar w:fldCharType="separate"/>
      </w:r>
      <w:r>
        <w:rPr>
          <w:rFonts w:hint="eastAsia" w:ascii="Calibri" w:hAnsi="Calibri"/>
          <w:kern w:val="0"/>
          <w:lang w:eastAsia="zh-CN"/>
        </w:rPr>
        <w:t>1</w:t>
      </w:r>
      <w:r>
        <w:rPr>
          <w:rFonts w:hint="eastAsia" w:ascii="Calibri" w:hAnsi="Calibri"/>
          <w:kern w:val="0"/>
          <w:lang w:val="en-US" w:eastAsia="zh-CN"/>
        </w:rPr>
        <w:t>0</w:t>
      </w:r>
      <w:r>
        <w:rPr>
          <w:rFonts w:hint="eastAsia" w:ascii="Calibri" w:hAnsi="Calibri"/>
          <w:kern w:val="0"/>
          <w:lang w:eastAsia="zh-CN"/>
        </w:rPr>
        <w:t>.响应单位认为有必要提供</w:t>
      </w:r>
      <w:r>
        <w:rPr>
          <w:rFonts w:ascii="Calibri" w:hAnsi="Calibri"/>
          <w:kern w:val="0"/>
          <w:lang w:eastAsia="zh-CN"/>
        </w:rPr>
        <w:t>的其他材料</w:t>
      </w:r>
      <w:r>
        <w:tab/>
      </w:r>
      <w:r>
        <w:fldChar w:fldCharType="begin"/>
      </w:r>
      <w:r>
        <w:instrText xml:space="preserve"> PAGEREF _Toc28406 \h </w:instrText>
      </w:r>
      <w:r>
        <w:fldChar w:fldCharType="separate"/>
      </w:r>
      <w:r>
        <w:t>53</w:t>
      </w:r>
      <w:r>
        <w:fldChar w:fldCharType="end"/>
      </w:r>
      <w:r>
        <w:rPr>
          <w:rFonts w:cs="Calibri"/>
          <w:szCs w:val="20"/>
          <w:lang w:eastAsia="zh-CN"/>
        </w:rPr>
        <w:fldChar w:fldCharType="end"/>
      </w:r>
    </w:p>
    <w:p w14:paraId="4C8EB331">
      <w:pPr>
        <w:pStyle w:val="11"/>
        <w:tabs>
          <w:tab w:val="right" w:leader="dot" w:pos="8845"/>
        </w:tabs>
      </w:pPr>
      <w:r>
        <w:rPr>
          <w:rFonts w:cs="Calibri"/>
          <w:szCs w:val="20"/>
          <w:lang w:eastAsia="zh-CN"/>
        </w:rPr>
        <w:fldChar w:fldCharType="begin"/>
      </w:r>
      <w:r>
        <w:rPr>
          <w:rFonts w:cs="Calibri"/>
          <w:szCs w:val="20"/>
          <w:lang w:eastAsia="zh-CN"/>
        </w:rPr>
        <w:instrText xml:space="preserve"> HYPERLINK \l _Toc5343 </w:instrText>
      </w:r>
      <w:r>
        <w:rPr>
          <w:rFonts w:cs="Calibri"/>
          <w:szCs w:val="20"/>
          <w:lang w:eastAsia="zh-CN"/>
        </w:rPr>
        <w:fldChar w:fldCharType="separate"/>
      </w:r>
      <w:r>
        <w:rPr>
          <w:rFonts w:hint="eastAsia" w:ascii="Calibri" w:hAnsi="Calibri" w:eastAsia="宋体" w:cs="黑体"/>
          <w:szCs w:val="22"/>
          <w:lang w:val="en-US" w:eastAsia="zh-CN"/>
        </w:rPr>
        <w:t>11</w:t>
      </w:r>
      <w:r>
        <w:rPr>
          <w:rFonts w:hint="eastAsia" w:ascii="Calibri" w:hAnsi="Calibri" w:eastAsia="宋体" w:cs="黑体"/>
          <w:szCs w:val="22"/>
          <w:lang w:eastAsia="zh-CN"/>
        </w:rPr>
        <w:t>.残疾人福利性单位声明函（如有）</w:t>
      </w:r>
      <w:r>
        <w:tab/>
      </w:r>
      <w:r>
        <w:fldChar w:fldCharType="begin"/>
      </w:r>
      <w:r>
        <w:instrText xml:space="preserve"> PAGEREF _Toc5343 \h </w:instrText>
      </w:r>
      <w:r>
        <w:fldChar w:fldCharType="separate"/>
      </w:r>
      <w:r>
        <w:t>54</w:t>
      </w:r>
      <w:r>
        <w:fldChar w:fldCharType="end"/>
      </w:r>
      <w:r>
        <w:rPr>
          <w:rFonts w:cs="Calibri"/>
          <w:szCs w:val="20"/>
          <w:lang w:eastAsia="zh-CN"/>
        </w:rPr>
        <w:fldChar w:fldCharType="end"/>
      </w:r>
    </w:p>
    <w:p w14:paraId="1991F1B3">
      <w:pPr>
        <w:pStyle w:val="11"/>
        <w:tabs>
          <w:tab w:val="right" w:leader="dot" w:pos="8845"/>
        </w:tabs>
      </w:pPr>
      <w:r>
        <w:rPr>
          <w:rFonts w:cs="Calibri"/>
          <w:szCs w:val="20"/>
          <w:lang w:eastAsia="zh-CN"/>
        </w:rPr>
        <w:fldChar w:fldCharType="begin"/>
      </w:r>
      <w:r>
        <w:rPr>
          <w:rFonts w:cs="Calibri"/>
          <w:szCs w:val="20"/>
          <w:lang w:eastAsia="zh-CN"/>
        </w:rPr>
        <w:instrText xml:space="preserve"> HYPERLINK \l _Toc13078 </w:instrText>
      </w:r>
      <w:r>
        <w:rPr>
          <w:rFonts w:cs="Calibri"/>
          <w:szCs w:val="20"/>
          <w:lang w:eastAsia="zh-CN"/>
        </w:rPr>
        <w:fldChar w:fldCharType="separate"/>
      </w:r>
      <w:r>
        <w:rPr>
          <w:rFonts w:hint="eastAsia" w:ascii="Calibri" w:hAnsi="Calibri" w:cs="黑体"/>
          <w:kern w:val="0"/>
          <w:szCs w:val="22"/>
        </w:rPr>
        <w:t>1</w:t>
      </w:r>
      <w:r>
        <w:rPr>
          <w:rFonts w:hint="eastAsia" w:ascii="Calibri" w:hAnsi="Calibri" w:cs="黑体"/>
          <w:kern w:val="0"/>
          <w:szCs w:val="22"/>
          <w:lang w:val="en-US" w:eastAsia="zh-CN"/>
        </w:rPr>
        <w:t>2</w:t>
      </w:r>
      <w:r>
        <w:rPr>
          <w:rFonts w:hint="eastAsia" w:ascii="Calibri" w:hAnsi="Calibri" w:cs="黑体"/>
          <w:kern w:val="0"/>
          <w:szCs w:val="22"/>
        </w:rPr>
        <w:t>.监狱企业证明材料（如有）</w:t>
      </w:r>
      <w:r>
        <w:tab/>
      </w:r>
      <w:r>
        <w:fldChar w:fldCharType="begin"/>
      </w:r>
      <w:r>
        <w:instrText xml:space="preserve"> PAGEREF _Toc13078 \h </w:instrText>
      </w:r>
      <w:r>
        <w:fldChar w:fldCharType="separate"/>
      </w:r>
      <w:r>
        <w:t>55</w:t>
      </w:r>
      <w:r>
        <w:fldChar w:fldCharType="end"/>
      </w:r>
      <w:r>
        <w:rPr>
          <w:rFonts w:cs="Calibri"/>
          <w:szCs w:val="20"/>
          <w:lang w:eastAsia="zh-CN"/>
        </w:rPr>
        <w:fldChar w:fldCharType="end"/>
      </w:r>
    </w:p>
    <w:p w14:paraId="531BDB63">
      <w:pPr>
        <w:tabs>
          <w:tab w:val="right" w:leader="dot" w:pos="8647"/>
        </w:tabs>
        <w:ind w:right="101" w:rightChars="46"/>
        <w:rPr>
          <w:rFonts w:cs="Calibri"/>
          <w:szCs w:val="20"/>
          <w:lang w:eastAsia="zh-CN"/>
        </w:rPr>
      </w:pPr>
      <w:r>
        <w:rPr>
          <w:rFonts w:cs="Calibri"/>
          <w:szCs w:val="20"/>
          <w:lang w:eastAsia="zh-CN"/>
        </w:rPr>
        <w:fldChar w:fldCharType="end"/>
      </w:r>
    </w:p>
    <w:p w14:paraId="687EFC32">
      <w:pPr>
        <w:rPr>
          <w:lang w:eastAsia="zh-CN"/>
        </w:rPr>
      </w:pPr>
    </w:p>
    <w:p w14:paraId="23E3DBFA">
      <w:pPr>
        <w:rPr>
          <w:lang w:eastAsia="zh-CN"/>
        </w:rPr>
      </w:pPr>
    </w:p>
    <w:p w14:paraId="0DFBB731">
      <w:pPr>
        <w:rPr>
          <w:lang w:eastAsia="zh-CN"/>
        </w:rPr>
      </w:pPr>
    </w:p>
    <w:p w14:paraId="7D76AAEA">
      <w:pPr>
        <w:rPr>
          <w:lang w:eastAsia="zh-CN"/>
        </w:rPr>
      </w:pPr>
    </w:p>
    <w:p w14:paraId="2C5A56EC">
      <w:pPr>
        <w:rPr>
          <w:lang w:eastAsia="zh-CN"/>
        </w:rPr>
      </w:pPr>
    </w:p>
    <w:p w14:paraId="38749FD9">
      <w:pPr>
        <w:rPr>
          <w:lang w:eastAsia="zh-CN"/>
        </w:rPr>
      </w:pPr>
    </w:p>
    <w:p w14:paraId="196D0C95">
      <w:pPr>
        <w:tabs>
          <w:tab w:val="left" w:pos="5128"/>
        </w:tabs>
        <w:rPr>
          <w:lang w:eastAsia="zh-CN"/>
        </w:rPr>
        <w:sectPr>
          <w:footerReference r:id="rId7" w:type="first"/>
          <w:footerReference r:id="rId6" w:type="default"/>
          <w:pgSz w:w="11907" w:h="16460"/>
          <w:pgMar w:top="1757" w:right="1531" w:bottom="1531" w:left="1531" w:header="1134" w:footer="1077" w:gutter="0"/>
          <w:pgNumType w:start="1"/>
          <w:cols w:space="720" w:num="1"/>
        </w:sectPr>
      </w:pPr>
      <w:r>
        <w:rPr>
          <w:rFonts w:hint="eastAsia"/>
          <w:lang w:eastAsia="zh-CN"/>
        </w:rPr>
        <w:tab/>
      </w:r>
    </w:p>
    <w:p w14:paraId="28EF3DE6">
      <w:pPr>
        <w:pStyle w:val="2"/>
        <w:numPr>
          <w:ilvl w:val="0"/>
          <w:numId w:val="1"/>
        </w:numPr>
        <w:adjustRightInd w:val="0"/>
        <w:snapToGrid w:val="0"/>
        <w:spacing w:line="360" w:lineRule="auto"/>
        <w:ind w:left="0" w:firstLine="283" w:firstLineChars="88"/>
        <w:jc w:val="center"/>
        <w:rPr>
          <w:rFonts w:ascii="宋体" w:hAnsi="宋体" w:eastAsia="宋体"/>
          <w:b/>
          <w:sz w:val="32"/>
          <w:szCs w:val="32"/>
          <w:lang w:eastAsia="zh-CN"/>
        </w:rPr>
      </w:pPr>
      <w:r>
        <w:rPr>
          <w:rFonts w:hint="eastAsia" w:ascii="宋体" w:hAnsi="宋体" w:eastAsia="宋体"/>
          <w:b/>
          <w:sz w:val="32"/>
          <w:szCs w:val="32"/>
          <w:lang w:eastAsia="zh-CN"/>
        </w:rPr>
        <w:t xml:space="preserve"> </w:t>
      </w:r>
      <w:bookmarkStart w:id="0" w:name="_Toc18454"/>
      <w:bookmarkStart w:id="1" w:name="_Toc10886"/>
      <w:r>
        <w:rPr>
          <w:rFonts w:hint="eastAsia" w:ascii="宋体" w:hAnsi="宋体" w:eastAsia="宋体"/>
          <w:b/>
          <w:sz w:val="32"/>
          <w:szCs w:val="32"/>
          <w:lang w:eastAsia="zh-CN"/>
        </w:rPr>
        <w:t>竞争性磋商公告</w:t>
      </w:r>
      <w:bookmarkEnd w:id="0"/>
      <w:bookmarkEnd w:id="1"/>
    </w:p>
    <w:p w14:paraId="5A2F5B3F">
      <w:pPr>
        <w:adjustRightInd w:val="0"/>
        <w:snapToGrid w:val="0"/>
        <w:spacing w:line="360" w:lineRule="auto"/>
        <w:jc w:val="center"/>
        <w:rPr>
          <w:rFonts w:ascii="宋体" w:hAnsi="宋体"/>
          <w:b/>
          <w:sz w:val="32"/>
          <w:szCs w:val="32"/>
          <w:lang w:eastAsia="zh-CN"/>
        </w:rPr>
      </w:pPr>
      <w:r>
        <w:rPr>
          <w:rFonts w:hint="eastAsia" w:ascii="宋体" w:hAnsi="宋体"/>
          <w:b/>
          <w:sz w:val="32"/>
          <w:szCs w:val="32"/>
          <w:lang w:eastAsia="zh-CN"/>
        </w:rPr>
        <w:t>周口市交通运输局周口市“十五五”现代综合交通运输体系发展规划编制服务采购项目</w:t>
      </w:r>
      <w:r>
        <w:rPr>
          <w:rFonts w:hint="eastAsia" w:ascii="宋体" w:hAnsi="宋体"/>
          <w:b/>
          <w:sz w:val="32"/>
          <w:szCs w:val="32"/>
          <w:lang w:val="en-US" w:eastAsia="zh-CN"/>
        </w:rPr>
        <w:t>-</w:t>
      </w:r>
      <w:r>
        <w:rPr>
          <w:rFonts w:hint="eastAsia" w:ascii="宋体" w:hAnsi="宋体"/>
          <w:b/>
          <w:sz w:val="32"/>
          <w:szCs w:val="32"/>
          <w:lang w:eastAsia="zh-CN"/>
        </w:rPr>
        <w:t>竞争性磋商公告</w:t>
      </w:r>
    </w:p>
    <w:p w14:paraId="4BCAD687">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项目概况</w:t>
      </w:r>
    </w:p>
    <w:p w14:paraId="50767746">
      <w:pPr>
        <w:pStyle w:val="5"/>
        <w:keepNext w:val="0"/>
        <w:keepLines w:val="0"/>
        <w:pageBreakBefore w:val="0"/>
        <w:widowControl w:val="0"/>
        <w:kinsoku/>
        <w:wordWrap/>
        <w:overflowPunct/>
        <w:topLinePunct w:val="0"/>
        <w:autoSpaceDE/>
        <w:autoSpaceDN/>
        <w:bidi w:val="0"/>
        <w:spacing w:before="0" w:line="420" w:lineRule="exact"/>
        <w:ind w:left="0" w:leftChars="0" w:firstLine="420" w:firstLineChars="200"/>
        <w:jc w:val="both"/>
        <w:textAlignment w:val="auto"/>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1"/>
          <w:szCs w:val="21"/>
          <w:u w:val="single"/>
          <w:lang w:eastAsia="zh-CN"/>
        </w:rPr>
        <w:t>周口市交通运输局周口市“十五五”现代综合交通运输体系发展规划编制服务采购项目</w:t>
      </w:r>
      <w:r>
        <w:rPr>
          <w:rFonts w:hint="eastAsia" w:asciiTheme="minorEastAsia" w:hAnsiTheme="minorEastAsia" w:eastAsiaTheme="minorEastAsia" w:cstheme="minorEastAsia"/>
          <w:sz w:val="21"/>
          <w:szCs w:val="21"/>
          <w:u w:val="none"/>
          <w:lang w:val="en-US" w:eastAsia="zh-CN"/>
        </w:rPr>
        <w:t>的潜在投标人应在</w:t>
      </w:r>
      <w:r>
        <w:rPr>
          <w:rFonts w:hint="eastAsia" w:asciiTheme="minorEastAsia" w:hAnsiTheme="minorEastAsia" w:eastAsiaTheme="minorEastAsia" w:cstheme="minorEastAsia"/>
          <w:sz w:val="21"/>
          <w:szCs w:val="21"/>
          <w:u w:val="single"/>
          <w:lang w:val="en-US" w:eastAsia="zh-CN"/>
        </w:rPr>
        <w:t>周口市公共资源交易中心网（http://jyzx.zhoukou.gov.cn）</w:t>
      </w:r>
      <w:r>
        <w:rPr>
          <w:rFonts w:hint="eastAsia" w:asciiTheme="minorEastAsia" w:hAnsiTheme="minorEastAsia" w:eastAsiaTheme="minorEastAsia" w:cstheme="minorEastAsia"/>
          <w:sz w:val="21"/>
          <w:szCs w:val="21"/>
          <w:u w:val="none"/>
          <w:lang w:val="en-US" w:eastAsia="zh-CN"/>
        </w:rPr>
        <w:t>获取招标文件，并</w:t>
      </w:r>
      <w:r>
        <w:rPr>
          <w:rFonts w:hint="eastAsia" w:asciiTheme="minorEastAsia" w:hAnsiTheme="minorEastAsia" w:eastAsiaTheme="minorEastAsia" w:cstheme="minorEastAsia"/>
          <w:sz w:val="21"/>
          <w:szCs w:val="21"/>
          <w:highlight w:val="none"/>
          <w:u w:val="none"/>
          <w:lang w:val="en-US" w:eastAsia="zh-CN"/>
        </w:rPr>
        <w:t>于2026年5月12日10时00分（北京时间）前递</w:t>
      </w:r>
      <w:r>
        <w:rPr>
          <w:rFonts w:hint="eastAsia" w:asciiTheme="minorEastAsia" w:hAnsiTheme="minorEastAsia" w:eastAsiaTheme="minorEastAsia" w:cstheme="minorEastAsia"/>
          <w:sz w:val="21"/>
          <w:szCs w:val="21"/>
          <w:u w:val="none"/>
          <w:lang w:val="en-US" w:eastAsia="zh-CN"/>
        </w:rPr>
        <w:t>交响应</w:t>
      </w:r>
      <w:bookmarkStart w:id="157" w:name="_GoBack"/>
      <w:bookmarkEnd w:id="157"/>
      <w:r>
        <w:rPr>
          <w:rFonts w:hint="eastAsia" w:asciiTheme="minorEastAsia" w:hAnsiTheme="minorEastAsia" w:eastAsiaTheme="minorEastAsia" w:cstheme="minorEastAsia"/>
          <w:sz w:val="21"/>
          <w:szCs w:val="21"/>
          <w:u w:val="none"/>
          <w:lang w:val="en-US" w:eastAsia="zh-CN"/>
        </w:rPr>
        <w:t>文件。</w:t>
      </w:r>
    </w:p>
    <w:p w14:paraId="4691794B">
      <w:pPr>
        <w:pStyle w:val="5"/>
        <w:keepNext w:val="0"/>
        <w:keepLines w:val="0"/>
        <w:pageBreakBefore w:val="0"/>
        <w:widowControl w:val="0"/>
        <w:kinsoku/>
        <w:wordWrap/>
        <w:overflowPunct/>
        <w:topLinePunct w:val="0"/>
        <w:autoSpaceDE/>
        <w:autoSpaceDN/>
        <w:bidi w:val="0"/>
        <w:spacing w:before="0" w:line="420" w:lineRule="exact"/>
        <w:ind w:left="0" w:leftChars="0" w:firstLine="422" w:firstLineChars="200"/>
        <w:textAlignment w:val="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一、项目基本概况</w:t>
      </w:r>
    </w:p>
    <w:p w14:paraId="2BE66F33">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1、项目编号：</w:t>
      </w:r>
      <w:r>
        <w:rPr>
          <w:rFonts w:hint="eastAsia" w:asciiTheme="minorEastAsia" w:hAnsiTheme="minorEastAsia" w:eastAsiaTheme="minorEastAsia" w:cstheme="minorEastAsia"/>
          <w:sz w:val="21"/>
          <w:szCs w:val="21"/>
          <w:highlight w:val="none"/>
          <w:lang w:val="en-US" w:eastAsia="zh-CN"/>
        </w:rPr>
        <w:t>周财磋商采购-2026-47</w:t>
      </w:r>
    </w:p>
    <w:p w14:paraId="6A176E02">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2、项目名称：周口市交通运输局周口市“十五五”现代综合交通运输体系发展规划编制服务采购项目</w:t>
      </w:r>
    </w:p>
    <w:p w14:paraId="3AED9E47">
      <w:pPr>
        <w:keepNext w:val="0"/>
        <w:keepLines w:val="0"/>
        <w:pageBreakBefore w:val="0"/>
        <w:widowControl w:val="0"/>
        <w:tabs>
          <w:tab w:val="left" w:pos="6780"/>
        </w:tabs>
        <w:kinsoku/>
        <w:wordWrap/>
        <w:overflowPunct/>
        <w:topLinePunct w:val="0"/>
        <w:autoSpaceDE/>
        <w:autoSpaceDN/>
        <w:bidi w:val="0"/>
        <w:adjustRightInd w:val="0"/>
        <w:snapToGrid w:val="0"/>
        <w:spacing w:line="420" w:lineRule="exact"/>
        <w:ind w:left="0" w:leftChars="0" w:firstLine="420" w:firstLineChars="20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3、采购方式：竞争性磋商</w:t>
      </w:r>
    </w:p>
    <w:p w14:paraId="5C6D650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4、预算金额：</w:t>
      </w:r>
      <w:r>
        <w:rPr>
          <w:rFonts w:hint="eastAsia" w:asciiTheme="minorEastAsia" w:hAnsiTheme="minorEastAsia" w:eastAsiaTheme="minorEastAsia" w:cstheme="minorEastAsia"/>
          <w:sz w:val="21"/>
          <w:szCs w:val="21"/>
          <w:lang w:val="en-US" w:eastAsia="zh-CN"/>
        </w:rPr>
        <w:t>1500000</w:t>
      </w:r>
      <w:r>
        <w:rPr>
          <w:rFonts w:hint="eastAsia" w:asciiTheme="minorEastAsia" w:hAnsiTheme="minorEastAsia" w:eastAsiaTheme="minorEastAsia" w:cstheme="minorEastAsia"/>
          <w:sz w:val="21"/>
          <w:szCs w:val="21"/>
          <w:lang w:eastAsia="zh-CN"/>
        </w:rPr>
        <w:t>元</w:t>
      </w:r>
    </w:p>
    <w:p w14:paraId="4E18E0E1">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630" w:firstLineChars="30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最高限价：</w:t>
      </w:r>
      <w:r>
        <w:rPr>
          <w:rFonts w:hint="eastAsia" w:asciiTheme="minorEastAsia" w:hAnsiTheme="minorEastAsia" w:eastAsiaTheme="minorEastAsia" w:cstheme="minorEastAsia"/>
          <w:sz w:val="21"/>
          <w:szCs w:val="21"/>
          <w:lang w:val="en-US" w:eastAsia="zh-CN"/>
        </w:rPr>
        <w:t>1500000</w:t>
      </w:r>
      <w:r>
        <w:rPr>
          <w:rFonts w:hint="eastAsia" w:asciiTheme="minorEastAsia" w:hAnsiTheme="minorEastAsia" w:eastAsiaTheme="minorEastAsia" w:cstheme="minorEastAsia"/>
          <w:sz w:val="21"/>
          <w:szCs w:val="21"/>
          <w:lang w:eastAsia="zh-CN"/>
        </w:rPr>
        <w:t>元</w:t>
      </w:r>
    </w:p>
    <w:tbl>
      <w:tblPr>
        <w:tblStyle w:val="2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81"/>
        <w:gridCol w:w="4290"/>
        <w:gridCol w:w="1205"/>
        <w:gridCol w:w="1372"/>
      </w:tblGrid>
      <w:tr w14:paraId="661A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72" w:type="dxa"/>
            <w:noWrap w:val="0"/>
            <w:vAlign w:val="center"/>
          </w:tcPr>
          <w:p w14:paraId="4AEA592E">
            <w:pPr>
              <w:keepNext w:val="0"/>
              <w:keepLines w:val="0"/>
              <w:pageBreakBefore w:val="0"/>
              <w:widowControl w:val="0"/>
              <w:kinsoku/>
              <w:wordWrap/>
              <w:overflowPunct/>
              <w:topLinePunct w:val="0"/>
              <w:autoSpaceDE/>
              <w:autoSpaceDN/>
              <w:bidi w:val="0"/>
              <w:adjustRightInd/>
              <w:snapToGrid/>
              <w:spacing w:before="0" w:line="420" w:lineRule="exact"/>
              <w:jc w:val="center"/>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序号</w:t>
            </w:r>
          </w:p>
        </w:tc>
        <w:tc>
          <w:tcPr>
            <w:tcW w:w="1044" w:type="dxa"/>
            <w:noWrap w:val="0"/>
            <w:vAlign w:val="center"/>
          </w:tcPr>
          <w:p w14:paraId="7919EE78">
            <w:pPr>
              <w:keepNext w:val="0"/>
              <w:keepLines w:val="0"/>
              <w:pageBreakBefore w:val="0"/>
              <w:widowControl w:val="0"/>
              <w:kinsoku/>
              <w:wordWrap/>
              <w:overflowPunct/>
              <w:topLinePunct w:val="0"/>
              <w:autoSpaceDE/>
              <w:autoSpaceDN/>
              <w:bidi w:val="0"/>
              <w:adjustRightInd/>
              <w:snapToGrid/>
              <w:spacing w:before="0" w:line="420" w:lineRule="exact"/>
              <w:jc w:val="center"/>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包号</w:t>
            </w:r>
          </w:p>
        </w:tc>
        <w:tc>
          <w:tcPr>
            <w:tcW w:w="4766" w:type="dxa"/>
            <w:noWrap w:val="0"/>
            <w:vAlign w:val="center"/>
          </w:tcPr>
          <w:p w14:paraId="67B08A5A">
            <w:pPr>
              <w:keepNext w:val="0"/>
              <w:keepLines w:val="0"/>
              <w:pageBreakBefore w:val="0"/>
              <w:widowControl w:val="0"/>
              <w:kinsoku/>
              <w:wordWrap/>
              <w:overflowPunct/>
              <w:topLinePunct w:val="0"/>
              <w:autoSpaceDE/>
              <w:autoSpaceDN/>
              <w:bidi w:val="0"/>
              <w:adjustRightInd/>
              <w:snapToGrid/>
              <w:spacing w:before="0" w:line="420" w:lineRule="exact"/>
              <w:ind w:left="0" w:leftChars="0" w:firstLine="420" w:firstLineChars="200"/>
              <w:jc w:val="center"/>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包名称</w:t>
            </w:r>
          </w:p>
        </w:tc>
        <w:tc>
          <w:tcPr>
            <w:tcW w:w="1210" w:type="dxa"/>
            <w:noWrap w:val="0"/>
            <w:vAlign w:val="center"/>
          </w:tcPr>
          <w:p w14:paraId="0A2662B5">
            <w:pPr>
              <w:keepNext w:val="0"/>
              <w:keepLines w:val="0"/>
              <w:pageBreakBefore w:val="0"/>
              <w:widowControl w:val="0"/>
              <w:kinsoku/>
              <w:wordWrap/>
              <w:overflowPunct/>
              <w:topLinePunct w:val="0"/>
              <w:autoSpaceDE/>
              <w:autoSpaceDN/>
              <w:bidi w:val="0"/>
              <w:adjustRightInd/>
              <w:snapToGrid/>
              <w:spacing w:before="0" w:line="420" w:lineRule="exact"/>
              <w:jc w:val="center"/>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包预算（元）</w:t>
            </w:r>
          </w:p>
        </w:tc>
        <w:tc>
          <w:tcPr>
            <w:tcW w:w="1400" w:type="dxa"/>
            <w:noWrap w:val="0"/>
            <w:vAlign w:val="center"/>
          </w:tcPr>
          <w:p w14:paraId="0A7E63A9">
            <w:pPr>
              <w:keepNext w:val="0"/>
              <w:keepLines w:val="0"/>
              <w:pageBreakBefore w:val="0"/>
              <w:widowControl w:val="0"/>
              <w:kinsoku/>
              <w:wordWrap/>
              <w:overflowPunct/>
              <w:topLinePunct w:val="0"/>
              <w:autoSpaceDE/>
              <w:autoSpaceDN/>
              <w:bidi w:val="0"/>
              <w:adjustRightInd/>
              <w:snapToGrid/>
              <w:spacing w:before="0" w:line="420" w:lineRule="exact"/>
              <w:jc w:val="center"/>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包最高限价（元）</w:t>
            </w:r>
          </w:p>
        </w:tc>
      </w:tr>
      <w:tr w14:paraId="5CFF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2" w:type="dxa"/>
            <w:noWrap w:val="0"/>
            <w:vAlign w:val="center"/>
          </w:tcPr>
          <w:p w14:paraId="50FBF737">
            <w:pPr>
              <w:keepNext w:val="0"/>
              <w:keepLines w:val="0"/>
              <w:pageBreakBefore w:val="0"/>
              <w:widowControl w:val="0"/>
              <w:kinsoku/>
              <w:wordWrap/>
              <w:overflowPunct/>
              <w:topLinePunct w:val="0"/>
              <w:autoSpaceDE/>
              <w:autoSpaceDN/>
              <w:bidi w:val="0"/>
              <w:adjustRightInd/>
              <w:snapToGrid/>
              <w:spacing w:before="0" w:line="420" w:lineRule="exact"/>
              <w:ind w:firstLine="210" w:firstLineChars="100"/>
              <w:jc w:val="both"/>
              <w:textAlignment w:val="auto"/>
              <w:outlineLvl w:val="9"/>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p>
        </w:tc>
        <w:tc>
          <w:tcPr>
            <w:tcW w:w="1044" w:type="dxa"/>
            <w:noWrap w:val="0"/>
            <w:vAlign w:val="center"/>
          </w:tcPr>
          <w:p w14:paraId="2762EEF3">
            <w:pPr>
              <w:pStyle w:val="38"/>
              <w:keepNext w:val="0"/>
              <w:keepLines w:val="0"/>
              <w:pageBreakBefore w:val="0"/>
              <w:widowControl w:val="0"/>
              <w:kinsoku/>
              <w:wordWrap/>
              <w:overflowPunct/>
              <w:topLinePunct w:val="0"/>
              <w:autoSpaceDE/>
              <w:autoSpaceDN/>
              <w:bidi w:val="0"/>
              <w:adjustRightInd/>
              <w:snapToGrid/>
              <w:spacing w:after="0" w:line="420" w:lineRule="exact"/>
              <w:ind w:left="0" w:leftChars="0" w:right="0" w:rightChars="0" w:firstLine="0" w:firstLineChars="0"/>
              <w:jc w:val="both"/>
              <w:textAlignment w:val="auto"/>
              <w:rPr>
                <w:rFonts w:hint="default" w:ascii="宋体" w:hAnsi="宋体" w:eastAsia="宋体" w:cs="宋体"/>
                <w:sz w:val="21"/>
                <w:szCs w:val="21"/>
                <w:highlight w:val="none"/>
                <w:vertAlign w:val="baseline"/>
                <w:lang w:val="en-US" w:eastAsia="zh-CN" w:bidi="ar-SA"/>
              </w:rPr>
            </w:pPr>
            <w:r>
              <w:rPr>
                <w:rFonts w:hint="default" w:ascii="宋体" w:hAnsi="宋体" w:eastAsia="宋体" w:cs="宋体"/>
                <w:sz w:val="21"/>
                <w:szCs w:val="21"/>
                <w:highlight w:val="none"/>
                <w:vertAlign w:val="baseline"/>
                <w:lang w:val="en-US" w:eastAsia="zh-CN" w:bidi="ar-SA"/>
              </w:rPr>
              <w:t>ZK202604231-1</w:t>
            </w:r>
          </w:p>
        </w:tc>
        <w:tc>
          <w:tcPr>
            <w:tcW w:w="4766" w:type="dxa"/>
            <w:noWrap w:val="0"/>
            <w:vAlign w:val="center"/>
          </w:tcPr>
          <w:p w14:paraId="5C9AF241">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bidi="ar-SA"/>
              </w:rPr>
              <w:t>周口市交通运输局周口市“十五五”现代综合交通运输体系发展规划编制服务采购项目</w:t>
            </w:r>
          </w:p>
        </w:tc>
        <w:tc>
          <w:tcPr>
            <w:tcW w:w="1210" w:type="dxa"/>
            <w:noWrap w:val="0"/>
            <w:vAlign w:val="center"/>
          </w:tcPr>
          <w:p w14:paraId="778C0318">
            <w:pPr>
              <w:keepNext w:val="0"/>
              <w:keepLines w:val="0"/>
              <w:pageBreakBefore w:val="0"/>
              <w:widowControl w:val="0"/>
              <w:kinsoku/>
              <w:wordWrap/>
              <w:overflowPunct/>
              <w:topLinePunct w:val="0"/>
              <w:autoSpaceDE/>
              <w:autoSpaceDN/>
              <w:bidi w:val="0"/>
              <w:adjustRightInd/>
              <w:snapToGrid/>
              <w:spacing w:after="0" w:line="420" w:lineRule="exact"/>
              <w:ind w:right="0" w:rightChars="0" w:firstLine="210" w:firstLineChars="100"/>
              <w:jc w:val="both"/>
              <w:textAlignment w:val="auto"/>
              <w:rPr>
                <w:rFonts w:hint="eastAsia" w:ascii="宋体" w:hAnsi="宋体" w:eastAsia="宋体" w:cs="宋体"/>
                <w:sz w:val="21"/>
                <w:szCs w:val="21"/>
                <w:vertAlign w:val="baseline"/>
                <w:lang w:val="en-US" w:eastAsia="zh-CN"/>
              </w:rPr>
            </w:pPr>
            <w:r>
              <w:rPr>
                <w:rFonts w:hint="eastAsia" w:asciiTheme="minorEastAsia" w:hAnsiTheme="minorEastAsia" w:eastAsiaTheme="minorEastAsia" w:cstheme="minorEastAsia"/>
                <w:sz w:val="21"/>
                <w:szCs w:val="21"/>
                <w:lang w:val="en-US" w:eastAsia="zh-CN"/>
              </w:rPr>
              <w:t>1500000</w:t>
            </w:r>
          </w:p>
        </w:tc>
        <w:tc>
          <w:tcPr>
            <w:tcW w:w="1400" w:type="dxa"/>
            <w:noWrap w:val="0"/>
            <w:vAlign w:val="center"/>
          </w:tcPr>
          <w:p w14:paraId="44B51268">
            <w:pPr>
              <w:keepNext w:val="0"/>
              <w:keepLines w:val="0"/>
              <w:pageBreakBefore w:val="0"/>
              <w:widowControl w:val="0"/>
              <w:kinsoku/>
              <w:wordWrap/>
              <w:overflowPunct/>
              <w:topLinePunct w:val="0"/>
              <w:autoSpaceDE/>
              <w:autoSpaceDN/>
              <w:bidi w:val="0"/>
              <w:adjustRightInd/>
              <w:snapToGrid/>
              <w:spacing w:after="0" w:line="420" w:lineRule="exact"/>
              <w:ind w:right="0" w:rightChars="0" w:firstLine="210" w:firstLineChars="100"/>
              <w:jc w:val="both"/>
              <w:textAlignment w:val="auto"/>
              <w:rPr>
                <w:rFonts w:hint="eastAsia" w:ascii="宋体" w:hAnsi="宋体" w:eastAsia="宋体" w:cs="宋体"/>
                <w:sz w:val="21"/>
                <w:szCs w:val="21"/>
                <w:vertAlign w:val="baseline"/>
                <w:lang w:val="en-US" w:eastAsia="zh-CN"/>
              </w:rPr>
            </w:pPr>
            <w:r>
              <w:rPr>
                <w:rFonts w:hint="eastAsia" w:asciiTheme="minorEastAsia" w:hAnsiTheme="minorEastAsia" w:eastAsiaTheme="minorEastAsia" w:cstheme="minorEastAsia"/>
                <w:sz w:val="21"/>
                <w:szCs w:val="21"/>
                <w:lang w:val="en-US" w:eastAsia="zh-CN"/>
              </w:rPr>
              <w:t>1500000</w:t>
            </w:r>
          </w:p>
        </w:tc>
      </w:tr>
    </w:tbl>
    <w:p w14:paraId="69DE64DA">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采购需求：（包括但不限于标的的名称、数量、简要技术需求或服务要求等）</w:t>
      </w:r>
    </w:p>
    <w:p w14:paraId="251D25F5">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1采购内容：分析周口市“十四五”交通运输发展成效，梳理存在问题，研判“十五五”发展形势与需求；明确综合交通网络布局、运输服务品质、智慧绿色发展等目标指标；提出基础设施互联互通、多式联运协同、交通数智化等建设任务；制定实施机制、资金筹措、用地保障等配套措施；成果转化，形成规划文本、图集、项目库。</w:t>
      </w:r>
    </w:p>
    <w:p w14:paraId="6D47810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 xml:space="preserve">.2资金来源：财政资金。               </w:t>
      </w:r>
    </w:p>
    <w:p w14:paraId="124394B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sz w:val="21"/>
          <w:szCs w:val="21"/>
          <w:highlight w:val="none"/>
          <w:lang w:val="en-US" w:eastAsia="zh-CN"/>
        </w:rPr>
        <w:t>服务质量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达到国家现行规范及验收合格标准，满足采购人需求。</w:t>
      </w:r>
    </w:p>
    <w:p w14:paraId="440D147B">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.4服务期限：</w:t>
      </w:r>
      <w:r>
        <w:rPr>
          <w:rFonts w:hint="eastAsia" w:asciiTheme="minorEastAsia" w:hAnsiTheme="minorEastAsia" w:eastAsiaTheme="minorEastAsia" w:cstheme="minorEastAsia"/>
          <w:sz w:val="21"/>
          <w:szCs w:val="21"/>
          <w:highlight w:val="none"/>
          <w:lang w:val="en-US" w:eastAsia="zh-CN"/>
        </w:rPr>
        <w:t>自合同签订之日起至通过相关部门组织通过验收,满足采购人要求。</w:t>
      </w:r>
    </w:p>
    <w:p w14:paraId="4BA3CC43">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服务地点：采购人指定地点。</w:t>
      </w:r>
    </w:p>
    <w:p w14:paraId="0125CF5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标段划分：</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个标段。</w:t>
      </w:r>
    </w:p>
    <w:p w14:paraId="733F9E7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6、合同履行期限：同服务期限。</w:t>
      </w:r>
    </w:p>
    <w:p w14:paraId="750DDE6F">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本项目是否接受联合体投标：</w:t>
      </w:r>
      <w:r>
        <w:rPr>
          <w:rFonts w:hint="eastAsia" w:asciiTheme="minorEastAsia" w:hAnsiTheme="minorEastAsia" w:eastAsiaTheme="minorEastAsia" w:cstheme="minorEastAsia"/>
          <w:sz w:val="21"/>
          <w:szCs w:val="21"/>
          <w:lang w:val="en-US" w:eastAsia="zh-CN"/>
        </w:rPr>
        <w:t>否</w:t>
      </w:r>
    </w:p>
    <w:p w14:paraId="5411C85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8、是否接受进口产品：否</w:t>
      </w:r>
    </w:p>
    <w:p w14:paraId="0B95676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9、是否专门面向中小企业：否</w:t>
      </w:r>
    </w:p>
    <w:p w14:paraId="50E06697">
      <w:pPr>
        <w:keepNext w:val="0"/>
        <w:keepLines w:val="0"/>
        <w:pageBreakBefore w:val="0"/>
        <w:widowControl w:val="0"/>
        <w:tabs>
          <w:tab w:val="left" w:pos="0"/>
        </w:tabs>
        <w:kinsoku/>
        <w:wordWrap/>
        <w:overflowPunct/>
        <w:topLinePunct w:val="0"/>
        <w:autoSpaceDE/>
        <w:autoSpaceDN/>
        <w:bidi w:val="0"/>
        <w:adjustRightInd w:val="0"/>
        <w:snapToGrid w:val="0"/>
        <w:spacing w:line="420" w:lineRule="exact"/>
        <w:ind w:left="0" w:leftChars="0" w:firstLine="422" w:firstLineChars="200"/>
        <w:textAlignment w:val="auto"/>
        <w:rPr>
          <w:rFonts w:ascii="宋体" w:hAnsi="宋体" w:cs="宋体"/>
          <w:b/>
          <w:bCs/>
          <w:sz w:val="21"/>
          <w:szCs w:val="21"/>
          <w:lang w:eastAsia="zh-CN"/>
        </w:rPr>
      </w:pPr>
      <w:r>
        <w:rPr>
          <w:rFonts w:hint="eastAsia" w:ascii="宋体" w:hAnsi="宋体" w:cs="宋体"/>
          <w:b/>
          <w:bCs/>
          <w:sz w:val="21"/>
          <w:szCs w:val="21"/>
          <w:lang w:eastAsia="zh-CN"/>
        </w:rPr>
        <w:t>二、申请人资格要求</w:t>
      </w:r>
    </w:p>
    <w:p w14:paraId="6D25D815">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2" w:firstLineChars="200"/>
        <w:jc w:val="both"/>
        <w:textAlignment w:val="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1、符合《中华人民共和国政府采购法》第二十二条规定；</w:t>
      </w:r>
    </w:p>
    <w:p w14:paraId="7A6702F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2" w:firstLineChars="200"/>
        <w:textAlignment w:val="auto"/>
        <w:rPr>
          <w:rFonts w:hint="eastAsia" w:ascii="宋体" w:hAnsi="宋体" w:eastAsia="宋体" w:cs="宋体"/>
          <w:b/>
          <w:bCs/>
          <w:sz w:val="21"/>
          <w:szCs w:val="21"/>
        </w:rPr>
      </w:pPr>
      <w:r>
        <w:rPr>
          <w:rFonts w:hint="eastAsia" w:asciiTheme="minorEastAsia" w:hAnsiTheme="minorEastAsia" w:eastAsiaTheme="minorEastAsia" w:cstheme="minorEastAsia"/>
          <w:b/>
          <w:bCs/>
          <w:sz w:val="21"/>
          <w:szCs w:val="21"/>
          <w:lang w:eastAsia="zh-CN"/>
        </w:rPr>
        <w:t>2、落实政府采购政策需满足的资格要求：</w:t>
      </w:r>
    </w:p>
    <w:p w14:paraId="04A0262A">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本项目执行《政府采购促进中小企业发展管理办法》、《关于政府采购支持监狱企业发展有关问题的通知》、《关于促进残疾人就业政府采购政策的通知》、《河南省政府采购合同融资政策告知函》、《财政部关于推动解决政府采购异常低价问题的通知》社会信用体系建设等采购政策</w:t>
      </w:r>
      <w:r>
        <w:rPr>
          <w:rFonts w:hint="eastAsia" w:asciiTheme="minorEastAsia" w:hAnsiTheme="minorEastAsia" w:eastAsiaTheme="minorEastAsia" w:cstheme="minorEastAsia"/>
          <w:sz w:val="21"/>
          <w:szCs w:val="21"/>
          <w:highlight w:val="none"/>
          <w:lang w:val="en-US" w:eastAsia="zh-CN"/>
        </w:rPr>
        <w:t>；本项目不专门面向中小企业采购。</w:t>
      </w:r>
    </w:p>
    <w:p w14:paraId="6694E8B5">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3、本项目的特定资格要求：</w:t>
      </w:r>
    </w:p>
    <w:p w14:paraId="010D329A">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3.1</w:t>
      </w:r>
      <w:r>
        <w:rPr>
          <w:rFonts w:hint="eastAsia" w:asciiTheme="minorEastAsia" w:hAnsiTheme="minorEastAsia" w:eastAsiaTheme="minorEastAsia" w:cstheme="minorEastAsia"/>
          <w:sz w:val="21"/>
          <w:szCs w:val="21"/>
          <w:lang w:val="en-US" w:eastAsia="zh-CN"/>
        </w:rPr>
        <w:t>响应单位应具有合格有效的营业执照或其他证明材料；</w:t>
      </w:r>
    </w:p>
    <w:p w14:paraId="6266763F">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根据《关于在政府采购活动中查询及使用信用记录有关问题的通知》（财库[2016]125号）和豫财购【2016】15号的规定，对列入失信被执行人、重大税收违法案件当事人名单、政府采购严重违法失信行为记录名单，拒绝其参与本次政府采购活动。响应单位须通过“信用中国”网站（www.creditchina.gov.cn)、“中国执行信息公开网”（zxgk.court.gov.cn）对“列入失信被执行人、重大税收违法失信主体、政府采购严重违法失信行为记录名单”企业和法定代表人、授权委托人的查询，须未被国家企业信用信息公示系统(www.gsxt.gov.cn)列入严重违法失信名单等，通过“中国政府采购网”（www.ccgp.gov.cn）对“政府采购严重违法失信行为信息记录”企业信用记录查询（在响应文件中附加盖公章的网页查询扫描件，查询日期为公告发布之日起至投标截止之日止）。</w:t>
      </w:r>
    </w:p>
    <w:p w14:paraId="02A40B12">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3.3单位负责人为同一人或者存在直接控股、管理关系的不同响应单位，不得参加同一合同项下的政府采购活动。</w:t>
      </w:r>
    </w:p>
    <w:p w14:paraId="5F429F15">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3.4本项目不接受联合体投标。</w:t>
      </w:r>
    </w:p>
    <w:p w14:paraId="6CE38D0C">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三、获取</w:t>
      </w:r>
      <w:r>
        <w:rPr>
          <w:rFonts w:hint="eastAsia" w:asciiTheme="minorEastAsia" w:hAnsiTheme="minorEastAsia" w:eastAsiaTheme="minorEastAsia" w:cstheme="minorEastAsia"/>
          <w:b/>
          <w:bCs/>
          <w:sz w:val="21"/>
          <w:szCs w:val="21"/>
          <w:lang w:val="en-US" w:eastAsia="zh-CN"/>
        </w:rPr>
        <w:t>采购</w:t>
      </w:r>
      <w:r>
        <w:rPr>
          <w:rFonts w:hint="eastAsia" w:asciiTheme="minorEastAsia" w:hAnsiTheme="minorEastAsia" w:eastAsiaTheme="minorEastAsia" w:cstheme="minorEastAsia"/>
          <w:b/>
          <w:bCs/>
          <w:sz w:val="21"/>
          <w:szCs w:val="21"/>
          <w:lang w:eastAsia="zh-CN"/>
        </w:rPr>
        <w:t>文件</w:t>
      </w:r>
    </w:p>
    <w:p w14:paraId="29607C60">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1.时间</w:t>
      </w:r>
      <w:r>
        <w:rPr>
          <w:rFonts w:hint="eastAsia" w:asciiTheme="minorEastAsia" w:hAnsiTheme="minorEastAsia" w:eastAsiaTheme="minorEastAsia" w:cstheme="minorEastAsia"/>
          <w:sz w:val="21"/>
          <w:szCs w:val="21"/>
          <w:highlight w:val="none"/>
          <w:lang w:val="en-US" w:eastAsia="zh-CN"/>
        </w:rPr>
        <w:t>：2026年4月25日至2026年5月6日，每</w:t>
      </w:r>
      <w:r>
        <w:rPr>
          <w:rFonts w:hint="eastAsia" w:asciiTheme="minorEastAsia" w:hAnsiTheme="minorEastAsia" w:eastAsiaTheme="minorEastAsia" w:cstheme="minorEastAsia"/>
          <w:sz w:val="21"/>
          <w:szCs w:val="21"/>
          <w:lang w:val="en-US" w:eastAsia="zh-CN"/>
        </w:rPr>
        <w:t>天上午00:00至12:00，下午12:00至23:59（北京时间，法定节假日除外。）</w:t>
      </w:r>
    </w:p>
    <w:p w14:paraId="7E15AE47">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2.地点：周口市公共资源交易中心网（http://jyzx.zhoukou.gov.cn）</w:t>
      </w:r>
    </w:p>
    <w:p w14:paraId="576FDCA7">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3.方式：响应单位请在网站自主注册后下载采购文件（zkzf格式）及资料，需办理CA数字证书后方可提交响应文件，具体办理事宜请查阅周口市公共资源交易中心网站。</w:t>
      </w:r>
    </w:p>
    <w:p w14:paraId="63231AF5">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4.售价：0元</w:t>
      </w:r>
    </w:p>
    <w:p w14:paraId="0395E9A0">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四、响应文件提交</w:t>
      </w:r>
    </w:p>
    <w:p w14:paraId="3154C8A7">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1.截止时间：2026年5月12日10时00分（北京时间）</w:t>
      </w:r>
    </w:p>
    <w:p w14:paraId="4EDEAB87">
      <w:pPr>
        <w:keepNext w:val="0"/>
        <w:keepLines w:val="0"/>
        <w:pageBreakBefore w:val="0"/>
        <w:widowControl w:val="0"/>
        <w:tabs>
          <w:tab w:val="left" w:pos="567"/>
        </w:tabs>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2.地点：加密电子响应文件须在投标截止时间前通过周口市公共资源交易中心网（网址http://jyzx.zhoukou.gov.cn）。</w:t>
      </w:r>
    </w:p>
    <w:p w14:paraId="317643EA">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五、</w:t>
      </w:r>
      <w:r>
        <w:rPr>
          <w:rFonts w:hint="eastAsia" w:asciiTheme="minorEastAsia" w:hAnsiTheme="minorEastAsia" w:eastAsiaTheme="minorEastAsia" w:cstheme="minorEastAsia"/>
          <w:b/>
          <w:bCs/>
          <w:sz w:val="21"/>
          <w:szCs w:val="21"/>
          <w:highlight w:val="none"/>
          <w:lang w:val="en-US" w:eastAsia="zh-CN"/>
        </w:rPr>
        <w:t>响应文件</w:t>
      </w:r>
      <w:r>
        <w:rPr>
          <w:rFonts w:hint="eastAsia" w:asciiTheme="minorEastAsia" w:hAnsiTheme="minorEastAsia" w:eastAsiaTheme="minorEastAsia" w:cstheme="minorEastAsia"/>
          <w:b/>
          <w:bCs/>
          <w:sz w:val="21"/>
          <w:szCs w:val="21"/>
          <w:highlight w:val="none"/>
          <w:lang w:eastAsia="zh-CN"/>
        </w:rPr>
        <w:t>开启</w:t>
      </w:r>
    </w:p>
    <w:p w14:paraId="55D0BC1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sz w:val="21"/>
          <w:szCs w:val="21"/>
          <w:highlight w:val="none"/>
          <w:lang w:eastAsia="zh-CN"/>
        </w:rPr>
        <w:t>1.时间：202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lang w:eastAsia="zh-CN"/>
        </w:rPr>
        <w:t>日上午</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lang w:eastAsia="zh-CN"/>
        </w:rPr>
        <w:t>时</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lang w:eastAsia="zh-CN"/>
        </w:rPr>
        <w:t>0分（北京时间）</w:t>
      </w:r>
    </w:p>
    <w:p w14:paraId="416FCEB7">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2.地点：周口市公共资源交易中心第九开标室（政采407-1）</w:t>
      </w:r>
    </w:p>
    <w:p w14:paraId="0467EB9E">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六.发布公告的媒介及招标公告期限</w:t>
      </w:r>
    </w:p>
    <w:p w14:paraId="304C32E2">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本竞争性磋商公告在《河南省政府采购网》《周口市公共资源交易中心网》《周口市交通运输局》上发布。招标公告期限为三个工作日 。</w:t>
      </w:r>
    </w:p>
    <w:p w14:paraId="68C1D17C">
      <w:pPr>
        <w:keepNext w:val="0"/>
        <w:keepLines w:val="0"/>
        <w:pageBreakBefore w:val="0"/>
        <w:widowControl w:val="0"/>
        <w:numPr>
          <w:ilvl w:val="0"/>
          <w:numId w:val="2"/>
        </w:numPr>
        <w:tabs>
          <w:tab w:val="left" w:pos="284"/>
        </w:tabs>
        <w:kinsoku/>
        <w:wordWrap/>
        <w:overflowPunct/>
        <w:topLinePunct w:val="0"/>
        <w:autoSpaceDE/>
        <w:autoSpaceDN/>
        <w:bidi w:val="0"/>
        <w:adjustRightInd w:val="0"/>
        <w:snapToGrid w:val="0"/>
        <w:spacing w:line="420" w:lineRule="exact"/>
        <w:ind w:left="0" w:leftChars="0" w:firstLine="422" w:firstLineChars="200"/>
        <w:textAlignment w:val="auto"/>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其他补充事宜</w:t>
      </w:r>
    </w:p>
    <w:p w14:paraId="5EA78253">
      <w:pPr>
        <w:keepNext w:val="0"/>
        <w:keepLines w:val="0"/>
        <w:pageBreakBefore w:val="0"/>
        <w:widowControl w:val="0"/>
        <w:tabs>
          <w:tab w:val="left" w:pos="284"/>
        </w:tabs>
        <w:kinsoku/>
        <w:wordWrap/>
        <w:overflowPunct/>
        <w:topLinePunct w:val="0"/>
        <w:autoSpaceDE/>
        <w:autoSpaceDN/>
        <w:bidi w:val="0"/>
        <w:adjustRightInd w:val="0"/>
        <w:snapToGrid w:val="0"/>
        <w:spacing w:line="420" w:lineRule="exact"/>
        <w:ind w:left="0" w:leftChars="0" w:firstLine="420" w:firstLineChars="200"/>
        <w:textAlignment w:val="auto"/>
        <w:rPr>
          <w:rFonts w:hint="eastAsia"/>
          <w:lang w:eastAsia="zh-CN"/>
        </w:rPr>
      </w:pPr>
      <w:r>
        <w:rPr>
          <w:rFonts w:hint="eastAsia" w:asciiTheme="minorEastAsia" w:hAnsiTheme="minorEastAsia" w:eastAsiaTheme="minorEastAsia" w:cstheme="minorEastAsia"/>
          <w:sz w:val="21"/>
          <w:szCs w:val="21"/>
          <w:highlight w:val="none"/>
          <w:lang w:val="en-US" w:eastAsia="zh-CN"/>
        </w:rPr>
        <w:t>1.根据河南省招投标协会关于印发《河南省招标代理服务收费指导意见》豫招协【2023】002号文件规定计算招标代理费，由成交人在领取成交通知书前以现金或转账形式支付。</w:t>
      </w:r>
    </w:p>
    <w:p w14:paraId="2112BE0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监督单位：周口市财政局政府采购监督管理科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联系方式：0394-8</w:t>
      </w:r>
      <w:r>
        <w:rPr>
          <w:rFonts w:hint="eastAsia" w:asciiTheme="minorEastAsia" w:hAnsiTheme="minorEastAsia" w:eastAsiaTheme="minorEastAsia" w:cstheme="minorEastAsia"/>
          <w:sz w:val="21"/>
          <w:szCs w:val="21"/>
          <w:lang w:val="en-US" w:eastAsia="zh-CN"/>
        </w:rPr>
        <w:t>319709</w:t>
      </w:r>
    </w:p>
    <w:p w14:paraId="0E7A4D0C">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2" w:firstLineChars="200"/>
        <w:jc w:val="both"/>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八、凡对本次采购提出询问，请按以下方式联系</w:t>
      </w:r>
    </w:p>
    <w:p w14:paraId="4542BD81">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2" w:firstLineChars="200"/>
        <w:jc w:val="both"/>
        <w:textAlignment w:val="auto"/>
        <w:rPr>
          <w:rFonts w:hint="eastAsia" w:asciiTheme="minorEastAsia" w:hAnsiTheme="minorEastAsia" w:eastAsiaTheme="minorEastAsia" w:cstheme="minorEastAsia"/>
          <w:b/>
          <w:bCs/>
          <w:sz w:val="21"/>
          <w:szCs w:val="21"/>
          <w:lang w:eastAsia="zh-CN"/>
        </w:rPr>
      </w:pPr>
      <w:bookmarkStart w:id="2" w:name="_Toc443895841"/>
      <w:r>
        <w:rPr>
          <w:rFonts w:hint="eastAsia" w:asciiTheme="minorEastAsia" w:hAnsiTheme="minorEastAsia" w:eastAsiaTheme="minorEastAsia" w:cstheme="minorEastAsia"/>
          <w:b/>
          <w:bCs/>
          <w:sz w:val="21"/>
          <w:szCs w:val="21"/>
          <w:lang w:eastAsia="zh-CN"/>
        </w:rPr>
        <w:t>1.采购人信息</w:t>
      </w:r>
    </w:p>
    <w:p w14:paraId="30C4A020">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 称：周口市交通运输局</w:t>
      </w:r>
    </w:p>
    <w:p w14:paraId="300E4E9E">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地 址：周口市大庆路中段 </w:t>
      </w:r>
    </w:p>
    <w:p w14:paraId="108BE0D0">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项目联系人：杨万里     </w:t>
      </w:r>
    </w:p>
    <w:p w14:paraId="54700D25">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联系方式：</w:t>
      </w:r>
      <w:bookmarkStart w:id="3" w:name="_Toc28359009"/>
      <w:bookmarkStart w:id="4" w:name="_Toc28359086"/>
      <w:r>
        <w:rPr>
          <w:rFonts w:hint="eastAsia" w:asciiTheme="minorEastAsia" w:hAnsiTheme="minorEastAsia" w:eastAsiaTheme="minorEastAsia" w:cstheme="minorEastAsia"/>
          <w:sz w:val="21"/>
          <w:szCs w:val="21"/>
          <w:lang w:eastAsia="zh-CN"/>
        </w:rPr>
        <w:t>0394-8286673</w:t>
      </w:r>
    </w:p>
    <w:p w14:paraId="4870EFC3">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2" w:firstLineChars="200"/>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2.采购代理机构信息</w:t>
      </w:r>
      <w:bookmarkEnd w:id="3"/>
      <w:bookmarkEnd w:id="4"/>
    </w:p>
    <w:p w14:paraId="514B567E">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 称：圣弘建设股份有限公司</w:t>
      </w:r>
    </w:p>
    <w:p w14:paraId="1C35DC66">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 址：河南自贸试验区郑州片区(郑东)福禄路与普济路交叉口东南连邦大厦19层</w:t>
      </w:r>
    </w:p>
    <w:p w14:paraId="6FFE004B">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项目联系人：高斌 </w:t>
      </w:r>
      <w:r>
        <w:rPr>
          <w:rFonts w:hint="eastAsia" w:asciiTheme="minorEastAsia" w:hAnsiTheme="minorEastAsia" w:eastAsiaTheme="minorEastAsia" w:cstheme="minorEastAsia"/>
          <w:sz w:val="21"/>
          <w:szCs w:val="21"/>
          <w:lang w:val="en-US" w:eastAsia="zh-CN"/>
        </w:rPr>
        <w:t xml:space="preserve">孙朋博 </w:t>
      </w:r>
      <w:r>
        <w:rPr>
          <w:rFonts w:hint="eastAsia" w:asciiTheme="minorEastAsia" w:hAnsiTheme="minorEastAsia" w:eastAsiaTheme="minorEastAsia" w:cstheme="minorEastAsia"/>
          <w:sz w:val="21"/>
          <w:szCs w:val="21"/>
          <w:lang w:eastAsia="zh-CN"/>
        </w:rPr>
        <w:t xml:space="preserve">           </w:t>
      </w:r>
    </w:p>
    <w:p w14:paraId="23D99415">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联系方式：</w:t>
      </w:r>
      <w:bookmarkStart w:id="5" w:name="_Toc28359010"/>
      <w:bookmarkStart w:id="6" w:name="_Toc28359087"/>
      <w:r>
        <w:rPr>
          <w:rFonts w:hint="eastAsia" w:asciiTheme="minorEastAsia" w:hAnsiTheme="minorEastAsia" w:eastAsiaTheme="minorEastAsia" w:cstheme="minorEastAsia"/>
          <w:sz w:val="21"/>
          <w:szCs w:val="21"/>
          <w:lang w:eastAsia="zh-CN"/>
        </w:rPr>
        <w:t>17530212688</w:t>
      </w:r>
      <w:r>
        <w:rPr>
          <w:rFonts w:hint="eastAsia" w:asciiTheme="minorEastAsia" w:hAnsiTheme="minorEastAsia" w:eastAsiaTheme="minorEastAsia" w:cstheme="minorEastAsia"/>
          <w:sz w:val="21"/>
          <w:szCs w:val="21"/>
          <w:lang w:val="en-US" w:eastAsia="zh-CN"/>
        </w:rPr>
        <w:t>/19103889788</w:t>
      </w:r>
    </w:p>
    <w:p w14:paraId="0002F86B">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2" w:firstLineChars="200"/>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eastAsia="zh-CN"/>
        </w:rPr>
        <w:t>项目联系方式</w:t>
      </w:r>
    </w:p>
    <w:p w14:paraId="442D64C8">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 xml:space="preserve">项目联系人：杨万里  </w:t>
      </w:r>
    </w:p>
    <w:p w14:paraId="506ECE29">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both"/>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联系方式：0394-8286673</w:t>
      </w:r>
      <w:bookmarkEnd w:id="5"/>
      <w:bookmarkEnd w:id="6"/>
    </w:p>
    <w:p w14:paraId="147E5BBF">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right"/>
        <w:textAlignment w:val="auto"/>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圣弘建设股份有限公司</w:t>
      </w:r>
    </w:p>
    <w:p w14:paraId="62A0ABF2">
      <w:pPr>
        <w:pStyle w:val="19"/>
        <w:keepNext w:val="0"/>
        <w:keepLines w:val="0"/>
        <w:pageBreakBefore w:val="0"/>
        <w:kinsoku/>
        <w:wordWrap/>
        <w:overflowPunct/>
        <w:topLinePunct w:val="0"/>
        <w:autoSpaceDE/>
        <w:autoSpaceDN/>
        <w:bidi w:val="0"/>
        <w:spacing w:after="0" w:line="420" w:lineRule="exact"/>
        <w:ind w:firstLine="420" w:firstLineChars="200"/>
        <w:jc w:val="righ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24</w:t>
      </w:r>
      <w:r>
        <w:rPr>
          <w:rFonts w:hint="eastAsia" w:asciiTheme="minorEastAsia" w:hAnsiTheme="minorEastAsia" w:eastAsiaTheme="minorEastAsia" w:cstheme="minorEastAsia"/>
          <w:szCs w:val="21"/>
          <w:highlight w:val="none"/>
        </w:rPr>
        <w:t>日</w:t>
      </w:r>
    </w:p>
    <w:p w14:paraId="3A551BD9">
      <w:pPr>
        <w:pStyle w:val="2"/>
        <w:numPr>
          <w:ilvl w:val="0"/>
          <w:numId w:val="1"/>
        </w:numPr>
        <w:adjustRightInd w:val="0"/>
        <w:snapToGrid w:val="0"/>
        <w:spacing w:line="500" w:lineRule="exact"/>
        <w:ind w:left="0" w:firstLine="643" w:firstLineChars="200"/>
        <w:jc w:val="center"/>
        <w:rPr>
          <w:rFonts w:ascii="宋体" w:hAnsi="宋体" w:eastAsia="宋体"/>
          <w:b/>
          <w:sz w:val="52"/>
          <w:szCs w:val="52"/>
          <w:lang w:eastAsia="zh-CN"/>
        </w:rPr>
      </w:pPr>
      <w:r>
        <w:rPr>
          <w:rFonts w:ascii="宋体" w:hAnsi="宋体" w:eastAsia="宋体"/>
          <w:b/>
          <w:sz w:val="32"/>
          <w:szCs w:val="32"/>
          <w:lang w:eastAsia="zh-CN"/>
        </w:rPr>
        <w:br w:type="page"/>
      </w:r>
      <w:bookmarkStart w:id="7" w:name="_Toc24341"/>
      <w:bookmarkStart w:id="8" w:name="_Toc26023"/>
      <w:r>
        <w:rPr>
          <w:rFonts w:hint="eastAsia" w:ascii="宋体" w:hAnsi="宋体" w:eastAsia="宋体"/>
          <w:b/>
          <w:sz w:val="32"/>
          <w:szCs w:val="32"/>
          <w:lang w:eastAsia="zh-CN"/>
        </w:rPr>
        <w:t>响应单位</w:t>
      </w:r>
      <w:r>
        <w:rPr>
          <w:rFonts w:ascii="宋体" w:hAnsi="宋体" w:eastAsia="宋体"/>
          <w:b/>
          <w:sz w:val="32"/>
          <w:szCs w:val="32"/>
          <w:lang w:eastAsia="zh-CN"/>
        </w:rPr>
        <w:t>须知</w:t>
      </w:r>
      <w:bookmarkEnd w:id="2"/>
      <w:bookmarkEnd w:id="7"/>
      <w:r>
        <w:rPr>
          <w:rFonts w:hint="eastAsia" w:ascii="宋体" w:hAnsi="宋体" w:eastAsia="宋体"/>
          <w:b/>
          <w:sz w:val="32"/>
          <w:szCs w:val="32"/>
          <w:lang w:val="en-US" w:eastAsia="zh-CN"/>
        </w:rPr>
        <w:t>前附表</w:t>
      </w:r>
      <w:bookmarkEnd w:id="8"/>
    </w:p>
    <w:p w14:paraId="42742DE0">
      <w:pPr>
        <w:rPr>
          <w:lang w:eastAsia="zh-CN"/>
        </w:rPr>
      </w:pPr>
    </w:p>
    <w:tbl>
      <w:tblPr>
        <w:tblStyle w:val="21"/>
        <w:tblW w:w="9608" w:type="dxa"/>
        <w:jc w:val="center"/>
        <w:tblLayout w:type="fixed"/>
        <w:tblCellMar>
          <w:top w:w="0" w:type="dxa"/>
          <w:left w:w="108" w:type="dxa"/>
          <w:bottom w:w="0" w:type="dxa"/>
          <w:right w:w="108" w:type="dxa"/>
        </w:tblCellMar>
      </w:tblPr>
      <w:tblGrid>
        <w:gridCol w:w="989"/>
        <w:gridCol w:w="1980"/>
        <w:gridCol w:w="6639"/>
      </w:tblGrid>
      <w:tr w14:paraId="0727177E">
        <w:tblPrEx>
          <w:tblCellMar>
            <w:top w:w="0" w:type="dxa"/>
            <w:left w:w="108" w:type="dxa"/>
            <w:bottom w:w="0" w:type="dxa"/>
            <w:right w:w="108" w:type="dxa"/>
          </w:tblCellMar>
        </w:tblPrEx>
        <w:trPr>
          <w:trHeight w:val="79" w:hRule="atLeast"/>
          <w:tblHeader/>
          <w:jc w:val="center"/>
        </w:trPr>
        <w:tc>
          <w:tcPr>
            <w:tcW w:w="989" w:type="dxa"/>
            <w:tcBorders>
              <w:top w:val="single" w:color="auto" w:sz="4" w:space="0"/>
              <w:left w:val="single" w:color="auto" w:sz="4" w:space="0"/>
              <w:bottom w:val="single" w:color="auto" w:sz="4" w:space="0"/>
              <w:right w:val="single" w:color="auto" w:sz="4" w:space="0"/>
            </w:tcBorders>
            <w:vAlign w:val="center"/>
          </w:tcPr>
          <w:p w14:paraId="63137213">
            <w:pPr>
              <w:adjustRightInd w:val="0"/>
              <w:snapToGrid w:val="0"/>
              <w:spacing w:before="24" w:beforeLines="10" w:after="24" w:afterLines="10" w:line="400" w:lineRule="exact"/>
              <w:ind w:left="22" w:leftChars="10" w:right="22" w:rightChars="10"/>
              <w:jc w:val="center"/>
              <w:textAlignment w:val="baseline"/>
              <w:rPr>
                <w:rFonts w:ascii="宋体" w:hAnsi="宋体" w:cs="Arial"/>
                <w:b/>
                <w:bCs/>
                <w:kern w:val="2"/>
                <w:sz w:val="21"/>
                <w:szCs w:val="21"/>
              </w:rPr>
            </w:pPr>
            <w:r>
              <w:rPr>
                <w:rFonts w:hint="eastAsia" w:ascii="宋体" w:hAnsi="宋体" w:cs="Arial"/>
                <w:b/>
                <w:bCs/>
                <w:sz w:val="21"/>
                <w:szCs w:val="21"/>
              </w:rPr>
              <w:t>条款号</w:t>
            </w:r>
          </w:p>
        </w:tc>
        <w:tc>
          <w:tcPr>
            <w:tcW w:w="1980" w:type="dxa"/>
            <w:tcBorders>
              <w:top w:val="single" w:color="auto" w:sz="4" w:space="0"/>
              <w:left w:val="nil"/>
              <w:bottom w:val="single" w:color="auto" w:sz="4" w:space="0"/>
              <w:right w:val="single" w:color="auto" w:sz="4" w:space="0"/>
            </w:tcBorders>
            <w:vAlign w:val="center"/>
          </w:tcPr>
          <w:p w14:paraId="29C38083">
            <w:pPr>
              <w:adjustRightInd w:val="0"/>
              <w:snapToGrid w:val="0"/>
              <w:spacing w:before="24" w:beforeLines="10" w:after="24" w:afterLines="10" w:line="400" w:lineRule="exact"/>
              <w:ind w:left="22" w:leftChars="10" w:right="22" w:rightChars="10"/>
              <w:jc w:val="center"/>
              <w:textAlignment w:val="baseline"/>
              <w:rPr>
                <w:rFonts w:ascii="宋体" w:hAnsi="宋体" w:cs="Arial"/>
                <w:b/>
                <w:bCs/>
                <w:kern w:val="2"/>
                <w:sz w:val="21"/>
                <w:szCs w:val="21"/>
              </w:rPr>
            </w:pPr>
            <w:r>
              <w:rPr>
                <w:rFonts w:hint="eastAsia" w:ascii="宋体" w:hAnsi="宋体" w:cs="Arial"/>
                <w:b/>
                <w:bCs/>
                <w:sz w:val="21"/>
                <w:szCs w:val="21"/>
              </w:rPr>
              <w:t>条  款  名  称</w:t>
            </w:r>
          </w:p>
        </w:tc>
        <w:tc>
          <w:tcPr>
            <w:tcW w:w="6639" w:type="dxa"/>
            <w:tcBorders>
              <w:top w:val="single" w:color="auto" w:sz="4" w:space="0"/>
              <w:left w:val="nil"/>
              <w:bottom w:val="single" w:color="auto" w:sz="4" w:space="0"/>
              <w:right w:val="single" w:color="auto" w:sz="4" w:space="0"/>
            </w:tcBorders>
            <w:vAlign w:val="center"/>
          </w:tcPr>
          <w:p w14:paraId="3F4E7868">
            <w:pPr>
              <w:adjustRightInd w:val="0"/>
              <w:snapToGrid w:val="0"/>
              <w:spacing w:before="24" w:beforeLines="10" w:after="24" w:afterLines="10" w:line="400" w:lineRule="exact"/>
              <w:ind w:left="22" w:leftChars="10" w:right="22" w:rightChars="10"/>
              <w:jc w:val="center"/>
              <w:textAlignment w:val="baseline"/>
              <w:rPr>
                <w:rFonts w:ascii="宋体" w:hAnsi="宋体" w:cs="Arial"/>
                <w:b/>
                <w:bCs/>
                <w:kern w:val="2"/>
                <w:sz w:val="21"/>
                <w:szCs w:val="21"/>
              </w:rPr>
            </w:pPr>
            <w:r>
              <w:rPr>
                <w:rFonts w:hint="eastAsia" w:ascii="宋体" w:hAnsi="宋体" w:cs="Arial"/>
                <w:b/>
                <w:bCs/>
                <w:sz w:val="21"/>
                <w:szCs w:val="21"/>
              </w:rPr>
              <w:t>编  列  内  容</w:t>
            </w:r>
          </w:p>
        </w:tc>
      </w:tr>
      <w:tr w14:paraId="2D7541F8">
        <w:tblPrEx>
          <w:tblCellMar>
            <w:top w:w="0" w:type="dxa"/>
            <w:left w:w="108" w:type="dxa"/>
            <w:bottom w:w="0" w:type="dxa"/>
            <w:right w:w="108" w:type="dxa"/>
          </w:tblCellMar>
        </w:tblPrEx>
        <w:trPr>
          <w:trHeight w:val="1692"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529A19BC">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1.1.2</w:t>
            </w:r>
          </w:p>
        </w:tc>
        <w:tc>
          <w:tcPr>
            <w:tcW w:w="1980" w:type="dxa"/>
            <w:tcBorders>
              <w:top w:val="single" w:color="auto" w:sz="4" w:space="0"/>
              <w:left w:val="nil"/>
              <w:bottom w:val="single" w:color="auto" w:sz="4" w:space="0"/>
              <w:right w:val="single" w:color="auto" w:sz="4" w:space="0"/>
            </w:tcBorders>
            <w:vAlign w:val="center"/>
          </w:tcPr>
          <w:p w14:paraId="61D90DC0">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采购人</w:t>
            </w:r>
          </w:p>
        </w:tc>
        <w:tc>
          <w:tcPr>
            <w:tcW w:w="6639" w:type="dxa"/>
            <w:tcBorders>
              <w:top w:val="single" w:color="auto" w:sz="4" w:space="0"/>
              <w:left w:val="nil"/>
              <w:bottom w:val="single" w:color="auto" w:sz="4" w:space="0"/>
              <w:right w:val="single" w:color="auto" w:sz="4" w:space="0"/>
            </w:tcBorders>
            <w:vAlign w:val="center"/>
          </w:tcPr>
          <w:p w14:paraId="1C9FFFB0">
            <w:pPr>
              <w:adjustRightInd w:val="0"/>
              <w:snapToGrid w:val="0"/>
              <w:spacing w:before="24" w:beforeLines="10" w:after="24" w:afterLines="10" w:line="360" w:lineRule="exact"/>
              <w:ind w:left="22" w:leftChars="10" w:right="22" w:rightChars="10"/>
              <w:textAlignment w:val="baseline"/>
              <w:rPr>
                <w:rFonts w:hint="default" w:ascii="宋体" w:hAnsi="宋体" w:cs="Arial"/>
                <w:sz w:val="21"/>
                <w:szCs w:val="21"/>
                <w:lang w:val="en-US" w:eastAsia="zh-CN"/>
              </w:rPr>
            </w:pPr>
            <w:r>
              <w:rPr>
                <w:rFonts w:hint="default" w:ascii="宋体" w:hAnsi="宋体" w:cs="Arial"/>
                <w:sz w:val="21"/>
                <w:szCs w:val="21"/>
                <w:lang w:val="en-US" w:eastAsia="zh-CN"/>
              </w:rPr>
              <w:t>名 称：周口市交通运输局</w:t>
            </w:r>
          </w:p>
          <w:p w14:paraId="498C42E2">
            <w:pPr>
              <w:adjustRightInd w:val="0"/>
              <w:snapToGrid w:val="0"/>
              <w:spacing w:before="24" w:beforeLines="10" w:after="24" w:afterLines="10" w:line="360" w:lineRule="exact"/>
              <w:ind w:left="22" w:leftChars="10" w:right="22" w:rightChars="10"/>
              <w:textAlignment w:val="baseline"/>
              <w:rPr>
                <w:rFonts w:hint="default" w:ascii="宋体" w:hAnsi="宋体" w:cs="Arial"/>
                <w:sz w:val="21"/>
                <w:szCs w:val="21"/>
                <w:lang w:val="en-US" w:eastAsia="zh-CN"/>
              </w:rPr>
            </w:pPr>
            <w:r>
              <w:rPr>
                <w:rFonts w:hint="default" w:ascii="宋体" w:hAnsi="宋体" w:cs="Arial"/>
                <w:sz w:val="21"/>
                <w:szCs w:val="21"/>
                <w:lang w:val="en-US" w:eastAsia="zh-CN"/>
              </w:rPr>
              <w:t xml:space="preserve">地 址：周口市大庆路中段 </w:t>
            </w:r>
          </w:p>
          <w:p w14:paraId="4951FFB5">
            <w:pPr>
              <w:adjustRightInd w:val="0"/>
              <w:snapToGrid w:val="0"/>
              <w:spacing w:before="24" w:beforeLines="10" w:after="24" w:afterLines="10" w:line="360" w:lineRule="exact"/>
              <w:ind w:left="22" w:leftChars="10" w:right="22" w:rightChars="10"/>
              <w:textAlignment w:val="baseline"/>
              <w:rPr>
                <w:rFonts w:hint="default" w:ascii="宋体" w:hAnsi="宋体" w:cs="Arial"/>
                <w:sz w:val="21"/>
                <w:szCs w:val="21"/>
                <w:lang w:val="en-US" w:eastAsia="zh-CN"/>
              </w:rPr>
            </w:pPr>
            <w:r>
              <w:rPr>
                <w:rFonts w:hint="default" w:ascii="宋体" w:hAnsi="宋体" w:cs="Arial"/>
                <w:sz w:val="21"/>
                <w:szCs w:val="21"/>
                <w:lang w:val="en-US" w:eastAsia="zh-CN"/>
              </w:rPr>
              <w:t xml:space="preserve">项目联系人：杨万里     </w:t>
            </w:r>
          </w:p>
          <w:p w14:paraId="4F81F0EA">
            <w:pPr>
              <w:adjustRightInd w:val="0"/>
              <w:snapToGrid w:val="0"/>
              <w:spacing w:before="24" w:beforeLines="10" w:after="24" w:afterLines="10" w:line="360" w:lineRule="exact"/>
              <w:ind w:left="22" w:leftChars="10" w:right="22" w:rightChars="10"/>
              <w:textAlignment w:val="baseline"/>
              <w:rPr>
                <w:rFonts w:hint="default" w:ascii="宋体" w:hAnsi="宋体" w:cs="Arial"/>
                <w:sz w:val="21"/>
                <w:szCs w:val="21"/>
                <w:lang w:val="en-US" w:eastAsia="zh-CN"/>
              </w:rPr>
            </w:pPr>
            <w:r>
              <w:rPr>
                <w:rFonts w:hint="default" w:ascii="宋体" w:hAnsi="宋体" w:cs="Arial"/>
                <w:sz w:val="21"/>
                <w:szCs w:val="21"/>
                <w:lang w:val="en-US" w:eastAsia="zh-CN"/>
              </w:rPr>
              <w:t>联系方式：0394-8286673</w:t>
            </w:r>
          </w:p>
        </w:tc>
      </w:tr>
      <w:tr w14:paraId="469BC2B0">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7A23B40D">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1.1.3</w:t>
            </w:r>
          </w:p>
        </w:tc>
        <w:tc>
          <w:tcPr>
            <w:tcW w:w="1980" w:type="dxa"/>
            <w:tcBorders>
              <w:top w:val="single" w:color="auto" w:sz="4" w:space="0"/>
              <w:left w:val="nil"/>
              <w:bottom w:val="single" w:color="auto" w:sz="4" w:space="0"/>
              <w:right w:val="single" w:color="auto" w:sz="4" w:space="0"/>
            </w:tcBorders>
            <w:vAlign w:val="center"/>
          </w:tcPr>
          <w:p w14:paraId="2114F259">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采购代理机构</w:t>
            </w:r>
          </w:p>
        </w:tc>
        <w:tc>
          <w:tcPr>
            <w:tcW w:w="6639" w:type="dxa"/>
            <w:tcBorders>
              <w:top w:val="single" w:color="auto" w:sz="4" w:space="0"/>
              <w:left w:val="nil"/>
              <w:bottom w:val="single" w:color="auto" w:sz="4" w:space="0"/>
              <w:right w:val="single" w:color="auto" w:sz="4" w:space="0"/>
            </w:tcBorders>
            <w:vAlign w:val="center"/>
          </w:tcPr>
          <w:p w14:paraId="78E1E215">
            <w:pPr>
              <w:adjustRightInd w:val="0"/>
              <w:snapToGrid w:val="0"/>
              <w:spacing w:before="24" w:beforeLines="10" w:after="24" w:afterLines="10" w:line="360" w:lineRule="exact"/>
              <w:ind w:left="22" w:leftChars="10" w:right="22" w:rightChars="10"/>
              <w:jc w:val="both"/>
              <w:textAlignment w:val="baseline"/>
              <w:rPr>
                <w:rFonts w:hint="eastAsia" w:ascii="宋体" w:hAnsi="宋体" w:cs="Arial"/>
                <w:kern w:val="2"/>
                <w:sz w:val="21"/>
                <w:szCs w:val="21"/>
              </w:rPr>
            </w:pPr>
            <w:r>
              <w:rPr>
                <w:rFonts w:hint="eastAsia" w:ascii="宋体" w:hAnsi="宋体" w:cs="Arial"/>
                <w:kern w:val="2"/>
                <w:sz w:val="21"/>
                <w:szCs w:val="21"/>
              </w:rPr>
              <w:t>名 称：圣弘建设股份有限公司</w:t>
            </w:r>
          </w:p>
          <w:p w14:paraId="1C0B41CE">
            <w:pPr>
              <w:adjustRightInd w:val="0"/>
              <w:snapToGrid w:val="0"/>
              <w:spacing w:before="24" w:beforeLines="10" w:after="24" w:afterLines="10" w:line="360" w:lineRule="exact"/>
              <w:ind w:left="22" w:leftChars="10" w:right="22" w:rightChars="10"/>
              <w:jc w:val="both"/>
              <w:textAlignment w:val="baseline"/>
              <w:rPr>
                <w:rFonts w:hint="eastAsia" w:ascii="宋体" w:hAnsi="宋体" w:cs="Arial"/>
                <w:kern w:val="2"/>
                <w:sz w:val="21"/>
                <w:szCs w:val="21"/>
              </w:rPr>
            </w:pPr>
            <w:r>
              <w:rPr>
                <w:rFonts w:hint="eastAsia" w:ascii="宋体" w:hAnsi="宋体" w:cs="Arial"/>
                <w:kern w:val="2"/>
                <w:sz w:val="21"/>
                <w:szCs w:val="21"/>
              </w:rPr>
              <w:t>地 址：河南自贸试验区郑州片区(郑东)福禄路与普济路交叉口东南连邦大厦19层</w:t>
            </w:r>
          </w:p>
          <w:p w14:paraId="2F825FB7">
            <w:pPr>
              <w:adjustRightInd w:val="0"/>
              <w:snapToGrid w:val="0"/>
              <w:spacing w:before="24" w:beforeLines="10" w:after="24" w:afterLines="10" w:line="360" w:lineRule="exact"/>
              <w:ind w:left="22" w:leftChars="10" w:right="22" w:rightChars="10"/>
              <w:jc w:val="both"/>
              <w:textAlignment w:val="baseline"/>
              <w:rPr>
                <w:rFonts w:hint="eastAsia" w:ascii="宋体" w:hAnsi="宋体" w:cs="Arial"/>
                <w:kern w:val="2"/>
                <w:sz w:val="21"/>
                <w:szCs w:val="21"/>
              </w:rPr>
            </w:pPr>
            <w:r>
              <w:rPr>
                <w:rFonts w:hint="eastAsia" w:ascii="宋体" w:hAnsi="宋体" w:cs="Arial"/>
                <w:kern w:val="2"/>
                <w:sz w:val="21"/>
                <w:szCs w:val="21"/>
              </w:rPr>
              <w:t xml:space="preserve">项目联系人：高斌 孙朋博            </w:t>
            </w:r>
          </w:p>
          <w:p w14:paraId="748CC8CF">
            <w:pPr>
              <w:adjustRightInd w:val="0"/>
              <w:snapToGrid w:val="0"/>
              <w:spacing w:before="24" w:beforeLines="10" w:after="24" w:afterLines="10" w:line="360" w:lineRule="exact"/>
              <w:ind w:left="22" w:leftChars="10" w:right="22" w:rightChars="10"/>
              <w:jc w:val="both"/>
              <w:textAlignment w:val="baseline"/>
              <w:rPr>
                <w:rFonts w:ascii="宋体" w:hAnsi="宋体" w:cs="Arial"/>
                <w:kern w:val="2"/>
                <w:sz w:val="21"/>
                <w:szCs w:val="21"/>
              </w:rPr>
            </w:pPr>
            <w:r>
              <w:rPr>
                <w:rFonts w:hint="eastAsia" w:ascii="宋体" w:hAnsi="宋体" w:cs="Arial"/>
                <w:kern w:val="2"/>
                <w:sz w:val="21"/>
                <w:szCs w:val="21"/>
              </w:rPr>
              <w:t>联系方式：17530212688/19103889788</w:t>
            </w:r>
          </w:p>
        </w:tc>
      </w:tr>
      <w:tr w14:paraId="39491779">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60F19246">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rPr>
            </w:pPr>
            <w:r>
              <w:rPr>
                <w:rFonts w:hint="eastAsia" w:ascii="宋体" w:hAnsi="宋体" w:cs="Times New Roman"/>
                <w:sz w:val="21"/>
                <w:szCs w:val="21"/>
                <w:lang w:eastAsia="zh-CN"/>
              </w:rPr>
              <w:t>1.2.1</w:t>
            </w:r>
          </w:p>
        </w:tc>
        <w:tc>
          <w:tcPr>
            <w:tcW w:w="1980" w:type="dxa"/>
            <w:tcBorders>
              <w:top w:val="single" w:color="auto" w:sz="4" w:space="0"/>
              <w:left w:val="nil"/>
              <w:bottom w:val="single" w:color="auto" w:sz="4" w:space="0"/>
              <w:right w:val="single" w:color="auto" w:sz="4" w:space="0"/>
            </w:tcBorders>
            <w:vAlign w:val="center"/>
          </w:tcPr>
          <w:p w14:paraId="02A903DB">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rPr>
            </w:pPr>
            <w:r>
              <w:rPr>
                <w:rFonts w:hint="eastAsia" w:ascii="宋体" w:hAnsi="宋体" w:cs="Times New Roman"/>
                <w:sz w:val="21"/>
                <w:szCs w:val="21"/>
                <w:lang w:eastAsia="zh-CN"/>
              </w:rPr>
              <w:t>项目名称</w:t>
            </w:r>
          </w:p>
        </w:tc>
        <w:tc>
          <w:tcPr>
            <w:tcW w:w="6639" w:type="dxa"/>
            <w:tcBorders>
              <w:top w:val="single" w:color="auto" w:sz="4" w:space="0"/>
              <w:left w:val="nil"/>
              <w:bottom w:val="single" w:color="auto" w:sz="4" w:space="0"/>
              <w:right w:val="single" w:color="auto" w:sz="4" w:space="0"/>
            </w:tcBorders>
            <w:vAlign w:val="center"/>
          </w:tcPr>
          <w:p w14:paraId="600D6DF3">
            <w:pPr>
              <w:adjustRightInd w:val="0"/>
              <w:snapToGrid w:val="0"/>
              <w:spacing w:before="24" w:beforeLines="10" w:after="24" w:afterLines="10" w:line="400" w:lineRule="exact"/>
              <w:ind w:left="22" w:leftChars="10" w:right="22" w:rightChars="10"/>
              <w:jc w:val="both"/>
              <w:textAlignment w:val="baseline"/>
              <w:rPr>
                <w:rFonts w:ascii="宋体" w:hAnsi="宋体" w:cs="Arial"/>
                <w:sz w:val="21"/>
                <w:szCs w:val="21"/>
                <w:lang w:eastAsia="zh-CN"/>
              </w:rPr>
            </w:pPr>
            <w:r>
              <w:rPr>
                <w:rFonts w:hint="eastAsia" w:ascii="宋体" w:hAnsi="宋体" w:cs="Arial"/>
                <w:sz w:val="21"/>
                <w:szCs w:val="21"/>
                <w:lang w:eastAsia="zh-CN"/>
              </w:rPr>
              <w:t>周口市交通运输局周口市“十五五”现代综合交通运输体系发展规划编制服务采购项目</w:t>
            </w:r>
          </w:p>
        </w:tc>
      </w:tr>
      <w:tr w14:paraId="19128C00">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1A5680B3">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rPr>
            </w:pPr>
            <w:r>
              <w:rPr>
                <w:rFonts w:hint="eastAsia" w:ascii="宋体" w:hAnsi="宋体" w:cs="Times New Roman"/>
                <w:sz w:val="21"/>
                <w:szCs w:val="21"/>
                <w:lang w:eastAsia="zh-CN"/>
              </w:rPr>
              <w:t>1.2.2</w:t>
            </w:r>
          </w:p>
        </w:tc>
        <w:tc>
          <w:tcPr>
            <w:tcW w:w="1980" w:type="dxa"/>
            <w:tcBorders>
              <w:top w:val="single" w:color="auto" w:sz="4" w:space="0"/>
              <w:left w:val="nil"/>
              <w:bottom w:val="single" w:color="auto" w:sz="4" w:space="0"/>
              <w:right w:val="single" w:color="auto" w:sz="4" w:space="0"/>
            </w:tcBorders>
            <w:vAlign w:val="center"/>
          </w:tcPr>
          <w:p w14:paraId="0284E59C">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highlight w:val="none"/>
              </w:rPr>
            </w:pPr>
            <w:r>
              <w:rPr>
                <w:rFonts w:hint="eastAsia" w:ascii="宋体" w:hAnsi="宋体" w:cs="Times New Roman"/>
                <w:sz w:val="21"/>
                <w:szCs w:val="21"/>
                <w:highlight w:val="none"/>
                <w:lang w:eastAsia="zh-CN"/>
              </w:rPr>
              <w:t>资金来源</w:t>
            </w:r>
          </w:p>
        </w:tc>
        <w:tc>
          <w:tcPr>
            <w:tcW w:w="6639" w:type="dxa"/>
            <w:tcBorders>
              <w:top w:val="single" w:color="auto" w:sz="4" w:space="0"/>
              <w:left w:val="nil"/>
              <w:bottom w:val="single" w:color="auto" w:sz="4" w:space="0"/>
              <w:right w:val="single" w:color="auto" w:sz="4" w:space="0"/>
            </w:tcBorders>
            <w:vAlign w:val="center"/>
          </w:tcPr>
          <w:p w14:paraId="43292701">
            <w:pPr>
              <w:adjustRightInd w:val="0"/>
              <w:snapToGrid w:val="0"/>
              <w:spacing w:before="24" w:beforeLines="10" w:after="24" w:afterLines="10" w:line="400" w:lineRule="exact"/>
              <w:ind w:left="22" w:leftChars="10" w:right="22" w:rightChars="10"/>
              <w:textAlignment w:val="baseline"/>
              <w:rPr>
                <w:rFonts w:hint="eastAsia" w:ascii="宋体" w:hAnsi="宋体" w:eastAsia="宋体" w:cs="Arial"/>
                <w:sz w:val="21"/>
                <w:szCs w:val="21"/>
                <w:highlight w:val="none"/>
                <w:lang w:eastAsia="zh-CN"/>
              </w:rPr>
            </w:pPr>
            <w:r>
              <w:rPr>
                <w:rFonts w:hint="eastAsia" w:ascii="宋体" w:hAnsi="宋体" w:cs="Arial"/>
                <w:bCs/>
                <w:sz w:val="21"/>
                <w:szCs w:val="21"/>
                <w:highlight w:val="none"/>
              </w:rPr>
              <w:t>财政资金</w:t>
            </w:r>
            <w:r>
              <w:rPr>
                <w:rFonts w:hint="eastAsia" w:ascii="宋体" w:hAnsi="宋体" w:cs="Arial"/>
                <w:bCs/>
                <w:sz w:val="21"/>
                <w:szCs w:val="21"/>
                <w:highlight w:val="none"/>
                <w:lang w:eastAsia="zh-CN"/>
              </w:rPr>
              <w:t>。</w:t>
            </w:r>
          </w:p>
        </w:tc>
      </w:tr>
      <w:tr w14:paraId="420C0ECB">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36981DBD">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rPr>
            </w:pPr>
            <w:r>
              <w:rPr>
                <w:rFonts w:hint="eastAsia" w:ascii="宋体" w:hAnsi="宋体" w:cs="Times New Roman"/>
                <w:sz w:val="21"/>
                <w:szCs w:val="21"/>
                <w:lang w:eastAsia="zh-CN"/>
              </w:rPr>
              <w:t>1.2.3</w:t>
            </w:r>
          </w:p>
        </w:tc>
        <w:tc>
          <w:tcPr>
            <w:tcW w:w="1980" w:type="dxa"/>
            <w:tcBorders>
              <w:top w:val="single" w:color="auto" w:sz="4" w:space="0"/>
              <w:left w:val="nil"/>
              <w:bottom w:val="single" w:color="auto" w:sz="4" w:space="0"/>
              <w:right w:val="single" w:color="auto" w:sz="4" w:space="0"/>
            </w:tcBorders>
            <w:vAlign w:val="center"/>
          </w:tcPr>
          <w:p w14:paraId="26FDAE2C">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highlight w:val="none"/>
              </w:rPr>
            </w:pPr>
            <w:r>
              <w:rPr>
                <w:rFonts w:hint="eastAsia" w:ascii="宋体" w:hAnsi="宋体" w:cs="Times New Roman"/>
                <w:sz w:val="21"/>
                <w:szCs w:val="21"/>
                <w:highlight w:val="none"/>
                <w:lang w:eastAsia="zh-CN"/>
              </w:rPr>
              <w:t>资金落实情况</w:t>
            </w:r>
          </w:p>
        </w:tc>
        <w:tc>
          <w:tcPr>
            <w:tcW w:w="6639" w:type="dxa"/>
            <w:tcBorders>
              <w:top w:val="single" w:color="auto" w:sz="4" w:space="0"/>
              <w:left w:val="nil"/>
              <w:bottom w:val="single" w:color="auto" w:sz="4" w:space="0"/>
              <w:right w:val="single" w:color="auto" w:sz="4" w:space="0"/>
            </w:tcBorders>
            <w:vAlign w:val="center"/>
          </w:tcPr>
          <w:p w14:paraId="10BF7188">
            <w:pPr>
              <w:adjustRightInd w:val="0"/>
              <w:snapToGrid w:val="0"/>
              <w:spacing w:before="24" w:beforeLines="10" w:after="24" w:afterLines="10" w:line="400" w:lineRule="exact"/>
              <w:ind w:left="22" w:leftChars="10" w:right="22" w:rightChars="10"/>
              <w:textAlignment w:val="baseline"/>
              <w:rPr>
                <w:rFonts w:ascii="宋体" w:hAnsi="宋体" w:cs="Arial"/>
                <w:sz w:val="21"/>
                <w:szCs w:val="21"/>
                <w:highlight w:val="none"/>
              </w:rPr>
            </w:pPr>
            <w:r>
              <w:rPr>
                <w:rFonts w:hint="eastAsia" w:ascii="宋体" w:hAnsi="宋体"/>
                <w:sz w:val="21"/>
                <w:szCs w:val="21"/>
                <w:highlight w:val="none"/>
                <w:lang w:eastAsia="zh-CN"/>
              </w:rPr>
              <w:t>已落实。</w:t>
            </w:r>
          </w:p>
        </w:tc>
      </w:tr>
      <w:tr w14:paraId="4EF444BD">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57FB08E6">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rPr>
            </w:pPr>
            <w:r>
              <w:rPr>
                <w:rFonts w:hint="eastAsia" w:ascii="宋体" w:hAnsi="宋体" w:cs="Times New Roman"/>
                <w:sz w:val="21"/>
                <w:szCs w:val="21"/>
                <w:lang w:eastAsia="zh-CN"/>
              </w:rPr>
              <w:t>1.3.1</w:t>
            </w:r>
          </w:p>
        </w:tc>
        <w:tc>
          <w:tcPr>
            <w:tcW w:w="1980" w:type="dxa"/>
            <w:tcBorders>
              <w:top w:val="single" w:color="auto" w:sz="4" w:space="0"/>
              <w:left w:val="nil"/>
              <w:bottom w:val="single" w:color="auto" w:sz="4" w:space="0"/>
              <w:right w:val="single" w:color="auto" w:sz="4" w:space="0"/>
            </w:tcBorders>
            <w:vAlign w:val="center"/>
          </w:tcPr>
          <w:p w14:paraId="04AF1B1F">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highlight w:val="none"/>
              </w:rPr>
            </w:pPr>
            <w:r>
              <w:rPr>
                <w:rFonts w:hint="eastAsia" w:ascii="宋体" w:hAnsi="宋体" w:cs="Times New Roman"/>
                <w:sz w:val="21"/>
                <w:szCs w:val="21"/>
                <w:highlight w:val="none"/>
                <w:lang w:eastAsia="zh-CN"/>
              </w:rPr>
              <w:t>采购内容</w:t>
            </w:r>
          </w:p>
        </w:tc>
        <w:tc>
          <w:tcPr>
            <w:tcW w:w="6639" w:type="dxa"/>
            <w:tcBorders>
              <w:top w:val="single" w:color="auto" w:sz="4" w:space="0"/>
              <w:left w:val="nil"/>
              <w:bottom w:val="single" w:color="auto" w:sz="4" w:space="0"/>
              <w:right w:val="single" w:color="auto" w:sz="4" w:space="0"/>
            </w:tcBorders>
            <w:vAlign w:val="center"/>
          </w:tcPr>
          <w:p w14:paraId="6F67CE82">
            <w:pPr>
              <w:adjustRightInd w:val="0"/>
              <w:snapToGrid w:val="0"/>
              <w:spacing w:before="24" w:beforeLines="10" w:after="24" w:afterLines="10" w:line="400" w:lineRule="exact"/>
              <w:ind w:left="22" w:leftChars="10" w:right="22" w:rightChars="10"/>
              <w:jc w:val="both"/>
              <w:textAlignment w:val="baseline"/>
              <w:rPr>
                <w:rFonts w:ascii="宋体" w:hAnsi="宋体" w:cs="Arial"/>
                <w:sz w:val="21"/>
                <w:szCs w:val="21"/>
                <w:highlight w:val="none"/>
                <w:lang w:eastAsia="zh-CN"/>
              </w:rPr>
            </w:pPr>
            <w:r>
              <w:rPr>
                <w:rFonts w:hint="eastAsia" w:ascii="宋体" w:hAnsi="宋体" w:cs="Arial"/>
                <w:sz w:val="21"/>
                <w:szCs w:val="21"/>
                <w:highlight w:val="none"/>
                <w:lang w:eastAsia="zh-CN"/>
              </w:rPr>
              <w:t>分析周口市“十四五”交通运输发展成效，梳理存在问题，研判“十五五”发展形势与需求；明确综合交通网络布局、运输服务品质、智慧绿色发展等目标指标；提出基础设施互联互通、多式联运协同、交通数智化等建设任务；制定实施机制、资金筹措、用地保障等配套措施；成果转化，形成规划文本、图集、项目库。</w:t>
            </w:r>
          </w:p>
        </w:tc>
      </w:tr>
      <w:tr w14:paraId="26EB2D7B">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0EB08908">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rPr>
            </w:pPr>
            <w:r>
              <w:rPr>
                <w:rFonts w:hint="eastAsia" w:ascii="宋体" w:hAnsi="宋体" w:cs="Times New Roman"/>
                <w:sz w:val="21"/>
                <w:szCs w:val="21"/>
                <w:lang w:eastAsia="zh-CN"/>
              </w:rPr>
              <w:t>1.3.2</w:t>
            </w:r>
          </w:p>
        </w:tc>
        <w:tc>
          <w:tcPr>
            <w:tcW w:w="1980" w:type="dxa"/>
            <w:tcBorders>
              <w:top w:val="single" w:color="auto" w:sz="4" w:space="0"/>
              <w:left w:val="nil"/>
              <w:bottom w:val="single" w:color="auto" w:sz="4" w:space="0"/>
              <w:right w:val="single" w:color="auto" w:sz="4" w:space="0"/>
            </w:tcBorders>
            <w:vAlign w:val="center"/>
          </w:tcPr>
          <w:p w14:paraId="4BC5C585">
            <w:pPr>
              <w:adjustRightInd w:val="0"/>
              <w:snapToGrid w:val="0"/>
              <w:spacing w:before="24" w:beforeLines="10" w:after="24" w:afterLines="10" w:line="400" w:lineRule="exact"/>
              <w:ind w:right="22" w:rightChars="10" w:firstLine="420" w:firstLineChars="200"/>
              <w:textAlignment w:val="baseline"/>
              <w:rPr>
                <w:highlight w:val="none"/>
                <w:lang w:eastAsia="zh-CN"/>
              </w:rPr>
            </w:pPr>
            <w:r>
              <w:rPr>
                <w:rFonts w:hint="eastAsia" w:ascii="宋体" w:hAnsi="宋体" w:cs="Arial"/>
                <w:sz w:val="21"/>
                <w:szCs w:val="21"/>
                <w:highlight w:val="none"/>
                <w:lang w:val="en-US" w:eastAsia="zh-CN"/>
              </w:rPr>
              <w:t>服务</w:t>
            </w:r>
            <w:r>
              <w:rPr>
                <w:rFonts w:hint="eastAsia" w:ascii="宋体" w:hAnsi="宋体" w:cs="Arial"/>
                <w:sz w:val="21"/>
                <w:szCs w:val="21"/>
                <w:highlight w:val="none"/>
                <w:lang w:eastAsia="zh-CN"/>
              </w:rPr>
              <w:t>质量</w:t>
            </w:r>
          </w:p>
        </w:tc>
        <w:tc>
          <w:tcPr>
            <w:tcW w:w="6639" w:type="dxa"/>
            <w:tcBorders>
              <w:top w:val="single" w:color="auto" w:sz="4" w:space="0"/>
              <w:left w:val="nil"/>
              <w:bottom w:val="single" w:color="auto" w:sz="4" w:space="0"/>
              <w:right w:val="single" w:color="auto" w:sz="4" w:space="0"/>
            </w:tcBorders>
            <w:vAlign w:val="center"/>
          </w:tcPr>
          <w:p w14:paraId="4006A212">
            <w:pPr>
              <w:adjustRightInd w:val="0"/>
              <w:snapToGrid w:val="0"/>
              <w:spacing w:before="24" w:beforeLines="10" w:after="24" w:afterLines="10" w:line="400" w:lineRule="exact"/>
              <w:ind w:left="22" w:leftChars="10" w:right="22" w:rightChars="10"/>
              <w:jc w:val="both"/>
              <w:textAlignment w:val="baseline"/>
              <w:rPr>
                <w:highlight w:val="none"/>
                <w:lang w:eastAsia="zh-CN"/>
              </w:rPr>
            </w:pPr>
            <w:r>
              <w:rPr>
                <w:rFonts w:hint="eastAsia"/>
                <w:highlight w:val="none"/>
                <w:lang w:val="en-US" w:eastAsia="zh-CN"/>
              </w:rPr>
              <w:t>达到国家现行规范及验收合格标准，满足采购人需求。</w:t>
            </w:r>
          </w:p>
        </w:tc>
      </w:tr>
      <w:tr w14:paraId="3F8BE63E">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29587E2F">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rPr>
            </w:pPr>
            <w:r>
              <w:rPr>
                <w:rFonts w:hint="eastAsia" w:ascii="宋体" w:hAnsi="宋体" w:cs="Times New Roman"/>
                <w:sz w:val="21"/>
                <w:szCs w:val="21"/>
                <w:lang w:eastAsia="zh-CN"/>
              </w:rPr>
              <w:t>1.3.3</w:t>
            </w:r>
          </w:p>
        </w:tc>
        <w:tc>
          <w:tcPr>
            <w:tcW w:w="1980" w:type="dxa"/>
            <w:tcBorders>
              <w:top w:val="single" w:color="auto" w:sz="4" w:space="0"/>
              <w:left w:val="nil"/>
              <w:bottom w:val="single" w:color="auto" w:sz="4" w:space="0"/>
              <w:right w:val="single" w:color="auto" w:sz="4" w:space="0"/>
            </w:tcBorders>
            <w:vAlign w:val="center"/>
          </w:tcPr>
          <w:p w14:paraId="5D1B7049">
            <w:pPr>
              <w:adjustRightInd w:val="0"/>
              <w:snapToGrid w:val="0"/>
              <w:spacing w:before="24" w:beforeLines="10" w:after="24" w:afterLines="10" w:line="400" w:lineRule="exact"/>
              <w:ind w:right="22" w:rightChars="10"/>
              <w:jc w:val="center"/>
              <w:textAlignment w:val="baseline"/>
              <w:rPr>
                <w:rFonts w:ascii="宋体" w:hAnsi="宋体" w:cs="Arial"/>
                <w:sz w:val="21"/>
                <w:szCs w:val="21"/>
                <w:highlight w:val="none"/>
                <w:lang w:eastAsia="zh-CN"/>
              </w:rPr>
            </w:pPr>
            <w:r>
              <w:rPr>
                <w:rFonts w:hint="eastAsia" w:ascii="宋体" w:hAnsi="宋体" w:cs="Arial"/>
                <w:sz w:val="21"/>
                <w:szCs w:val="21"/>
                <w:highlight w:val="none"/>
                <w:lang w:eastAsia="zh-CN"/>
              </w:rPr>
              <w:t>服务期限及合同</w:t>
            </w:r>
          </w:p>
          <w:p w14:paraId="1E102654">
            <w:pPr>
              <w:adjustRightInd w:val="0"/>
              <w:snapToGrid w:val="0"/>
              <w:spacing w:before="24" w:beforeLines="10" w:after="24" w:afterLines="10" w:line="400" w:lineRule="exact"/>
              <w:ind w:right="22" w:rightChars="10"/>
              <w:jc w:val="center"/>
              <w:textAlignment w:val="baseline"/>
              <w:rPr>
                <w:rFonts w:ascii="宋体" w:hAnsi="宋体" w:cs="Arial"/>
                <w:sz w:val="21"/>
                <w:szCs w:val="21"/>
                <w:highlight w:val="none"/>
                <w:lang w:eastAsia="zh-CN"/>
              </w:rPr>
            </w:pPr>
            <w:r>
              <w:rPr>
                <w:rFonts w:hint="eastAsia" w:ascii="宋体" w:hAnsi="宋体" w:cs="Arial"/>
                <w:sz w:val="21"/>
                <w:szCs w:val="21"/>
                <w:highlight w:val="none"/>
                <w:lang w:eastAsia="zh-CN"/>
              </w:rPr>
              <w:t>履行期限</w:t>
            </w:r>
          </w:p>
        </w:tc>
        <w:tc>
          <w:tcPr>
            <w:tcW w:w="6639" w:type="dxa"/>
            <w:tcBorders>
              <w:top w:val="single" w:color="auto" w:sz="4" w:space="0"/>
              <w:left w:val="nil"/>
              <w:bottom w:val="single" w:color="auto" w:sz="4" w:space="0"/>
              <w:right w:val="single" w:color="auto" w:sz="4" w:space="0"/>
            </w:tcBorders>
            <w:vAlign w:val="center"/>
          </w:tcPr>
          <w:p w14:paraId="0A51C629">
            <w:pPr>
              <w:adjustRightInd w:val="0"/>
              <w:snapToGrid w:val="0"/>
              <w:spacing w:before="24" w:beforeLines="10" w:after="24" w:afterLines="10" w:line="400" w:lineRule="exact"/>
              <w:ind w:right="22" w:rightChars="10"/>
              <w:textAlignment w:val="baseline"/>
              <w:rPr>
                <w:rFonts w:hint="default" w:ascii="宋体" w:hAnsi="宋体" w:cs="Arial"/>
                <w:sz w:val="21"/>
                <w:szCs w:val="21"/>
                <w:highlight w:val="none"/>
                <w:lang w:val="en-US" w:eastAsia="zh-CN"/>
              </w:rPr>
            </w:pPr>
            <w:r>
              <w:rPr>
                <w:rFonts w:hint="eastAsia" w:ascii="宋体" w:hAnsi="宋体" w:cs="Arial"/>
                <w:sz w:val="21"/>
                <w:szCs w:val="21"/>
                <w:highlight w:val="none"/>
                <w:lang w:eastAsia="zh-CN"/>
              </w:rPr>
              <w:t>服务期限：自合同签订之日起至通过相关部门组织通过验收,满足采购人要求。</w:t>
            </w:r>
          </w:p>
          <w:p w14:paraId="4FAB52B0">
            <w:pPr>
              <w:adjustRightInd w:val="0"/>
              <w:snapToGrid w:val="0"/>
              <w:spacing w:before="24" w:beforeLines="10" w:after="24" w:afterLines="10" w:line="400" w:lineRule="exact"/>
              <w:ind w:right="22" w:rightChars="10"/>
              <w:textAlignment w:val="baseline"/>
              <w:rPr>
                <w:rFonts w:ascii="宋体" w:hAnsi="宋体" w:cs="Arial"/>
                <w:sz w:val="21"/>
                <w:szCs w:val="21"/>
                <w:highlight w:val="none"/>
                <w:lang w:eastAsia="zh-CN"/>
              </w:rPr>
            </w:pPr>
            <w:r>
              <w:rPr>
                <w:rFonts w:hint="eastAsia" w:ascii="宋体" w:hAnsi="宋体" w:cs="Arial"/>
                <w:sz w:val="21"/>
                <w:szCs w:val="21"/>
                <w:highlight w:val="none"/>
                <w:lang w:eastAsia="zh-CN"/>
              </w:rPr>
              <w:t>合同履行期限：详见服务期限。</w:t>
            </w:r>
          </w:p>
        </w:tc>
      </w:tr>
      <w:tr w14:paraId="0C1DC260">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092F9465">
            <w:pPr>
              <w:tabs>
                <w:tab w:val="left" w:pos="641"/>
              </w:tabs>
              <w:adjustRightInd w:val="0"/>
              <w:snapToGrid w:val="0"/>
              <w:spacing w:before="24" w:beforeLines="10" w:after="24" w:afterLines="10" w:line="400" w:lineRule="exact"/>
              <w:ind w:left="22" w:leftChars="10" w:right="22" w:rightChars="10"/>
              <w:jc w:val="center"/>
              <w:rPr>
                <w:rFonts w:ascii="宋体" w:hAnsi="宋体" w:cs="Times New Roman"/>
                <w:sz w:val="21"/>
                <w:szCs w:val="21"/>
                <w:lang w:eastAsia="zh-CN"/>
              </w:rPr>
            </w:pPr>
            <w:r>
              <w:rPr>
                <w:rFonts w:hint="eastAsia" w:ascii="宋体" w:hAnsi="宋体" w:cs="Times New Roman"/>
                <w:sz w:val="21"/>
                <w:szCs w:val="21"/>
                <w:lang w:eastAsia="zh-CN"/>
              </w:rPr>
              <w:t>1.3.4</w:t>
            </w:r>
          </w:p>
        </w:tc>
        <w:tc>
          <w:tcPr>
            <w:tcW w:w="1980" w:type="dxa"/>
            <w:tcBorders>
              <w:top w:val="single" w:color="auto" w:sz="4" w:space="0"/>
              <w:left w:val="nil"/>
              <w:bottom w:val="single" w:color="auto" w:sz="4" w:space="0"/>
              <w:right w:val="single" w:color="auto" w:sz="4" w:space="0"/>
            </w:tcBorders>
            <w:vAlign w:val="center"/>
          </w:tcPr>
          <w:p w14:paraId="0FE3CBBA">
            <w:pPr>
              <w:adjustRightInd w:val="0"/>
              <w:snapToGrid w:val="0"/>
              <w:spacing w:before="24" w:beforeLines="10" w:after="24" w:afterLines="10" w:line="400" w:lineRule="exact"/>
              <w:ind w:right="22" w:rightChars="10" w:firstLine="420" w:firstLineChars="200"/>
              <w:textAlignment w:val="baseline"/>
              <w:rPr>
                <w:rFonts w:ascii="宋体" w:hAnsi="宋体"/>
                <w:sz w:val="21"/>
                <w:szCs w:val="21"/>
                <w:lang w:eastAsia="zh-CN"/>
              </w:rPr>
            </w:pPr>
            <w:r>
              <w:rPr>
                <w:rFonts w:hint="eastAsia" w:ascii="宋体" w:hAnsi="宋体"/>
                <w:sz w:val="21"/>
                <w:szCs w:val="21"/>
                <w:lang w:eastAsia="zh-CN"/>
              </w:rPr>
              <w:t>服务地点</w:t>
            </w:r>
          </w:p>
        </w:tc>
        <w:tc>
          <w:tcPr>
            <w:tcW w:w="6639" w:type="dxa"/>
            <w:tcBorders>
              <w:top w:val="single" w:color="auto" w:sz="4" w:space="0"/>
              <w:left w:val="nil"/>
              <w:bottom w:val="single" w:color="auto" w:sz="4" w:space="0"/>
              <w:right w:val="single" w:color="auto" w:sz="4" w:space="0"/>
            </w:tcBorders>
            <w:vAlign w:val="center"/>
          </w:tcPr>
          <w:p w14:paraId="7CFAE6D7">
            <w:pPr>
              <w:adjustRightInd w:val="0"/>
              <w:snapToGrid w:val="0"/>
              <w:spacing w:before="24" w:beforeLines="10" w:after="24" w:afterLines="10" w:line="400" w:lineRule="exact"/>
              <w:ind w:right="22" w:rightChars="10"/>
              <w:textAlignment w:val="baseline"/>
              <w:rPr>
                <w:rFonts w:ascii="宋体" w:hAnsi="宋体"/>
                <w:sz w:val="21"/>
                <w:szCs w:val="21"/>
                <w:lang w:eastAsia="zh-CN"/>
              </w:rPr>
            </w:pPr>
            <w:r>
              <w:rPr>
                <w:rFonts w:hint="eastAsia" w:ascii="宋体" w:hAnsi="宋体"/>
                <w:sz w:val="21"/>
                <w:szCs w:val="21"/>
                <w:lang w:eastAsia="zh-CN"/>
              </w:rPr>
              <w:t>采购人指定地点。</w:t>
            </w:r>
          </w:p>
        </w:tc>
      </w:tr>
      <w:tr w14:paraId="4249D0B6">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0288525D">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1.</w:t>
            </w:r>
            <w:r>
              <w:rPr>
                <w:rFonts w:hint="eastAsia" w:ascii="宋体" w:hAnsi="宋体" w:cs="Arial"/>
                <w:sz w:val="21"/>
                <w:szCs w:val="21"/>
                <w:lang w:eastAsia="zh-CN"/>
              </w:rPr>
              <w:t>4</w:t>
            </w:r>
            <w:r>
              <w:rPr>
                <w:rFonts w:hint="eastAsia" w:ascii="宋体" w:hAnsi="宋体" w:cs="Arial"/>
                <w:sz w:val="21"/>
                <w:szCs w:val="21"/>
              </w:rPr>
              <w:t>.1</w:t>
            </w:r>
          </w:p>
        </w:tc>
        <w:tc>
          <w:tcPr>
            <w:tcW w:w="1980" w:type="dxa"/>
            <w:tcBorders>
              <w:top w:val="single" w:color="auto" w:sz="4" w:space="0"/>
              <w:left w:val="nil"/>
              <w:bottom w:val="single" w:color="auto" w:sz="4" w:space="0"/>
              <w:right w:val="single" w:color="auto" w:sz="4" w:space="0"/>
            </w:tcBorders>
            <w:vAlign w:val="center"/>
          </w:tcPr>
          <w:p w14:paraId="16B99976">
            <w:pPr>
              <w:adjustRightInd w:val="0"/>
              <w:snapToGrid w:val="0"/>
              <w:spacing w:line="400" w:lineRule="exact"/>
              <w:jc w:val="both"/>
              <w:textAlignment w:val="baseline"/>
              <w:rPr>
                <w:rFonts w:ascii="宋体" w:hAnsi="宋体" w:cs="Arial"/>
                <w:kern w:val="2"/>
                <w:sz w:val="21"/>
                <w:szCs w:val="21"/>
              </w:rPr>
            </w:pPr>
            <w:r>
              <w:rPr>
                <w:rFonts w:hint="eastAsia" w:ascii="宋体" w:hAnsi="宋体" w:cs="Arial"/>
                <w:sz w:val="21"/>
                <w:szCs w:val="21"/>
                <w:lang w:eastAsia="zh-CN"/>
              </w:rPr>
              <w:t>响应单位</w:t>
            </w:r>
            <w:r>
              <w:rPr>
                <w:rFonts w:hint="eastAsia" w:ascii="宋体" w:hAnsi="宋体" w:cs="Arial"/>
                <w:sz w:val="21"/>
                <w:szCs w:val="21"/>
              </w:rPr>
              <w:t>资格条件</w:t>
            </w:r>
          </w:p>
        </w:tc>
        <w:tc>
          <w:tcPr>
            <w:tcW w:w="6639" w:type="dxa"/>
            <w:tcBorders>
              <w:top w:val="single" w:color="auto" w:sz="4" w:space="0"/>
              <w:left w:val="nil"/>
              <w:bottom w:val="single" w:color="auto" w:sz="4" w:space="0"/>
              <w:right w:val="single" w:color="auto" w:sz="4" w:space="0"/>
            </w:tcBorders>
            <w:vAlign w:val="center"/>
          </w:tcPr>
          <w:p w14:paraId="13D3BA03">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宋体" w:hAnsi="宋体" w:cs="宋体"/>
                <w:b/>
                <w:bCs/>
                <w:sz w:val="21"/>
                <w:szCs w:val="21"/>
                <w:lang w:eastAsia="zh-CN"/>
              </w:rPr>
            </w:pPr>
            <w:r>
              <w:rPr>
                <w:rFonts w:hint="eastAsia" w:asciiTheme="minorEastAsia" w:hAnsiTheme="minorEastAsia" w:eastAsiaTheme="minorEastAsia" w:cstheme="minorEastAsia"/>
                <w:b/>
                <w:bCs/>
                <w:sz w:val="21"/>
                <w:szCs w:val="21"/>
                <w:lang w:eastAsia="zh-CN"/>
              </w:rPr>
              <w:t>1.</w:t>
            </w:r>
            <w:r>
              <w:rPr>
                <w:rFonts w:hint="eastAsia" w:ascii="宋体" w:hAnsi="宋体" w:cs="宋体"/>
                <w:b/>
                <w:bCs/>
                <w:sz w:val="21"/>
                <w:szCs w:val="21"/>
                <w:lang w:eastAsia="zh-CN"/>
              </w:rPr>
              <w:t>符合《中华人民共和国政府采购法》第二十二条及《中华人民共和国政府采购法实施条例》第十七条条件，并提供下列材料：</w:t>
            </w:r>
          </w:p>
          <w:p w14:paraId="5F7EC082">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宋体" w:hAnsi="宋体" w:cs="宋体"/>
                <w:sz w:val="21"/>
                <w:szCs w:val="21"/>
                <w:lang w:eastAsia="zh-CN"/>
              </w:rPr>
            </w:pPr>
            <w:r>
              <w:rPr>
                <w:rFonts w:hint="eastAsia" w:ascii="宋体" w:hAnsi="宋体" w:cs="宋体"/>
                <w:sz w:val="21"/>
                <w:szCs w:val="21"/>
                <w:lang w:eastAsia="zh-CN"/>
              </w:rPr>
              <w:t>1.1具有独立承担民事责任的能力。提供法人或其他组织的营业执照等证明文件、中国公民自然人的身份证。</w:t>
            </w:r>
          </w:p>
          <w:p w14:paraId="58057C75">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宋体" w:hAnsi="宋体" w:cs="宋体"/>
                <w:sz w:val="21"/>
                <w:szCs w:val="21"/>
                <w:lang w:eastAsia="zh-CN"/>
              </w:rPr>
            </w:pPr>
            <w:r>
              <w:rPr>
                <w:rFonts w:hint="eastAsia" w:ascii="宋体" w:hAnsi="宋体" w:cs="宋体"/>
                <w:sz w:val="21"/>
                <w:szCs w:val="21"/>
                <w:lang w:eastAsia="zh-CN"/>
              </w:rPr>
              <w:t>1.2具有良好的商业信誉和健全的财务会计制度。</w:t>
            </w:r>
          </w:p>
          <w:p w14:paraId="1786CE23">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宋体" w:hAnsi="宋体" w:cs="宋体"/>
                <w:sz w:val="21"/>
                <w:szCs w:val="21"/>
                <w:lang w:eastAsia="zh-CN"/>
              </w:rPr>
            </w:pPr>
            <w:r>
              <w:rPr>
                <w:rFonts w:hint="eastAsia" w:ascii="宋体" w:hAnsi="宋体" w:cs="宋体"/>
                <w:sz w:val="21"/>
                <w:szCs w:val="21"/>
                <w:lang w:eastAsia="zh-CN"/>
              </w:rPr>
              <w:t>1.3具有履行合同所必需的设备和专业技术能力。</w:t>
            </w:r>
          </w:p>
          <w:p w14:paraId="38BA4792">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宋体" w:hAnsi="宋体" w:cs="宋体"/>
                <w:sz w:val="21"/>
                <w:szCs w:val="21"/>
                <w:lang w:eastAsia="zh-CN"/>
              </w:rPr>
            </w:pPr>
            <w:r>
              <w:rPr>
                <w:rFonts w:hint="eastAsia" w:ascii="宋体" w:hAnsi="宋体" w:cs="宋体"/>
                <w:sz w:val="21"/>
                <w:szCs w:val="21"/>
                <w:lang w:eastAsia="zh-CN"/>
              </w:rPr>
              <w:t>1.4有依法缴纳税收和社会保障资金的良好记录。</w:t>
            </w:r>
          </w:p>
          <w:p w14:paraId="115F2307">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宋体" w:hAnsi="宋体" w:cs="宋体"/>
                <w:sz w:val="21"/>
                <w:szCs w:val="21"/>
                <w:lang w:eastAsia="zh-CN"/>
              </w:rPr>
            </w:pPr>
            <w:r>
              <w:rPr>
                <w:rFonts w:hint="eastAsia" w:ascii="宋体" w:hAnsi="宋体" w:cs="宋体"/>
                <w:sz w:val="21"/>
                <w:szCs w:val="21"/>
                <w:lang w:eastAsia="zh-CN"/>
              </w:rPr>
              <w:t>1.5参加政府采购活动前三年内，在经营活动中没有重大违法记录。</w:t>
            </w:r>
          </w:p>
          <w:p w14:paraId="30FA9BE5">
            <w:pPr>
              <w:keepNext w:val="0"/>
              <w:keepLines w:val="0"/>
              <w:pageBreakBefore w:val="0"/>
              <w:widowControl w:val="0"/>
              <w:kinsoku/>
              <w:wordWrap/>
              <w:overflowPunct/>
              <w:topLinePunct w:val="0"/>
              <w:autoSpaceDE/>
              <w:autoSpaceDN/>
              <w:bidi w:val="0"/>
              <w:adjustRightInd w:val="0"/>
              <w:snapToGrid w:val="0"/>
              <w:spacing w:line="374" w:lineRule="exact"/>
              <w:jc w:val="both"/>
              <w:textAlignment w:val="auto"/>
              <w:rPr>
                <w:rFonts w:asciiTheme="minorEastAsia" w:hAnsiTheme="minorEastAsia" w:eastAsiaTheme="minorEastAsia" w:cstheme="minorEastAsia"/>
                <w:b/>
                <w:bCs/>
                <w:sz w:val="21"/>
                <w:szCs w:val="21"/>
                <w:lang w:eastAsia="zh-CN"/>
              </w:rPr>
            </w:pPr>
            <w:r>
              <w:rPr>
                <w:rFonts w:hint="eastAsia" w:ascii="宋体" w:hAnsi="宋体" w:cs="宋体"/>
                <w:b/>
                <w:bCs/>
                <w:sz w:val="21"/>
                <w:szCs w:val="21"/>
                <w:lang w:eastAsia="zh-CN"/>
              </w:rPr>
              <w:t>1.2-1.5项内容按照</w:t>
            </w:r>
            <w:r>
              <w:rPr>
                <w:rFonts w:hint="eastAsia" w:ascii="宋体" w:hAnsi="宋体" w:cs="宋体"/>
                <w:b/>
                <w:bCs/>
                <w:sz w:val="21"/>
                <w:szCs w:val="21"/>
                <w:lang w:val="en-US" w:eastAsia="zh-CN"/>
              </w:rPr>
              <w:t>响应</w:t>
            </w:r>
            <w:r>
              <w:rPr>
                <w:rFonts w:hint="eastAsia" w:ascii="宋体" w:hAnsi="宋体" w:cs="宋体"/>
                <w:b/>
                <w:bCs/>
                <w:sz w:val="21"/>
                <w:szCs w:val="21"/>
                <w:lang w:eastAsia="zh-CN"/>
              </w:rPr>
              <w:t>文件格式提供“资格承诺声明函”即可。响应单位无需另行提供审计报告、社保纳税证明等材料。</w:t>
            </w:r>
          </w:p>
          <w:p w14:paraId="40965AC0">
            <w:pPr>
              <w:keepNext w:val="0"/>
              <w:keepLines w:val="0"/>
              <w:pageBreakBefore w:val="0"/>
              <w:widowControl w:val="0"/>
              <w:kinsoku/>
              <w:wordWrap/>
              <w:overflowPunct/>
              <w:topLinePunct w:val="0"/>
              <w:autoSpaceDE/>
              <w:autoSpaceDN/>
              <w:bidi w:val="0"/>
              <w:adjustRightInd w:val="0"/>
              <w:snapToGrid w:val="0"/>
              <w:spacing w:line="374" w:lineRule="exact"/>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2.落实政府采购政策需满足的资格要求：</w:t>
            </w:r>
          </w:p>
          <w:p w14:paraId="5C9AFD3E">
            <w:pPr>
              <w:keepNext w:val="0"/>
              <w:keepLines w:val="0"/>
              <w:pageBreakBefore w:val="0"/>
              <w:widowControl w:val="0"/>
              <w:kinsoku/>
              <w:wordWrap/>
              <w:overflowPunct/>
              <w:topLinePunct w:val="0"/>
              <w:autoSpaceDE/>
              <w:autoSpaceDN/>
              <w:bidi w:val="0"/>
              <w:adjustRightInd w:val="0"/>
              <w:spacing w:line="374" w:lineRule="exact"/>
              <w:jc w:val="both"/>
              <w:textAlignment w:val="auto"/>
              <w:rPr>
                <w:rFonts w:hint="eastAsia" w:asciiTheme="minorEastAsia" w:hAnsiTheme="minorEastAsia" w:eastAsiaTheme="minorEastAsia" w:cstheme="minorEastAsia"/>
                <w:sz w:val="21"/>
                <w:szCs w:val="21"/>
                <w:highlight w:val="yellow"/>
                <w:lang w:val="en-US" w:eastAsia="zh-CN"/>
              </w:rPr>
            </w:pPr>
            <w:r>
              <w:rPr>
                <w:rFonts w:hint="eastAsia" w:ascii="宋体" w:hAnsi="宋体"/>
                <w:sz w:val="21"/>
                <w:szCs w:val="21"/>
                <w:lang w:val="en-US" w:eastAsia="zh-CN"/>
              </w:rPr>
              <w:t>2.1</w:t>
            </w:r>
            <w:r>
              <w:rPr>
                <w:rFonts w:hint="eastAsia" w:asciiTheme="minorEastAsia" w:hAnsiTheme="minorEastAsia" w:eastAsiaTheme="minorEastAsia" w:cstheme="minorEastAsia"/>
                <w:sz w:val="21"/>
                <w:szCs w:val="21"/>
                <w:lang w:val="en-US" w:eastAsia="zh-CN"/>
              </w:rPr>
              <w:t>本项目执行《政府采购促进中小企业发展管理办法》、《关于政府采购支持监狱企业发展有关问题的通知》、《关于促进残疾人就业政府采购政策的通知》、《河南省政府采购合同融资政策告知函》、《财政部关于推动解决政府采购异常低价问题的通知》社会信用体系建设等采购政</w:t>
            </w:r>
            <w:r>
              <w:rPr>
                <w:rFonts w:hint="eastAsia" w:asciiTheme="minorEastAsia" w:hAnsiTheme="minorEastAsia" w:eastAsiaTheme="minorEastAsia" w:cstheme="minorEastAsia"/>
                <w:sz w:val="21"/>
                <w:szCs w:val="21"/>
                <w:highlight w:val="none"/>
                <w:lang w:val="en-US" w:eastAsia="zh-CN"/>
              </w:rPr>
              <w:t>策；本项目不专门面向中小企业采购。</w:t>
            </w:r>
          </w:p>
          <w:p w14:paraId="17A10073">
            <w:pPr>
              <w:keepNext w:val="0"/>
              <w:keepLines w:val="0"/>
              <w:pageBreakBefore w:val="0"/>
              <w:widowControl w:val="0"/>
              <w:kinsoku/>
              <w:wordWrap/>
              <w:overflowPunct/>
              <w:topLinePunct w:val="0"/>
              <w:autoSpaceDE/>
              <w:autoSpaceDN/>
              <w:bidi w:val="0"/>
              <w:adjustRightInd w:val="0"/>
              <w:spacing w:line="374" w:lineRule="exact"/>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3.本项目的特定资格要求：</w:t>
            </w:r>
          </w:p>
          <w:p w14:paraId="3ED2C980">
            <w:pPr>
              <w:keepNext w:val="0"/>
              <w:keepLines w:val="0"/>
              <w:pageBreakBefore w:val="0"/>
              <w:widowControl w:val="0"/>
              <w:kinsoku/>
              <w:wordWrap/>
              <w:overflowPunct/>
              <w:topLinePunct w:val="0"/>
              <w:autoSpaceDE/>
              <w:autoSpaceDN/>
              <w:bidi w:val="0"/>
              <w:adjustRightInd w:val="0"/>
              <w:spacing w:line="374"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3.1响应单位应具有合格有效的营业执照或其他证明材料；</w:t>
            </w:r>
          </w:p>
          <w:p w14:paraId="5C4CC029">
            <w:pPr>
              <w:keepNext w:val="0"/>
              <w:keepLines w:val="0"/>
              <w:pageBreakBefore w:val="0"/>
              <w:widowControl w:val="0"/>
              <w:kinsoku/>
              <w:wordWrap/>
              <w:overflowPunct/>
              <w:topLinePunct w:val="0"/>
              <w:autoSpaceDE/>
              <w:autoSpaceDN/>
              <w:bidi w:val="0"/>
              <w:adjustRightInd w:val="0"/>
              <w:spacing w:line="374" w:lineRule="exact"/>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3.2</w:t>
            </w:r>
            <w:r>
              <w:rPr>
                <w:rFonts w:hint="eastAsia" w:asciiTheme="minorEastAsia" w:hAnsiTheme="minorEastAsia" w:eastAsiaTheme="minorEastAsia" w:cstheme="minorEastAsia"/>
                <w:sz w:val="21"/>
                <w:szCs w:val="21"/>
                <w:highlight w:val="none"/>
                <w:lang w:val="en-US" w:eastAsia="zh-CN"/>
              </w:rPr>
              <w:t>根据《关于在政府采购活动中查询及使用信用记录有关问题的通知》（财库[2016]125号）和豫财购【2016】15号的规定，对列入失信被执行人、重大税收违法案件当事人名单、政府采购严重违法失信行为记录名单，拒绝其参与本次政府采购活动。响应单位须通过“信用中国”网站（www.creditchina.gov.cn)、“中国执行信息公开网”（zxgk.court.gov.cn）对“列入失信被执行人、重大税收违法失信主体、政府采购严重违法失信行为记录名单”企业和法定代表人、授权委托人的查询，须未被国家企业信用信息公示系统(www.gsxt.gov.cn)列入严重违法失信名单等，通过“中国政府采购网”（www.ccgp.gov.cn）对“政府采购严重违法失信行为信息记录”企业信用记录查询（在响应文件中附加盖公章的网页查询扫描件，查询日期为公告发布之日起至投标截止之日止）。</w:t>
            </w:r>
          </w:p>
          <w:p w14:paraId="1488464D">
            <w:pPr>
              <w:keepNext w:val="0"/>
              <w:keepLines w:val="0"/>
              <w:pageBreakBefore w:val="0"/>
              <w:widowControl w:val="0"/>
              <w:kinsoku/>
              <w:wordWrap/>
              <w:overflowPunct/>
              <w:topLinePunct w:val="0"/>
              <w:autoSpaceDE/>
              <w:autoSpaceDN/>
              <w:bidi w:val="0"/>
              <w:adjustRightInd w:val="0"/>
              <w:spacing w:line="374"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3.3单位负责人为同一人或者存在直接控股、管理关系的不同响应单位，不得参加同一合同项下的政府采购活动。</w:t>
            </w:r>
          </w:p>
          <w:p w14:paraId="791A8271">
            <w:pPr>
              <w:keepNext w:val="0"/>
              <w:keepLines w:val="0"/>
              <w:pageBreakBefore w:val="0"/>
              <w:widowControl w:val="0"/>
              <w:kinsoku/>
              <w:wordWrap/>
              <w:overflowPunct/>
              <w:topLinePunct w:val="0"/>
              <w:autoSpaceDE/>
              <w:autoSpaceDN/>
              <w:bidi w:val="0"/>
              <w:adjustRightInd w:val="0"/>
              <w:spacing w:line="374" w:lineRule="exact"/>
              <w:jc w:val="both"/>
              <w:textAlignment w:val="auto"/>
              <w:rPr>
                <w:lang w:eastAsia="zh-CN"/>
              </w:rPr>
            </w:pPr>
            <w:r>
              <w:rPr>
                <w:rFonts w:hint="eastAsia" w:asciiTheme="minorEastAsia" w:hAnsiTheme="minorEastAsia" w:eastAsiaTheme="minorEastAsia" w:cstheme="minorEastAsia"/>
                <w:sz w:val="21"/>
                <w:szCs w:val="21"/>
                <w:lang w:val="en-US" w:eastAsia="zh-CN"/>
              </w:rPr>
              <w:t>3.4本项目不接受联合体投标。</w:t>
            </w:r>
          </w:p>
        </w:tc>
      </w:tr>
      <w:tr w14:paraId="2287F4E7">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49F6BC40">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1.</w:t>
            </w:r>
            <w:r>
              <w:rPr>
                <w:rFonts w:hint="eastAsia" w:ascii="宋体" w:hAnsi="宋体" w:cs="Arial"/>
                <w:sz w:val="21"/>
                <w:szCs w:val="21"/>
                <w:lang w:eastAsia="zh-CN"/>
              </w:rPr>
              <w:t>5</w:t>
            </w:r>
          </w:p>
        </w:tc>
        <w:tc>
          <w:tcPr>
            <w:tcW w:w="1980" w:type="dxa"/>
            <w:tcBorders>
              <w:top w:val="single" w:color="auto" w:sz="4" w:space="0"/>
              <w:left w:val="nil"/>
              <w:bottom w:val="single" w:color="auto" w:sz="4" w:space="0"/>
              <w:right w:val="single" w:color="auto" w:sz="4" w:space="0"/>
            </w:tcBorders>
            <w:vAlign w:val="center"/>
          </w:tcPr>
          <w:p w14:paraId="282B0F9E">
            <w:pPr>
              <w:adjustRightInd w:val="0"/>
              <w:snapToGrid w:val="0"/>
              <w:spacing w:before="24" w:beforeLines="10" w:after="24" w:afterLines="10" w:line="400" w:lineRule="exact"/>
              <w:ind w:left="22" w:leftChars="10" w:right="22" w:rightChars="10"/>
              <w:jc w:val="center"/>
              <w:textAlignment w:val="baseline"/>
              <w:rPr>
                <w:rFonts w:hint="eastAsia" w:ascii="宋体" w:hAnsi="宋体" w:cs="Arial"/>
                <w:sz w:val="21"/>
                <w:szCs w:val="21"/>
              </w:rPr>
            </w:pPr>
            <w:r>
              <w:rPr>
                <w:rFonts w:hint="eastAsia" w:ascii="宋体" w:hAnsi="宋体" w:cs="Arial"/>
                <w:sz w:val="21"/>
                <w:szCs w:val="21"/>
              </w:rPr>
              <w:t>是否接受联合体</w:t>
            </w:r>
          </w:p>
          <w:p w14:paraId="418EE718">
            <w:pPr>
              <w:adjustRightInd w:val="0"/>
              <w:snapToGrid w:val="0"/>
              <w:spacing w:before="24" w:beforeLines="10" w:after="24" w:afterLines="10" w:line="400" w:lineRule="exact"/>
              <w:ind w:left="22" w:leftChars="10" w:right="22" w:rightChars="10"/>
              <w:jc w:val="center"/>
              <w:textAlignment w:val="baseline"/>
              <w:rPr>
                <w:kern w:val="2"/>
                <w:sz w:val="21"/>
                <w:szCs w:val="21"/>
              </w:rPr>
            </w:pPr>
            <w:r>
              <w:rPr>
                <w:rFonts w:hint="eastAsia" w:ascii="宋体" w:hAnsi="宋体" w:cs="Arial"/>
                <w:sz w:val="21"/>
                <w:szCs w:val="21"/>
              </w:rPr>
              <w:t>投标</w:t>
            </w:r>
          </w:p>
        </w:tc>
        <w:tc>
          <w:tcPr>
            <w:tcW w:w="6639" w:type="dxa"/>
            <w:tcBorders>
              <w:top w:val="single" w:color="auto" w:sz="4" w:space="0"/>
              <w:left w:val="nil"/>
              <w:bottom w:val="single" w:color="auto" w:sz="4" w:space="0"/>
              <w:right w:val="single" w:color="auto" w:sz="4" w:space="0"/>
            </w:tcBorders>
            <w:vAlign w:val="center"/>
          </w:tcPr>
          <w:p w14:paraId="66DBFB75">
            <w:pPr>
              <w:adjustRightInd w:val="0"/>
              <w:snapToGrid w:val="0"/>
              <w:spacing w:before="24" w:beforeLines="10" w:after="24" w:afterLines="10" w:line="400" w:lineRule="exact"/>
              <w:ind w:left="22" w:leftChars="10" w:right="22" w:rightChars="10"/>
              <w:jc w:val="both"/>
              <w:rPr>
                <w:rFonts w:ascii="宋体" w:hAnsi="宋体"/>
                <w:kern w:val="2"/>
                <w:sz w:val="21"/>
                <w:szCs w:val="21"/>
              </w:rPr>
            </w:pPr>
            <w:r>
              <w:rPr>
                <w:rFonts w:hint="eastAsia" w:ascii="宋体" w:hAnsi="宋体"/>
                <w:sz w:val="21"/>
                <w:szCs w:val="21"/>
              </w:rPr>
              <w:t>不接受；</w:t>
            </w:r>
          </w:p>
        </w:tc>
      </w:tr>
      <w:tr w14:paraId="29C35772">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1648F8ED">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1.</w:t>
            </w:r>
            <w:r>
              <w:rPr>
                <w:rFonts w:hint="eastAsia" w:ascii="宋体" w:hAnsi="宋体" w:cs="Arial"/>
                <w:sz w:val="21"/>
                <w:szCs w:val="21"/>
                <w:lang w:eastAsia="zh-CN"/>
              </w:rPr>
              <w:t>7</w:t>
            </w:r>
          </w:p>
        </w:tc>
        <w:tc>
          <w:tcPr>
            <w:tcW w:w="1980" w:type="dxa"/>
            <w:tcBorders>
              <w:top w:val="single" w:color="auto" w:sz="4" w:space="0"/>
              <w:left w:val="nil"/>
              <w:bottom w:val="single" w:color="auto" w:sz="4" w:space="0"/>
              <w:right w:val="single" w:color="auto" w:sz="4" w:space="0"/>
            </w:tcBorders>
            <w:vAlign w:val="center"/>
          </w:tcPr>
          <w:p w14:paraId="18A65761">
            <w:pPr>
              <w:adjustRightInd w:val="0"/>
              <w:snapToGrid w:val="0"/>
              <w:spacing w:before="24" w:beforeLines="10" w:after="24" w:afterLines="10" w:line="400" w:lineRule="exact"/>
              <w:ind w:right="22" w:rightChars="10"/>
              <w:jc w:val="both"/>
              <w:rPr>
                <w:rFonts w:ascii="宋体" w:hAnsi="宋体" w:cs="Arial"/>
                <w:kern w:val="2"/>
                <w:sz w:val="21"/>
                <w:szCs w:val="21"/>
              </w:rPr>
            </w:pPr>
            <w:r>
              <w:rPr>
                <w:rFonts w:hint="eastAsia" w:ascii="宋体" w:hAnsi="宋体" w:cs="Arial"/>
                <w:sz w:val="21"/>
                <w:szCs w:val="21"/>
              </w:rPr>
              <w:t>现场考察及答疑会</w:t>
            </w:r>
          </w:p>
        </w:tc>
        <w:tc>
          <w:tcPr>
            <w:tcW w:w="6639" w:type="dxa"/>
            <w:tcBorders>
              <w:top w:val="single" w:color="auto" w:sz="4" w:space="0"/>
              <w:left w:val="nil"/>
              <w:bottom w:val="single" w:color="auto" w:sz="4" w:space="0"/>
              <w:right w:val="single" w:color="auto" w:sz="4" w:space="0"/>
            </w:tcBorders>
            <w:vAlign w:val="center"/>
          </w:tcPr>
          <w:p w14:paraId="1F32151B">
            <w:pPr>
              <w:adjustRightInd w:val="0"/>
              <w:snapToGrid w:val="0"/>
              <w:spacing w:before="24" w:beforeLines="10" w:after="24" w:afterLines="10" w:line="400" w:lineRule="exact"/>
              <w:ind w:right="22" w:rightChars="10"/>
              <w:jc w:val="both"/>
              <w:rPr>
                <w:rFonts w:ascii="宋体" w:hAnsi="宋体" w:cs="Arial"/>
                <w:kern w:val="2"/>
                <w:sz w:val="21"/>
                <w:szCs w:val="21"/>
                <w:lang w:eastAsia="zh-CN"/>
              </w:rPr>
            </w:pPr>
            <w:r>
              <w:rPr>
                <w:rFonts w:hint="eastAsia" w:ascii="宋体" w:hAnsi="宋体" w:cs="Arial"/>
                <w:sz w:val="21"/>
                <w:szCs w:val="21"/>
              </w:rPr>
              <w:t>不组织</w:t>
            </w:r>
            <w:r>
              <w:rPr>
                <w:rFonts w:hint="eastAsia" w:ascii="宋体" w:hAnsi="宋体" w:cs="Arial"/>
                <w:sz w:val="21"/>
                <w:szCs w:val="21"/>
                <w:lang w:eastAsia="zh-CN"/>
              </w:rPr>
              <w:t>；</w:t>
            </w:r>
          </w:p>
        </w:tc>
      </w:tr>
      <w:tr w14:paraId="4ED07066">
        <w:tblPrEx>
          <w:tblCellMar>
            <w:top w:w="0" w:type="dxa"/>
            <w:left w:w="108" w:type="dxa"/>
            <w:bottom w:w="0" w:type="dxa"/>
            <w:right w:w="108" w:type="dxa"/>
          </w:tblCellMar>
        </w:tblPrEx>
        <w:trPr>
          <w:trHeight w:val="79" w:hRule="atLeast"/>
          <w:jc w:val="center"/>
        </w:trPr>
        <w:tc>
          <w:tcPr>
            <w:tcW w:w="989" w:type="dxa"/>
            <w:vMerge w:val="restart"/>
            <w:tcBorders>
              <w:top w:val="single" w:color="auto" w:sz="4" w:space="0"/>
              <w:left w:val="single" w:color="auto" w:sz="4" w:space="0"/>
              <w:right w:val="single" w:color="auto" w:sz="4" w:space="0"/>
            </w:tcBorders>
            <w:vAlign w:val="center"/>
          </w:tcPr>
          <w:p w14:paraId="1A0D4760">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2.2.1</w:t>
            </w:r>
          </w:p>
        </w:tc>
        <w:tc>
          <w:tcPr>
            <w:tcW w:w="1980" w:type="dxa"/>
            <w:vMerge w:val="restart"/>
            <w:tcBorders>
              <w:top w:val="single" w:color="auto" w:sz="4" w:space="0"/>
              <w:left w:val="nil"/>
              <w:right w:val="single" w:color="auto" w:sz="4" w:space="0"/>
            </w:tcBorders>
            <w:vAlign w:val="center"/>
          </w:tcPr>
          <w:p w14:paraId="0FE5C31F">
            <w:pPr>
              <w:adjustRightInd w:val="0"/>
              <w:snapToGrid w:val="0"/>
              <w:spacing w:before="24" w:beforeLines="10" w:after="24" w:afterLines="10" w:line="400" w:lineRule="exact"/>
              <w:ind w:left="22" w:leftChars="10" w:right="22" w:rightChars="10"/>
              <w:jc w:val="center"/>
              <w:rPr>
                <w:rFonts w:ascii="宋体" w:hAnsi="宋体"/>
                <w:kern w:val="2"/>
                <w:sz w:val="21"/>
                <w:szCs w:val="21"/>
                <w:lang w:eastAsia="zh-CN"/>
              </w:rPr>
            </w:pPr>
            <w:r>
              <w:rPr>
                <w:rFonts w:hint="eastAsia" w:ascii="宋体" w:hAnsi="宋体"/>
                <w:sz w:val="21"/>
                <w:szCs w:val="21"/>
                <w:lang w:eastAsia="zh-CN"/>
              </w:rPr>
              <w:t>采</w:t>
            </w:r>
            <w:r>
              <w:rPr>
                <w:rFonts w:hint="eastAsia" w:ascii="宋体" w:hAnsi="宋体"/>
                <w:spacing w:val="-11"/>
                <w:sz w:val="21"/>
                <w:szCs w:val="21"/>
                <w:lang w:eastAsia="zh-CN"/>
              </w:rPr>
              <w:t>购人澄清或修改磋商文件的</w:t>
            </w:r>
            <w:r>
              <w:rPr>
                <w:rFonts w:hint="eastAsia" w:ascii="宋体" w:hAnsi="宋体"/>
                <w:sz w:val="21"/>
                <w:szCs w:val="21"/>
                <w:lang w:eastAsia="zh-CN"/>
              </w:rPr>
              <w:t>时间</w:t>
            </w:r>
          </w:p>
        </w:tc>
        <w:tc>
          <w:tcPr>
            <w:tcW w:w="6639" w:type="dxa"/>
            <w:tcBorders>
              <w:top w:val="single" w:color="auto" w:sz="4" w:space="0"/>
              <w:left w:val="nil"/>
              <w:bottom w:val="single" w:color="auto" w:sz="4" w:space="0"/>
              <w:right w:val="single" w:color="auto" w:sz="4" w:space="0"/>
            </w:tcBorders>
            <w:vAlign w:val="center"/>
          </w:tcPr>
          <w:p w14:paraId="75F9BA7B">
            <w:pPr>
              <w:adjustRightInd w:val="0"/>
              <w:snapToGrid w:val="0"/>
              <w:spacing w:before="24" w:beforeLines="10" w:after="24" w:afterLines="10" w:line="400" w:lineRule="exact"/>
              <w:ind w:left="22" w:leftChars="10" w:right="22" w:rightChars="10"/>
              <w:jc w:val="both"/>
              <w:rPr>
                <w:rFonts w:ascii="宋体" w:hAnsi="宋体"/>
                <w:kern w:val="2"/>
                <w:sz w:val="21"/>
                <w:szCs w:val="21"/>
                <w:lang w:eastAsia="zh-CN"/>
              </w:rPr>
            </w:pPr>
            <w:r>
              <w:rPr>
                <w:rFonts w:ascii="宋体" w:hAnsi="宋体"/>
                <w:kern w:val="2"/>
                <w:sz w:val="21"/>
                <w:szCs w:val="21"/>
                <w:lang w:eastAsia="zh-CN"/>
              </w:rPr>
              <w:t>提交首次响应文件截止时间至少5日前</w:t>
            </w:r>
          </w:p>
        </w:tc>
      </w:tr>
      <w:tr w14:paraId="3C818292">
        <w:tblPrEx>
          <w:tblCellMar>
            <w:top w:w="0" w:type="dxa"/>
            <w:left w:w="108" w:type="dxa"/>
            <w:bottom w:w="0" w:type="dxa"/>
            <w:right w:w="108" w:type="dxa"/>
          </w:tblCellMar>
        </w:tblPrEx>
        <w:trPr>
          <w:trHeight w:val="79" w:hRule="atLeast"/>
          <w:jc w:val="center"/>
        </w:trPr>
        <w:tc>
          <w:tcPr>
            <w:tcW w:w="989" w:type="dxa"/>
            <w:vMerge w:val="continue"/>
            <w:tcBorders>
              <w:left w:val="single" w:color="auto" w:sz="4" w:space="0"/>
              <w:bottom w:val="single" w:color="auto" w:sz="4" w:space="0"/>
              <w:right w:val="single" w:color="auto" w:sz="4" w:space="0"/>
            </w:tcBorders>
            <w:vAlign w:val="center"/>
          </w:tcPr>
          <w:p w14:paraId="78F13CDB">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lang w:eastAsia="zh-CN"/>
              </w:rPr>
            </w:pPr>
          </w:p>
        </w:tc>
        <w:tc>
          <w:tcPr>
            <w:tcW w:w="1980" w:type="dxa"/>
            <w:vMerge w:val="continue"/>
            <w:tcBorders>
              <w:left w:val="nil"/>
              <w:bottom w:val="single" w:color="auto" w:sz="4" w:space="0"/>
              <w:right w:val="single" w:color="auto" w:sz="4" w:space="0"/>
            </w:tcBorders>
            <w:vAlign w:val="center"/>
          </w:tcPr>
          <w:p w14:paraId="1B669416">
            <w:pPr>
              <w:adjustRightInd w:val="0"/>
              <w:snapToGrid w:val="0"/>
              <w:spacing w:before="24" w:beforeLines="10" w:after="24" w:afterLines="10" w:line="400" w:lineRule="exact"/>
              <w:ind w:left="22" w:leftChars="10" w:right="22" w:rightChars="10"/>
              <w:jc w:val="center"/>
              <w:rPr>
                <w:rFonts w:ascii="宋体" w:hAnsi="宋体"/>
                <w:sz w:val="21"/>
                <w:szCs w:val="21"/>
                <w:lang w:eastAsia="zh-CN"/>
              </w:rPr>
            </w:pPr>
          </w:p>
        </w:tc>
        <w:tc>
          <w:tcPr>
            <w:tcW w:w="6639" w:type="dxa"/>
            <w:tcBorders>
              <w:top w:val="single" w:color="auto" w:sz="4" w:space="0"/>
              <w:left w:val="nil"/>
              <w:bottom w:val="single" w:color="auto" w:sz="4" w:space="0"/>
              <w:right w:val="single" w:color="auto" w:sz="4" w:space="0"/>
            </w:tcBorders>
            <w:vAlign w:val="center"/>
          </w:tcPr>
          <w:p w14:paraId="63AFABE2">
            <w:pPr>
              <w:adjustRightInd w:val="0"/>
              <w:snapToGrid w:val="0"/>
              <w:spacing w:before="24" w:beforeLines="10" w:after="24" w:afterLines="10" w:line="400" w:lineRule="exact"/>
              <w:ind w:left="22" w:leftChars="10" w:right="22" w:rightChars="10"/>
              <w:jc w:val="both"/>
              <w:rPr>
                <w:rFonts w:ascii="宋体" w:hAnsi="宋体"/>
                <w:kern w:val="2"/>
                <w:sz w:val="21"/>
                <w:szCs w:val="21"/>
                <w:lang w:eastAsia="zh-CN"/>
              </w:rPr>
            </w:pPr>
            <w:r>
              <w:rPr>
                <w:rFonts w:hint="eastAsia" w:ascii="宋体" w:hAnsi="宋体"/>
                <w:kern w:val="2"/>
                <w:sz w:val="21"/>
                <w:szCs w:val="21"/>
                <w:lang w:eastAsia="zh-CN"/>
              </w:rPr>
              <w:t>形式：在电子招标投标交易平台提出</w:t>
            </w:r>
          </w:p>
        </w:tc>
      </w:tr>
      <w:tr w14:paraId="37C248D3">
        <w:tblPrEx>
          <w:tblCellMar>
            <w:top w:w="0" w:type="dxa"/>
            <w:left w:w="108" w:type="dxa"/>
            <w:bottom w:w="0" w:type="dxa"/>
            <w:right w:w="108" w:type="dxa"/>
          </w:tblCellMar>
        </w:tblPrEx>
        <w:trPr>
          <w:trHeight w:val="79" w:hRule="atLeast"/>
          <w:jc w:val="center"/>
        </w:trPr>
        <w:tc>
          <w:tcPr>
            <w:tcW w:w="989" w:type="dxa"/>
            <w:vMerge w:val="restart"/>
            <w:tcBorders>
              <w:top w:val="single" w:color="auto" w:sz="4" w:space="0"/>
              <w:left w:val="single" w:color="auto" w:sz="4" w:space="0"/>
              <w:right w:val="single" w:color="auto" w:sz="4" w:space="0"/>
            </w:tcBorders>
            <w:vAlign w:val="center"/>
          </w:tcPr>
          <w:p w14:paraId="4EA774B1">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2.2.2</w:t>
            </w:r>
          </w:p>
        </w:tc>
        <w:tc>
          <w:tcPr>
            <w:tcW w:w="1980" w:type="dxa"/>
            <w:vMerge w:val="restart"/>
            <w:tcBorders>
              <w:top w:val="single" w:color="auto" w:sz="4" w:space="0"/>
              <w:left w:val="nil"/>
              <w:right w:val="single" w:color="auto" w:sz="4" w:space="0"/>
            </w:tcBorders>
            <w:vAlign w:val="center"/>
          </w:tcPr>
          <w:p w14:paraId="66C0810E">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kern w:val="2"/>
                <w:sz w:val="21"/>
                <w:szCs w:val="21"/>
                <w:lang w:eastAsia="zh-CN"/>
              </w:rPr>
              <w:t>响应单位确认收到竞争性磋商文件澄清</w:t>
            </w:r>
          </w:p>
        </w:tc>
        <w:tc>
          <w:tcPr>
            <w:tcW w:w="6639" w:type="dxa"/>
            <w:tcBorders>
              <w:top w:val="single" w:color="auto" w:sz="4" w:space="0"/>
              <w:left w:val="nil"/>
              <w:bottom w:val="single" w:color="auto" w:sz="4" w:space="0"/>
              <w:right w:val="single" w:color="auto" w:sz="4" w:space="0"/>
            </w:tcBorders>
            <w:vAlign w:val="center"/>
          </w:tcPr>
          <w:p w14:paraId="0FD9045E">
            <w:pPr>
              <w:adjustRightInd w:val="0"/>
              <w:snapToGrid w:val="0"/>
              <w:spacing w:before="24" w:beforeLines="10" w:after="24" w:afterLines="10" w:line="400" w:lineRule="exact"/>
              <w:ind w:left="22" w:leftChars="10" w:right="22" w:rightChars="10"/>
              <w:jc w:val="both"/>
              <w:rPr>
                <w:rFonts w:ascii="宋体" w:hAnsi="宋体"/>
                <w:kern w:val="2"/>
                <w:sz w:val="21"/>
                <w:szCs w:val="21"/>
                <w:lang w:eastAsia="zh-CN"/>
              </w:rPr>
            </w:pPr>
            <w:r>
              <w:rPr>
                <w:rFonts w:hint="eastAsia" w:ascii="宋体" w:hAnsi="宋体"/>
                <w:kern w:val="2"/>
                <w:sz w:val="21"/>
                <w:szCs w:val="21"/>
                <w:lang w:eastAsia="zh-CN"/>
              </w:rPr>
              <w:t>时间：在收到相应澄清文件后 24 小时内</w:t>
            </w:r>
          </w:p>
        </w:tc>
      </w:tr>
      <w:tr w14:paraId="4DFDF234">
        <w:tblPrEx>
          <w:tblCellMar>
            <w:top w:w="0" w:type="dxa"/>
            <w:left w:w="108" w:type="dxa"/>
            <w:bottom w:w="0" w:type="dxa"/>
            <w:right w:w="108" w:type="dxa"/>
          </w:tblCellMar>
        </w:tblPrEx>
        <w:trPr>
          <w:trHeight w:val="79" w:hRule="atLeast"/>
          <w:jc w:val="center"/>
        </w:trPr>
        <w:tc>
          <w:tcPr>
            <w:tcW w:w="989" w:type="dxa"/>
            <w:vMerge w:val="continue"/>
            <w:tcBorders>
              <w:left w:val="single" w:color="auto" w:sz="4" w:space="0"/>
              <w:bottom w:val="single" w:color="auto" w:sz="4" w:space="0"/>
              <w:right w:val="single" w:color="auto" w:sz="4" w:space="0"/>
            </w:tcBorders>
            <w:vAlign w:val="center"/>
          </w:tcPr>
          <w:p w14:paraId="6EB379F5">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lang w:eastAsia="zh-CN"/>
              </w:rPr>
            </w:pPr>
          </w:p>
        </w:tc>
        <w:tc>
          <w:tcPr>
            <w:tcW w:w="1980" w:type="dxa"/>
            <w:vMerge w:val="continue"/>
            <w:tcBorders>
              <w:left w:val="nil"/>
              <w:bottom w:val="single" w:color="auto" w:sz="4" w:space="0"/>
              <w:right w:val="single" w:color="auto" w:sz="4" w:space="0"/>
            </w:tcBorders>
            <w:vAlign w:val="center"/>
          </w:tcPr>
          <w:p w14:paraId="08048715">
            <w:pPr>
              <w:adjustRightInd w:val="0"/>
              <w:snapToGrid w:val="0"/>
              <w:spacing w:before="24" w:beforeLines="10" w:after="24" w:afterLines="10" w:line="400" w:lineRule="exact"/>
              <w:ind w:left="22" w:leftChars="10" w:right="22" w:rightChars="10"/>
              <w:jc w:val="center"/>
              <w:textAlignment w:val="baseline"/>
              <w:rPr>
                <w:rFonts w:ascii="宋体" w:hAnsi="宋体"/>
                <w:sz w:val="21"/>
                <w:szCs w:val="21"/>
                <w:lang w:eastAsia="zh-CN"/>
              </w:rPr>
            </w:pPr>
          </w:p>
        </w:tc>
        <w:tc>
          <w:tcPr>
            <w:tcW w:w="6639" w:type="dxa"/>
            <w:tcBorders>
              <w:top w:val="single" w:color="auto" w:sz="4" w:space="0"/>
              <w:left w:val="nil"/>
              <w:bottom w:val="single" w:color="auto" w:sz="4" w:space="0"/>
              <w:right w:val="single" w:color="auto" w:sz="4" w:space="0"/>
            </w:tcBorders>
            <w:vAlign w:val="center"/>
          </w:tcPr>
          <w:p w14:paraId="5D3AA24C">
            <w:pPr>
              <w:adjustRightInd w:val="0"/>
              <w:snapToGrid w:val="0"/>
              <w:spacing w:before="24" w:beforeLines="10" w:after="24" w:afterLines="10" w:line="400" w:lineRule="exact"/>
              <w:ind w:left="22" w:leftChars="10" w:right="22" w:rightChars="10"/>
              <w:jc w:val="both"/>
              <w:rPr>
                <w:rFonts w:ascii="宋体" w:hAnsi="宋体"/>
                <w:kern w:val="2"/>
                <w:sz w:val="21"/>
                <w:szCs w:val="21"/>
                <w:lang w:eastAsia="zh-CN"/>
              </w:rPr>
            </w:pPr>
            <w:r>
              <w:rPr>
                <w:rFonts w:hint="eastAsia" w:ascii="宋体" w:hAnsi="宋体"/>
                <w:kern w:val="2"/>
                <w:sz w:val="21"/>
                <w:szCs w:val="21"/>
                <w:lang w:eastAsia="zh-CN"/>
              </w:rPr>
              <w:t>形式：在</w:t>
            </w:r>
            <w:r>
              <w:rPr>
                <w:rFonts w:hint="eastAsia" w:ascii="宋体" w:hAnsi="宋体"/>
                <w:kern w:val="2"/>
                <w:sz w:val="21"/>
                <w:szCs w:val="21"/>
                <w:lang w:val="en-US" w:eastAsia="zh-CN"/>
              </w:rPr>
              <w:t>周口</w:t>
            </w:r>
            <w:r>
              <w:rPr>
                <w:rFonts w:hint="eastAsia" w:ascii="宋体" w:hAnsi="宋体"/>
                <w:kern w:val="2"/>
                <w:sz w:val="21"/>
                <w:szCs w:val="21"/>
                <w:lang w:eastAsia="zh-CN"/>
              </w:rPr>
              <w:t>市电子招标投标交易平台进行回复确认</w:t>
            </w:r>
          </w:p>
        </w:tc>
      </w:tr>
      <w:tr w14:paraId="2727EDA6">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5BE9B230">
            <w:pPr>
              <w:adjustRightInd w:val="0"/>
              <w:snapToGrid w:val="0"/>
              <w:spacing w:before="24" w:beforeLines="10" w:after="24" w:afterLines="10" w:line="400" w:lineRule="exact"/>
              <w:ind w:left="22" w:leftChars="10" w:right="22" w:rightChars="10"/>
              <w:jc w:val="center"/>
              <w:textAlignment w:val="baseline"/>
              <w:rPr>
                <w:rFonts w:hint="default" w:ascii="宋体" w:hAnsi="宋体" w:eastAsia="宋体" w:cs="Arial"/>
                <w:sz w:val="21"/>
                <w:szCs w:val="21"/>
                <w:lang w:val="en-US" w:eastAsia="zh-CN"/>
              </w:rPr>
            </w:pPr>
            <w:r>
              <w:rPr>
                <w:rFonts w:hint="eastAsia" w:ascii="宋体" w:hAnsi="宋体" w:cs="Arial"/>
                <w:sz w:val="21"/>
                <w:szCs w:val="21"/>
                <w:lang w:val="en-US" w:eastAsia="zh-CN"/>
              </w:rPr>
              <w:t>3.3</w:t>
            </w:r>
          </w:p>
        </w:tc>
        <w:tc>
          <w:tcPr>
            <w:tcW w:w="1980" w:type="dxa"/>
            <w:tcBorders>
              <w:top w:val="single" w:color="auto" w:sz="4" w:space="0"/>
              <w:left w:val="nil"/>
              <w:bottom w:val="single" w:color="auto" w:sz="4" w:space="0"/>
              <w:right w:val="single" w:color="auto" w:sz="4" w:space="0"/>
            </w:tcBorders>
            <w:vAlign w:val="center"/>
          </w:tcPr>
          <w:p w14:paraId="4FF39E5B">
            <w:pPr>
              <w:adjustRightInd w:val="0"/>
              <w:snapToGrid w:val="0"/>
              <w:spacing w:before="24" w:beforeLines="10" w:after="24" w:afterLines="10" w:line="400" w:lineRule="exact"/>
              <w:ind w:left="22" w:leftChars="10" w:right="22" w:rightChars="10"/>
              <w:jc w:val="center"/>
              <w:textAlignment w:val="baseline"/>
              <w:rPr>
                <w:rFonts w:hint="default" w:ascii="宋体" w:hAnsi="宋体"/>
                <w:sz w:val="21"/>
                <w:szCs w:val="21"/>
                <w:lang w:val="en-US" w:eastAsia="zh-CN"/>
              </w:rPr>
            </w:pPr>
            <w:r>
              <w:rPr>
                <w:rFonts w:hint="eastAsia" w:ascii="宋体" w:hAnsi="宋体"/>
                <w:sz w:val="21"/>
                <w:szCs w:val="21"/>
                <w:lang w:val="en-US" w:eastAsia="zh-CN"/>
              </w:rPr>
              <w:t>报价方式</w:t>
            </w:r>
          </w:p>
        </w:tc>
        <w:tc>
          <w:tcPr>
            <w:tcW w:w="6639" w:type="dxa"/>
            <w:tcBorders>
              <w:top w:val="single" w:color="auto" w:sz="4" w:space="0"/>
              <w:left w:val="nil"/>
              <w:bottom w:val="single" w:color="auto" w:sz="4" w:space="0"/>
              <w:right w:val="single" w:color="auto" w:sz="4" w:space="0"/>
            </w:tcBorders>
            <w:vAlign w:val="center"/>
          </w:tcPr>
          <w:p w14:paraId="63083566">
            <w:pPr>
              <w:adjustRightInd w:val="0"/>
              <w:snapToGrid w:val="0"/>
              <w:spacing w:before="24" w:beforeLines="10" w:after="24" w:afterLines="10" w:line="400" w:lineRule="exact"/>
              <w:ind w:left="22" w:leftChars="10" w:right="22" w:rightChars="10"/>
              <w:jc w:val="both"/>
              <w:rPr>
                <w:rFonts w:hint="eastAsia" w:ascii="宋体" w:hAnsi="宋体"/>
                <w:kern w:val="2"/>
                <w:sz w:val="21"/>
                <w:szCs w:val="21"/>
                <w:lang w:val="en-US" w:eastAsia="zh-CN"/>
              </w:rPr>
            </w:pPr>
            <w:r>
              <w:rPr>
                <w:rFonts w:hint="eastAsia" w:ascii="宋体" w:hAnsi="宋体"/>
                <w:kern w:val="2"/>
                <w:sz w:val="21"/>
                <w:szCs w:val="21"/>
                <w:lang w:val="en-US" w:eastAsia="zh-CN"/>
              </w:rPr>
              <w:t>报价方式：</w:t>
            </w:r>
          </w:p>
          <w:p w14:paraId="5303E2D9">
            <w:pPr>
              <w:numPr>
                <w:ilvl w:val="0"/>
                <w:numId w:val="0"/>
              </w:numPr>
              <w:adjustRightInd w:val="0"/>
              <w:snapToGrid w:val="0"/>
              <w:spacing w:before="24" w:beforeLines="10" w:after="24" w:afterLines="10" w:line="400" w:lineRule="exact"/>
              <w:ind w:right="22" w:rightChars="10"/>
              <w:jc w:val="both"/>
              <w:rPr>
                <w:rFonts w:hint="eastAsia" w:ascii="宋体" w:hAnsi="宋体"/>
                <w:kern w:val="2"/>
                <w:sz w:val="21"/>
                <w:szCs w:val="21"/>
                <w:lang w:val="en-US" w:eastAsia="zh-CN"/>
              </w:rPr>
            </w:pPr>
            <w:r>
              <w:rPr>
                <w:rFonts w:hint="eastAsia" w:ascii="宋体" w:hAnsi="宋体"/>
                <w:kern w:val="2"/>
                <w:sz w:val="21"/>
                <w:szCs w:val="21"/>
                <w:lang w:val="en-US" w:eastAsia="zh-CN"/>
              </w:rPr>
              <w:t>1.响应单位的报价不能超过最高限价；</w:t>
            </w:r>
          </w:p>
          <w:p w14:paraId="50B3FFBD">
            <w:pPr>
              <w:numPr>
                <w:ilvl w:val="0"/>
                <w:numId w:val="0"/>
              </w:numPr>
              <w:adjustRightInd w:val="0"/>
              <w:snapToGrid w:val="0"/>
              <w:spacing w:before="24" w:beforeLines="10" w:after="24" w:afterLines="10" w:line="400" w:lineRule="exact"/>
              <w:ind w:right="22" w:rightChars="10"/>
              <w:jc w:val="both"/>
              <w:rPr>
                <w:rFonts w:hint="default" w:ascii="宋体" w:hAnsi="宋体"/>
                <w:kern w:val="2"/>
                <w:sz w:val="21"/>
                <w:szCs w:val="21"/>
                <w:lang w:val="en-US" w:eastAsia="zh-CN"/>
              </w:rPr>
            </w:pPr>
            <w:r>
              <w:rPr>
                <w:rFonts w:hint="eastAsia" w:ascii="宋体" w:hAnsi="宋体"/>
                <w:kern w:val="2"/>
                <w:sz w:val="21"/>
                <w:szCs w:val="21"/>
                <w:lang w:val="en-US" w:eastAsia="zh-CN"/>
              </w:rPr>
              <w:t>2.执行</w:t>
            </w:r>
            <w:r>
              <w:rPr>
                <w:rFonts w:hint="eastAsia" w:ascii="宋体" w:hAnsi="宋体"/>
                <w:kern w:val="2"/>
                <w:sz w:val="21"/>
                <w:szCs w:val="21"/>
                <w:lang w:eastAsia="zh-CN"/>
              </w:rPr>
              <w:t>《财政部关于推动解决政府采购异常低价问题的通知》。</w:t>
            </w:r>
          </w:p>
        </w:tc>
      </w:tr>
      <w:tr w14:paraId="6C44E69F">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2914B64B">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3.6.1</w:t>
            </w:r>
          </w:p>
        </w:tc>
        <w:tc>
          <w:tcPr>
            <w:tcW w:w="1980" w:type="dxa"/>
            <w:tcBorders>
              <w:top w:val="single" w:color="auto" w:sz="4" w:space="0"/>
              <w:left w:val="nil"/>
              <w:bottom w:val="single" w:color="auto" w:sz="4" w:space="0"/>
              <w:right w:val="single" w:color="auto" w:sz="4" w:space="0"/>
            </w:tcBorders>
            <w:vAlign w:val="center"/>
          </w:tcPr>
          <w:p w14:paraId="430D01CA">
            <w:pPr>
              <w:adjustRightInd w:val="0"/>
              <w:snapToGrid w:val="0"/>
              <w:spacing w:before="24" w:beforeLines="10" w:after="24" w:afterLines="10" w:line="400" w:lineRule="exact"/>
              <w:ind w:left="22" w:leftChars="10" w:right="22" w:rightChars="10"/>
              <w:jc w:val="center"/>
              <w:textAlignment w:val="baseline"/>
              <w:rPr>
                <w:rFonts w:ascii="宋体" w:hAnsi="宋体"/>
                <w:kern w:val="2"/>
                <w:sz w:val="21"/>
                <w:szCs w:val="21"/>
                <w:lang w:eastAsia="zh-CN"/>
              </w:rPr>
            </w:pPr>
            <w:r>
              <w:rPr>
                <w:rFonts w:hint="eastAsia" w:ascii="宋体" w:hAnsi="宋体"/>
                <w:sz w:val="21"/>
                <w:szCs w:val="21"/>
                <w:lang w:eastAsia="zh-CN"/>
              </w:rPr>
              <w:t>磋商</w:t>
            </w:r>
            <w:r>
              <w:rPr>
                <w:rFonts w:hint="eastAsia" w:ascii="宋体" w:hAnsi="宋体"/>
                <w:sz w:val="21"/>
                <w:szCs w:val="21"/>
              </w:rPr>
              <w:t>保证金</w:t>
            </w:r>
          </w:p>
        </w:tc>
        <w:tc>
          <w:tcPr>
            <w:tcW w:w="6639" w:type="dxa"/>
            <w:tcBorders>
              <w:top w:val="single" w:color="auto" w:sz="4" w:space="0"/>
              <w:left w:val="nil"/>
              <w:bottom w:val="single" w:color="auto" w:sz="4" w:space="0"/>
              <w:right w:val="single" w:color="auto" w:sz="4" w:space="0"/>
            </w:tcBorders>
            <w:vAlign w:val="center"/>
          </w:tcPr>
          <w:p w14:paraId="56B5CDB9">
            <w:pPr>
              <w:adjustRightInd w:val="0"/>
              <w:snapToGrid w:val="0"/>
              <w:spacing w:before="24" w:beforeLines="10" w:after="24" w:afterLines="10" w:line="400" w:lineRule="exact"/>
              <w:ind w:left="22" w:leftChars="10" w:right="22" w:rightChars="10"/>
              <w:jc w:val="both"/>
              <w:rPr>
                <w:rFonts w:ascii="Times New Roman" w:hAnsi="Times New Roman"/>
                <w:kern w:val="2"/>
                <w:sz w:val="21"/>
                <w:szCs w:val="21"/>
                <w:lang w:eastAsia="zh-CN"/>
              </w:rPr>
            </w:pPr>
            <w:r>
              <w:rPr>
                <w:rFonts w:hint="eastAsia" w:ascii="宋体" w:hAnsi="宋体"/>
                <w:kern w:val="2"/>
                <w:sz w:val="21"/>
                <w:szCs w:val="21"/>
                <w:lang w:eastAsia="zh-CN"/>
              </w:rPr>
              <w:t>依据河南省财政厅《关于优化政府采购营商环境有关问题的通知》（豫财购{2019}4号）文件要求，本项目不收取磋商保证金。</w:t>
            </w:r>
          </w:p>
        </w:tc>
      </w:tr>
      <w:tr w14:paraId="3540DF83">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3F39406E">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3.7.1</w:t>
            </w:r>
          </w:p>
        </w:tc>
        <w:tc>
          <w:tcPr>
            <w:tcW w:w="1980" w:type="dxa"/>
            <w:tcBorders>
              <w:top w:val="single" w:color="auto" w:sz="4" w:space="0"/>
              <w:left w:val="nil"/>
              <w:bottom w:val="single" w:color="auto" w:sz="4" w:space="0"/>
              <w:right w:val="single" w:color="auto" w:sz="4" w:space="0"/>
            </w:tcBorders>
            <w:vAlign w:val="center"/>
          </w:tcPr>
          <w:p w14:paraId="51903B94">
            <w:pPr>
              <w:adjustRightInd w:val="0"/>
              <w:snapToGrid w:val="0"/>
              <w:spacing w:before="24" w:beforeLines="10" w:after="24" w:afterLines="10" w:line="400" w:lineRule="exact"/>
              <w:ind w:left="22" w:leftChars="10" w:right="22" w:rightChars="10"/>
              <w:jc w:val="center"/>
              <w:textAlignment w:val="baseline"/>
              <w:rPr>
                <w:rFonts w:ascii="宋体" w:hAnsi="宋体"/>
                <w:kern w:val="2"/>
                <w:sz w:val="21"/>
                <w:szCs w:val="21"/>
              </w:rPr>
            </w:pPr>
            <w:r>
              <w:rPr>
                <w:rFonts w:hint="eastAsia" w:ascii="宋体" w:hAnsi="宋体"/>
                <w:sz w:val="21"/>
                <w:szCs w:val="21"/>
                <w:lang w:eastAsia="zh-CN"/>
              </w:rPr>
              <w:t>磋商</w:t>
            </w:r>
            <w:r>
              <w:rPr>
                <w:rFonts w:hint="eastAsia" w:ascii="宋体" w:hAnsi="宋体"/>
                <w:sz w:val="21"/>
                <w:szCs w:val="21"/>
              </w:rPr>
              <w:t>有效期</w:t>
            </w:r>
          </w:p>
        </w:tc>
        <w:tc>
          <w:tcPr>
            <w:tcW w:w="6639" w:type="dxa"/>
            <w:tcBorders>
              <w:top w:val="single" w:color="auto" w:sz="4" w:space="0"/>
              <w:left w:val="nil"/>
              <w:bottom w:val="single" w:color="auto" w:sz="4" w:space="0"/>
              <w:right w:val="single" w:color="auto" w:sz="4" w:space="0"/>
            </w:tcBorders>
            <w:vAlign w:val="center"/>
          </w:tcPr>
          <w:p w14:paraId="3AE39DC7">
            <w:pPr>
              <w:adjustRightInd w:val="0"/>
              <w:snapToGrid w:val="0"/>
              <w:spacing w:before="24" w:beforeLines="10" w:after="24" w:afterLines="10" w:line="400" w:lineRule="exact"/>
              <w:ind w:left="22" w:leftChars="10" w:right="22" w:rightChars="10"/>
              <w:jc w:val="both"/>
              <w:rPr>
                <w:rFonts w:ascii="宋体" w:hAnsi="宋体"/>
                <w:bCs/>
                <w:kern w:val="2"/>
                <w:sz w:val="21"/>
                <w:szCs w:val="21"/>
                <w:lang w:eastAsia="zh-CN"/>
              </w:rPr>
            </w:pPr>
            <w:r>
              <w:rPr>
                <w:rFonts w:hint="eastAsia" w:ascii="宋体" w:hAnsi="宋体"/>
                <w:bCs/>
                <w:kern w:val="2"/>
                <w:sz w:val="21"/>
                <w:szCs w:val="21"/>
                <w:lang w:eastAsia="zh-CN"/>
              </w:rPr>
              <w:t>递交响应文件截止之日起60日历天</w:t>
            </w:r>
          </w:p>
        </w:tc>
      </w:tr>
      <w:tr w14:paraId="6646E27B">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7AEB2362">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3.8.2</w:t>
            </w:r>
          </w:p>
        </w:tc>
        <w:tc>
          <w:tcPr>
            <w:tcW w:w="1980" w:type="dxa"/>
            <w:tcBorders>
              <w:top w:val="single" w:color="auto" w:sz="4" w:space="0"/>
              <w:left w:val="nil"/>
              <w:bottom w:val="single" w:color="auto" w:sz="4" w:space="0"/>
              <w:right w:val="single" w:color="auto" w:sz="4" w:space="0"/>
            </w:tcBorders>
            <w:vAlign w:val="center"/>
          </w:tcPr>
          <w:p w14:paraId="73663765">
            <w:pPr>
              <w:adjustRightInd w:val="0"/>
              <w:snapToGrid w:val="0"/>
              <w:spacing w:before="24" w:beforeLines="10" w:after="24" w:afterLines="10" w:line="400" w:lineRule="exact"/>
              <w:ind w:left="22" w:leftChars="10" w:right="22" w:rightChars="10"/>
              <w:rPr>
                <w:rFonts w:ascii="宋体" w:hAnsi="宋体"/>
                <w:kern w:val="2"/>
                <w:sz w:val="21"/>
                <w:szCs w:val="21"/>
                <w:lang w:eastAsia="zh-CN"/>
              </w:rPr>
            </w:pPr>
            <w:r>
              <w:rPr>
                <w:rFonts w:hint="eastAsia" w:ascii="宋体" w:hAnsi="宋体"/>
                <w:kern w:val="2"/>
                <w:sz w:val="21"/>
                <w:szCs w:val="21"/>
                <w:lang w:eastAsia="zh-CN"/>
              </w:rPr>
              <w:t>签字和盖章要求</w:t>
            </w:r>
          </w:p>
        </w:tc>
        <w:tc>
          <w:tcPr>
            <w:tcW w:w="6639" w:type="dxa"/>
            <w:tcBorders>
              <w:top w:val="single" w:color="auto" w:sz="4" w:space="0"/>
              <w:left w:val="nil"/>
              <w:bottom w:val="single" w:color="auto" w:sz="4" w:space="0"/>
              <w:right w:val="single" w:color="auto" w:sz="4" w:space="0"/>
            </w:tcBorders>
            <w:vAlign w:val="center"/>
          </w:tcPr>
          <w:p w14:paraId="69727784">
            <w:pPr>
              <w:adjustRightInd w:val="0"/>
              <w:snapToGrid w:val="0"/>
              <w:spacing w:before="24" w:beforeLines="10" w:after="24" w:afterLines="10" w:line="400" w:lineRule="exact"/>
              <w:ind w:right="22" w:rightChars="10"/>
              <w:jc w:val="both"/>
              <w:rPr>
                <w:rFonts w:ascii="宋体" w:hAnsi="宋体"/>
                <w:kern w:val="2"/>
                <w:sz w:val="21"/>
                <w:szCs w:val="21"/>
                <w:lang w:eastAsia="zh-CN"/>
              </w:rPr>
            </w:pPr>
            <w:r>
              <w:rPr>
                <w:rFonts w:hint="eastAsia" w:ascii="宋体" w:hAnsi="宋体"/>
                <w:kern w:val="2"/>
                <w:sz w:val="21"/>
                <w:szCs w:val="21"/>
                <w:lang w:eastAsia="zh-CN"/>
              </w:rPr>
              <w:t xml:space="preserve">所有要求响应单位加盖公章的地方都应用响应单位的CA 密匙盖电子签章；所有要求法定代表人或其委托代理人签字或盖章的地方都应用法定代表人或其委托代理人的CA密匙盖电子签章。若有委托代理人，且委托代理人没有CA锁，则要求委托代理人签字的地方需上传有手写签名的扫描件。 </w:t>
            </w:r>
          </w:p>
        </w:tc>
      </w:tr>
      <w:tr w14:paraId="646CC5D3">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0DFF1692">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rPr>
              <w:t>3.</w:t>
            </w:r>
            <w:r>
              <w:rPr>
                <w:rFonts w:hint="eastAsia" w:ascii="宋体" w:hAnsi="宋体" w:cs="Arial"/>
                <w:sz w:val="21"/>
                <w:szCs w:val="21"/>
                <w:lang w:eastAsia="zh-CN"/>
              </w:rPr>
              <w:t>8.4</w:t>
            </w:r>
          </w:p>
        </w:tc>
        <w:tc>
          <w:tcPr>
            <w:tcW w:w="1980" w:type="dxa"/>
            <w:tcBorders>
              <w:top w:val="single" w:color="auto" w:sz="4" w:space="0"/>
              <w:left w:val="nil"/>
              <w:bottom w:val="single" w:color="auto" w:sz="4" w:space="0"/>
              <w:right w:val="single" w:color="auto" w:sz="4" w:space="0"/>
            </w:tcBorders>
            <w:vAlign w:val="center"/>
          </w:tcPr>
          <w:p w14:paraId="3341FBC7">
            <w:pPr>
              <w:adjustRightInd w:val="0"/>
              <w:snapToGrid w:val="0"/>
              <w:spacing w:before="24" w:beforeLines="10" w:after="24" w:afterLines="10" w:line="400" w:lineRule="exact"/>
              <w:ind w:left="22" w:leftChars="10" w:right="22" w:rightChars="10"/>
              <w:jc w:val="center"/>
              <w:textAlignment w:val="baseline"/>
              <w:rPr>
                <w:rFonts w:ascii="宋体" w:hAnsi="宋体"/>
                <w:kern w:val="2"/>
                <w:sz w:val="21"/>
                <w:szCs w:val="21"/>
                <w:lang w:eastAsia="zh-CN"/>
              </w:rPr>
            </w:pPr>
            <w:r>
              <w:rPr>
                <w:rFonts w:hint="eastAsia" w:ascii="宋体" w:hAnsi="宋体"/>
                <w:sz w:val="21"/>
                <w:szCs w:val="21"/>
                <w:lang w:eastAsia="zh-CN"/>
              </w:rPr>
              <w:t>其他</w:t>
            </w:r>
            <w:r>
              <w:rPr>
                <w:rFonts w:hint="eastAsia" w:ascii="宋体" w:hAnsi="宋体"/>
                <w:sz w:val="21"/>
                <w:szCs w:val="21"/>
              </w:rPr>
              <w:t>要求</w:t>
            </w:r>
          </w:p>
        </w:tc>
        <w:tc>
          <w:tcPr>
            <w:tcW w:w="6639" w:type="dxa"/>
            <w:tcBorders>
              <w:top w:val="single" w:color="auto" w:sz="4" w:space="0"/>
              <w:left w:val="nil"/>
              <w:bottom w:val="single" w:color="auto" w:sz="4" w:space="0"/>
              <w:right w:val="single" w:color="auto" w:sz="4" w:space="0"/>
            </w:tcBorders>
            <w:vAlign w:val="center"/>
          </w:tcPr>
          <w:p w14:paraId="78DFC313">
            <w:pPr>
              <w:adjustRightInd w:val="0"/>
              <w:snapToGrid w:val="0"/>
              <w:spacing w:before="24" w:beforeLines="10" w:after="24" w:afterLines="10" w:line="400" w:lineRule="exact"/>
              <w:ind w:right="22" w:rightChars="10"/>
              <w:jc w:val="both"/>
              <w:rPr>
                <w:rFonts w:ascii="宋体" w:hAnsi="宋体"/>
                <w:b/>
                <w:bCs/>
                <w:kern w:val="2"/>
                <w:sz w:val="21"/>
                <w:szCs w:val="21"/>
                <w:lang w:eastAsia="zh-CN"/>
              </w:rPr>
            </w:pPr>
            <w:r>
              <w:rPr>
                <w:rFonts w:hint="eastAsia" w:ascii="宋体" w:hAnsi="宋体" w:eastAsia="宋体"/>
                <w:kern w:val="2"/>
                <w:sz w:val="21"/>
                <w:szCs w:val="21"/>
                <w:lang w:eastAsia="zh-CN"/>
              </w:rPr>
              <w:t>电子投标文件制作，见周口市公共资源交易中心网站下载中心版块《投标单位-电子投标文件视频制作手册》的相关规定。</w:t>
            </w:r>
          </w:p>
        </w:tc>
      </w:tr>
      <w:tr w14:paraId="15D1C4DF">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240B9B2D">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4.2.1</w:t>
            </w:r>
          </w:p>
        </w:tc>
        <w:tc>
          <w:tcPr>
            <w:tcW w:w="1980" w:type="dxa"/>
            <w:tcBorders>
              <w:top w:val="single" w:color="auto" w:sz="4" w:space="0"/>
              <w:left w:val="nil"/>
              <w:bottom w:val="single" w:color="auto" w:sz="4" w:space="0"/>
              <w:right w:val="single" w:color="auto" w:sz="4" w:space="0"/>
            </w:tcBorders>
            <w:vAlign w:val="center"/>
          </w:tcPr>
          <w:p w14:paraId="3E659759">
            <w:pPr>
              <w:adjustRightInd w:val="0"/>
              <w:snapToGrid w:val="0"/>
              <w:spacing w:before="24" w:beforeLines="10" w:after="24" w:afterLines="10" w:line="400" w:lineRule="exact"/>
              <w:ind w:left="22" w:leftChars="10" w:right="22" w:rightChars="10"/>
              <w:jc w:val="center"/>
              <w:rPr>
                <w:rFonts w:ascii="宋体" w:hAnsi="宋体"/>
                <w:sz w:val="21"/>
                <w:szCs w:val="21"/>
                <w:highlight w:val="none"/>
                <w:lang w:eastAsia="zh-CN"/>
              </w:rPr>
            </w:pPr>
            <w:r>
              <w:rPr>
                <w:rFonts w:hint="eastAsia" w:ascii="宋体" w:hAnsi="宋体"/>
                <w:sz w:val="21"/>
                <w:szCs w:val="21"/>
                <w:highlight w:val="none"/>
                <w:lang w:eastAsia="zh-CN"/>
              </w:rPr>
              <w:t>递交响应文件的</w:t>
            </w:r>
          </w:p>
          <w:p w14:paraId="24019645">
            <w:pPr>
              <w:adjustRightInd w:val="0"/>
              <w:snapToGrid w:val="0"/>
              <w:spacing w:before="24" w:beforeLines="10" w:after="24" w:afterLines="10" w:line="400" w:lineRule="exact"/>
              <w:ind w:left="22" w:leftChars="10" w:right="22" w:rightChars="10"/>
              <w:jc w:val="center"/>
              <w:rPr>
                <w:rFonts w:ascii="宋体" w:hAnsi="宋体"/>
                <w:kern w:val="2"/>
                <w:sz w:val="21"/>
                <w:szCs w:val="21"/>
                <w:highlight w:val="none"/>
                <w:lang w:eastAsia="zh-CN"/>
              </w:rPr>
            </w:pPr>
            <w:r>
              <w:rPr>
                <w:rFonts w:hint="eastAsia" w:ascii="宋体" w:hAnsi="宋体"/>
                <w:sz w:val="21"/>
                <w:szCs w:val="21"/>
                <w:highlight w:val="none"/>
                <w:lang w:eastAsia="zh-CN"/>
              </w:rPr>
              <w:t>截止时间</w:t>
            </w:r>
          </w:p>
        </w:tc>
        <w:tc>
          <w:tcPr>
            <w:tcW w:w="6639" w:type="dxa"/>
            <w:tcBorders>
              <w:top w:val="single" w:color="auto" w:sz="4" w:space="0"/>
              <w:left w:val="nil"/>
              <w:bottom w:val="single" w:color="auto" w:sz="4" w:space="0"/>
              <w:right w:val="single" w:color="auto" w:sz="4" w:space="0"/>
            </w:tcBorders>
            <w:vAlign w:val="center"/>
          </w:tcPr>
          <w:p w14:paraId="7C60C922">
            <w:pPr>
              <w:adjustRightInd w:val="0"/>
              <w:snapToGrid w:val="0"/>
              <w:spacing w:before="24" w:beforeLines="10" w:after="24" w:afterLines="10" w:line="400" w:lineRule="exact"/>
              <w:ind w:left="22" w:leftChars="10" w:right="22" w:rightChars="10"/>
              <w:jc w:val="both"/>
              <w:rPr>
                <w:rFonts w:ascii="宋体" w:hAnsi="宋体"/>
                <w:b/>
                <w:bCs/>
                <w:kern w:val="2"/>
                <w:sz w:val="21"/>
                <w:szCs w:val="21"/>
                <w:highlight w:val="none"/>
                <w:lang w:eastAsia="zh-CN"/>
              </w:rPr>
            </w:pPr>
            <w:r>
              <w:rPr>
                <w:rFonts w:hint="eastAsia" w:ascii="宋体" w:hAnsi="宋体" w:cs="宋体"/>
                <w:sz w:val="21"/>
                <w:szCs w:val="21"/>
                <w:highlight w:val="none"/>
                <w:lang w:eastAsia="zh-CN"/>
              </w:rPr>
              <w:t>202</w:t>
            </w: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12</w:t>
            </w:r>
            <w:r>
              <w:rPr>
                <w:rFonts w:hint="eastAsia" w:ascii="宋体" w:hAnsi="宋体" w:cs="宋体"/>
                <w:sz w:val="21"/>
                <w:szCs w:val="21"/>
                <w:highlight w:val="none"/>
                <w:lang w:eastAsia="zh-CN"/>
              </w:rPr>
              <w:t>日上午</w:t>
            </w: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时</w:t>
            </w:r>
            <w:r>
              <w:rPr>
                <w:rFonts w:hint="eastAsia" w:ascii="宋体" w:hAnsi="宋体" w:cs="宋体"/>
                <w:sz w:val="21"/>
                <w:szCs w:val="21"/>
                <w:highlight w:val="none"/>
                <w:lang w:val="en-US" w:eastAsia="zh-CN"/>
              </w:rPr>
              <w:t>0</w:t>
            </w:r>
            <w:r>
              <w:rPr>
                <w:rFonts w:hint="eastAsia" w:ascii="宋体" w:hAnsi="宋体" w:cs="宋体"/>
                <w:sz w:val="21"/>
                <w:szCs w:val="21"/>
                <w:highlight w:val="none"/>
                <w:lang w:eastAsia="zh-CN"/>
              </w:rPr>
              <w:t>0分（北京时间）</w:t>
            </w:r>
          </w:p>
        </w:tc>
      </w:tr>
      <w:tr w14:paraId="519DCB5F">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1AE62BE5">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4.2.2</w:t>
            </w:r>
          </w:p>
        </w:tc>
        <w:tc>
          <w:tcPr>
            <w:tcW w:w="1980" w:type="dxa"/>
            <w:tcBorders>
              <w:top w:val="single" w:color="auto" w:sz="4" w:space="0"/>
              <w:left w:val="nil"/>
              <w:bottom w:val="single" w:color="auto" w:sz="4" w:space="0"/>
              <w:right w:val="single" w:color="auto" w:sz="4" w:space="0"/>
            </w:tcBorders>
            <w:vAlign w:val="center"/>
          </w:tcPr>
          <w:p w14:paraId="09DFF654">
            <w:pPr>
              <w:adjustRightInd w:val="0"/>
              <w:snapToGrid w:val="0"/>
              <w:spacing w:before="24" w:beforeLines="10" w:after="24" w:afterLines="10" w:line="400" w:lineRule="exact"/>
              <w:ind w:left="22" w:leftChars="10" w:right="22" w:rightChars="10"/>
              <w:jc w:val="center"/>
              <w:rPr>
                <w:rFonts w:hint="eastAsia" w:ascii="宋体" w:hAnsi="宋体"/>
                <w:sz w:val="21"/>
                <w:szCs w:val="21"/>
              </w:rPr>
            </w:pPr>
            <w:r>
              <w:rPr>
                <w:rFonts w:hint="eastAsia" w:ascii="宋体" w:hAnsi="宋体"/>
                <w:sz w:val="21"/>
                <w:szCs w:val="21"/>
              </w:rPr>
              <w:t>递交响应文件</w:t>
            </w:r>
          </w:p>
          <w:p w14:paraId="7217ACDF">
            <w:pPr>
              <w:adjustRightInd w:val="0"/>
              <w:snapToGrid w:val="0"/>
              <w:spacing w:before="24" w:beforeLines="10" w:after="24" w:afterLines="10" w:line="400" w:lineRule="exact"/>
              <w:ind w:left="22" w:leftChars="10" w:right="22" w:rightChars="10"/>
              <w:jc w:val="center"/>
              <w:rPr>
                <w:rFonts w:ascii="宋体" w:hAnsi="宋体"/>
                <w:kern w:val="2"/>
                <w:sz w:val="21"/>
                <w:szCs w:val="21"/>
              </w:rPr>
            </w:pPr>
            <w:r>
              <w:rPr>
                <w:rFonts w:hint="eastAsia" w:ascii="宋体" w:hAnsi="宋体"/>
                <w:sz w:val="21"/>
                <w:szCs w:val="21"/>
              </w:rPr>
              <w:t>地点</w:t>
            </w:r>
          </w:p>
        </w:tc>
        <w:tc>
          <w:tcPr>
            <w:tcW w:w="6639" w:type="dxa"/>
            <w:tcBorders>
              <w:top w:val="single" w:color="auto" w:sz="4" w:space="0"/>
              <w:left w:val="nil"/>
              <w:bottom w:val="single" w:color="auto" w:sz="4" w:space="0"/>
              <w:right w:val="single" w:color="auto" w:sz="4" w:space="0"/>
            </w:tcBorders>
            <w:vAlign w:val="center"/>
          </w:tcPr>
          <w:p w14:paraId="14D38CE4">
            <w:pPr>
              <w:adjustRightInd w:val="0"/>
              <w:snapToGrid w:val="0"/>
              <w:spacing w:before="24" w:beforeLines="10" w:after="24" w:afterLines="10" w:line="400" w:lineRule="exact"/>
              <w:ind w:left="22" w:leftChars="10" w:right="22" w:rightChars="10"/>
              <w:jc w:val="both"/>
              <w:rPr>
                <w:lang w:eastAsia="zh-CN"/>
              </w:rPr>
            </w:pPr>
            <w:r>
              <w:rPr>
                <w:rFonts w:hint="eastAsia" w:ascii="宋体" w:hAnsi="宋体"/>
                <w:kern w:val="2"/>
                <w:sz w:val="21"/>
                <w:szCs w:val="21"/>
                <w:lang w:val="en-US" w:eastAsia="zh-CN"/>
              </w:rPr>
              <w:t>周口</w:t>
            </w:r>
            <w:r>
              <w:rPr>
                <w:rFonts w:hint="eastAsia" w:ascii="宋体" w:hAnsi="宋体"/>
                <w:kern w:val="2"/>
                <w:sz w:val="21"/>
                <w:szCs w:val="21"/>
                <w:lang w:eastAsia="zh-CN"/>
              </w:rPr>
              <w:t>市公共资源交易中心电子交易平台指定位置上传</w:t>
            </w:r>
          </w:p>
        </w:tc>
      </w:tr>
      <w:tr w14:paraId="40D333F5">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194E2218">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5.1.1</w:t>
            </w:r>
          </w:p>
        </w:tc>
        <w:tc>
          <w:tcPr>
            <w:tcW w:w="1980" w:type="dxa"/>
            <w:tcBorders>
              <w:top w:val="single" w:color="auto" w:sz="4" w:space="0"/>
              <w:left w:val="nil"/>
              <w:bottom w:val="single" w:color="auto" w:sz="4" w:space="0"/>
              <w:right w:val="single" w:color="auto" w:sz="4" w:space="0"/>
            </w:tcBorders>
            <w:vAlign w:val="center"/>
          </w:tcPr>
          <w:p w14:paraId="2BD8C3F0">
            <w:pPr>
              <w:adjustRightInd w:val="0"/>
              <w:snapToGrid w:val="0"/>
              <w:spacing w:before="24" w:beforeLines="10" w:after="24" w:afterLines="10" w:line="400" w:lineRule="exact"/>
              <w:ind w:left="22" w:leftChars="10" w:right="22" w:rightChars="10"/>
              <w:jc w:val="center"/>
              <w:rPr>
                <w:rFonts w:ascii="宋体" w:hAnsi="宋体"/>
                <w:kern w:val="2"/>
                <w:sz w:val="21"/>
                <w:szCs w:val="21"/>
                <w:highlight w:val="none"/>
                <w:lang w:eastAsia="zh-CN"/>
              </w:rPr>
            </w:pPr>
            <w:r>
              <w:rPr>
                <w:rFonts w:hint="eastAsia" w:ascii="宋体" w:hAnsi="宋体"/>
                <w:kern w:val="2"/>
                <w:sz w:val="21"/>
                <w:szCs w:val="21"/>
                <w:highlight w:val="none"/>
                <w:lang w:eastAsia="zh-CN"/>
              </w:rPr>
              <w:t>磋商时间和地点</w:t>
            </w:r>
          </w:p>
        </w:tc>
        <w:tc>
          <w:tcPr>
            <w:tcW w:w="6639" w:type="dxa"/>
            <w:tcBorders>
              <w:top w:val="single" w:color="auto" w:sz="4" w:space="0"/>
              <w:left w:val="nil"/>
              <w:bottom w:val="single" w:color="auto" w:sz="4" w:space="0"/>
              <w:right w:val="single" w:color="auto" w:sz="4" w:space="0"/>
            </w:tcBorders>
            <w:vAlign w:val="center"/>
          </w:tcPr>
          <w:p w14:paraId="43EEBCCD">
            <w:pPr>
              <w:adjustRightInd w:val="0"/>
              <w:snapToGrid w:val="0"/>
              <w:spacing w:before="24" w:beforeLines="10" w:after="24" w:afterLines="10" w:line="400" w:lineRule="exact"/>
              <w:ind w:left="22" w:leftChars="10" w:right="22" w:rightChars="10"/>
              <w:jc w:val="both"/>
              <w:rPr>
                <w:rFonts w:ascii="宋体" w:hAnsi="宋体"/>
                <w:kern w:val="2"/>
                <w:sz w:val="21"/>
                <w:szCs w:val="21"/>
                <w:highlight w:val="none"/>
                <w:lang w:eastAsia="zh-CN"/>
              </w:rPr>
            </w:pPr>
            <w:r>
              <w:rPr>
                <w:rFonts w:hint="eastAsia" w:ascii="宋体" w:hAnsi="宋体"/>
                <w:kern w:val="2"/>
                <w:sz w:val="21"/>
                <w:szCs w:val="21"/>
                <w:highlight w:val="none"/>
                <w:lang w:eastAsia="zh-CN"/>
              </w:rPr>
              <w:t>磋商时间：</w:t>
            </w:r>
            <w:r>
              <w:rPr>
                <w:rFonts w:hint="eastAsia" w:ascii="宋体" w:hAnsi="宋体" w:cs="宋体"/>
                <w:sz w:val="21"/>
                <w:szCs w:val="21"/>
                <w:highlight w:val="none"/>
                <w:lang w:eastAsia="zh-CN"/>
              </w:rPr>
              <w:t>202</w:t>
            </w: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12</w:t>
            </w:r>
            <w:r>
              <w:rPr>
                <w:rFonts w:hint="eastAsia" w:ascii="宋体" w:hAnsi="宋体" w:cs="宋体"/>
                <w:sz w:val="21"/>
                <w:szCs w:val="21"/>
                <w:highlight w:val="none"/>
                <w:lang w:eastAsia="zh-CN"/>
              </w:rPr>
              <w:t>日上午</w:t>
            </w: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时</w:t>
            </w:r>
            <w:r>
              <w:rPr>
                <w:rFonts w:hint="eastAsia" w:ascii="宋体" w:hAnsi="宋体" w:cs="宋体"/>
                <w:sz w:val="21"/>
                <w:szCs w:val="21"/>
                <w:highlight w:val="none"/>
                <w:lang w:val="en-US" w:eastAsia="zh-CN"/>
              </w:rPr>
              <w:t>0</w:t>
            </w:r>
            <w:r>
              <w:rPr>
                <w:rFonts w:hint="eastAsia" w:ascii="宋体" w:hAnsi="宋体" w:cs="宋体"/>
                <w:sz w:val="21"/>
                <w:szCs w:val="21"/>
                <w:highlight w:val="none"/>
                <w:lang w:eastAsia="zh-CN"/>
              </w:rPr>
              <w:t>0分（北京时间）</w:t>
            </w:r>
          </w:p>
          <w:p w14:paraId="1CE64922">
            <w:pPr>
              <w:adjustRightInd w:val="0"/>
              <w:snapToGrid w:val="0"/>
              <w:spacing w:before="24" w:beforeLines="10" w:after="24" w:afterLines="10" w:line="400" w:lineRule="exact"/>
              <w:ind w:left="22" w:leftChars="10" w:right="22" w:rightChars="10"/>
              <w:jc w:val="both"/>
              <w:rPr>
                <w:rFonts w:ascii="宋体" w:hAnsi="宋体"/>
                <w:kern w:val="2"/>
                <w:sz w:val="21"/>
                <w:szCs w:val="21"/>
                <w:highlight w:val="none"/>
                <w:lang w:eastAsia="zh-CN"/>
              </w:rPr>
            </w:pPr>
            <w:r>
              <w:rPr>
                <w:rFonts w:hint="eastAsia" w:ascii="宋体" w:hAnsi="宋体"/>
                <w:kern w:val="2"/>
                <w:sz w:val="21"/>
                <w:szCs w:val="21"/>
                <w:highlight w:val="none"/>
                <w:lang w:eastAsia="zh-CN"/>
              </w:rPr>
              <w:t>磋商地点：周口市公共资源交易中心第九开标室（政采407-1）</w:t>
            </w:r>
          </w:p>
        </w:tc>
      </w:tr>
      <w:tr w14:paraId="27549F11">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7826DFA3">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lang w:eastAsia="zh-CN"/>
              </w:rPr>
              <w:t>6</w:t>
            </w:r>
            <w:r>
              <w:rPr>
                <w:rFonts w:hint="eastAsia" w:ascii="宋体" w:hAnsi="宋体" w:cs="Arial"/>
                <w:sz w:val="21"/>
                <w:szCs w:val="21"/>
              </w:rPr>
              <w:t>.1.1</w:t>
            </w:r>
          </w:p>
        </w:tc>
        <w:tc>
          <w:tcPr>
            <w:tcW w:w="1980" w:type="dxa"/>
            <w:tcBorders>
              <w:top w:val="single" w:color="auto" w:sz="4" w:space="0"/>
              <w:left w:val="nil"/>
              <w:bottom w:val="single" w:color="auto" w:sz="4" w:space="0"/>
              <w:right w:val="single" w:color="auto" w:sz="4" w:space="0"/>
            </w:tcBorders>
            <w:vAlign w:val="center"/>
          </w:tcPr>
          <w:p w14:paraId="3C7E795E">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rPr>
            </w:pPr>
            <w:r>
              <w:rPr>
                <w:rFonts w:hint="eastAsia" w:ascii="宋体" w:hAnsi="宋体" w:cs="Arial"/>
                <w:sz w:val="21"/>
                <w:szCs w:val="21"/>
              </w:rPr>
              <w:t>磋商小组的构成</w:t>
            </w:r>
          </w:p>
        </w:tc>
        <w:tc>
          <w:tcPr>
            <w:tcW w:w="6639" w:type="dxa"/>
            <w:tcBorders>
              <w:top w:val="single" w:color="auto" w:sz="4" w:space="0"/>
              <w:left w:val="nil"/>
              <w:bottom w:val="single" w:color="auto" w:sz="4" w:space="0"/>
              <w:right w:val="single" w:color="auto" w:sz="4" w:space="0"/>
            </w:tcBorders>
            <w:vAlign w:val="center"/>
          </w:tcPr>
          <w:p w14:paraId="532F1FEB">
            <w:pPr>
              <w:adjustRightInd w:val="0"/>
              <w:snapToGrid w:val="0"/>
              <w:spacing w:before="24" w:beforeLines="10" w:after="24" w:afterLines="10" w:line="400" w:lineRule="exact"/>
              <w:ind w:left="22" w:leftChars="10" w:right="22" w:rightChars="10"/>
              <w:jc w:val="both"/>
              <w:rPr>
                <w:kern w:val="2"/>
                <w:sz w:val="21"/>
                <w:szCs w:val="21"/>
                <w:lang w:eastAsia="zh-CN"/>
              </w:rPr>
            </w:pPr>
            <w:r>
              <w:rPr>
                <w:rFonts w:hint="eastAsia" w:ascii="宋体" w:hAnsi="宋体" w:cs="Arial"/>
                <w:sz w:val="21"/>
                <w:szCs w:val="21"/>
                <w:lang w:eastAsia="zh-CN"/>
              </w:rPr>
              <w:t>磋商小组</w:t>
            </w:r>
            <w:r>
              <w:rPr>
                <w:rFonts w:hint="eastAsia" w:ascii="宋体" w:hAnsi="宋体"/>
                <w:sz w:val="21"/>
                <w:szCs w:val="21"/>
                <w:lang w:eastAsia="zh-CN"/>
              </w:rPr>
              <w:t>构成：</w:t>
            </w:r>
            <w:r>
              <w:rPr>
                <w:rFonts w:hint="eastAsia" w:ascii="宋体" w:hAnsi="宋体" w:cs="Arial"/>
                <w:sz w:val="21"/>
                <w:szCs w:val="21"/>
                <w:lang w:eastAsia="zh-CN"/>
              </w:rPr>
              <w:t>磋商小组</w:t>
            </w:r>
            <w:r>
              <w:rPr>
                <w:rFonts w:hint="eastAsia" w:ascii="宋体" w:hAnsi="宋体"/>
                <w:sz w:val="21"/>
                <w:szCs w:val="21"/>
                <w:lang w:eastAsia="zh-CN"/>
              </w:rPr>
              <w:t>由采购人代表和评审专家组成，共</w:t>
            </w:r>
            <w:r>
              <w:rPr>
                <w:rFonts w:hint="eastAsia" w:ascii="宋体" w:hAnsi="宋体"/>
                <w:sz w:val="21"/>
                <w:szCs w:val="21"/>
                <w:u w:val="single"/>
                <w:lang w:eastAsia="zh-CN"/>
              </w:rPr>
              <w:t>3</w:t>
            </w:r>
            <w:r>
              <w:rPr>
                <w:rFonts w:hint="eastAsia" w:ascii="宋体" w:hAnsi="宋体"/>
                <w:sz w:val="21"/>
                <w:szCs w:val="21"/>
                <w:lang w:eastAsia="zh-CN"/>
              </w:rPr>
              <w:t>人；其中采购人代表</w:t>
            </w:r>
            <w:r>
              <w:rPr>
                <w:rFonts w:hint="eastAsia" w:ascii="宋体" w:hAnsi="宋体"/>
                <w:sz w:val="21"/>
                <w:szCs w:val="21"/>
                <w:u w:val="single"/>
                <w:lang w:eastAsia="zh-CN"/>
              </w:rPr>
              <w:t>1</w:t>
            </w:r>
            <w:r>
              <w:rPr>
                <w:rFonts w:hint="eastAsia" w:ascii="宋体" w:hAnsi="宋体"/>
                <w:sz w:val="21"/>
                <w:szCs w:val="21"/>
                <w:lang w:eastAsia="zh-CN"/>
              </w:rPr>
              <w:t>人，专家</w:t>
            </w:r>
            <w:r>
              <w:rPr>
                <w:rFonts w:hint="eastAsia" w:ascii="宋体" w:hAnsi="宋体"/>
                <w:sz w:val="21"/>
                <w:szCs w:val="21"/>
                <w:u w:val="single"/>
                <w:lang w:eastAsia="zh-CN"/>
              </w:rPr>
              <w:t>2</w:t>
            </w:r>
            <w:r>
              <w:rPr>
                <w:rFonts w:hint="eastAsia" w:ascii="宋体" w:hAnsi="宋体"/>
                <w:sz w:val="21"/>
                <w:szCs w:val="21"/>
                <w:lang w:eastAsia="zh-CN"/>
              </w:rPr>
              <w:t>人；磋商评审</w:t>
            </w:r>
            <w:r>
              <w:rPr>
                <w:rFonts w:hint="eastAsia" w:ascii="宋体" w:hAnsi="宋体"/>
                <w:spacing w:val="-2"/>
                <w:sz w:val="21"/>
                <w:szCs w:val="21"/>
                <w:lang w:eastAsia="zh-CN"/>
              </w:rPr>
              <w:t>专</w:t>
            </w:r>
            <w:r>
              <w:rPr>
                <w:rFonts w:hint="eastAsia" w:ascii="宋体" w:hAnsi="宋体"/>
                <w:sz w:val="21"/>
                <w:szCs w:val="21"/>
                <w:lang w:eastAsia="zh-CN"/>
              </w:rPr>
              <w:t>家</w:t>
            </w:r>
            <w:r>
              <w:rPr>
                <w:rFonts w:hint="eastAsia" w:ascii="宋体" w:hAnsi="宋体"/>
                <w:spacing w:val="-2"/>
                <w:sz w:val="21"/>
                <w:szCs w:val="21"/>
                <w:lang w:eastAsia="zh-CN"/>
              </w:rPr>
              <w:t>确</w:t>
            </w:r>
            <w:r>
              <w:rPr>
                <w:rFonts w:hint="eastAsia" w:ascii="宋体" w:hAnsi="宋体"/>
                <w:sz w:val="21"/>
                <w:szCs w:val="21"/>
                <w:lang w:eastAsia="zh-CN"/>
              </w:rPr>
              <w:t>定</w:t>
            </w:r>
            <w:r>
              <w:rPr>
                <w:rFonts w:hint="eastAsia" w:ascii="宋体" w:hAnsi="宋体"/>
                <w:spacing w:val="-2"/>
                <w:sz w:val="21"/>
                <w:szCs w:val="21"/>
                <w:lang w:eastAsia="zh-CN"/>
              </w:rPr>
              <w:t>方</w:t>
            </w:r>
            <w:r>
              <w:rPr>
                <w:rFonts w:hint="eastAsia" w:ascii="宋体" w:hAnsi="宋体"/>
                <w:sz w:val="21"/>
                <w:szCs w:val="21"/>
                <w:lang w:eastAsia="zh-CN"/>
              </w:rPr>
              <w:t>式：河南省政府采购专家库中随机抽取。</w:t>
            </w:r>
          </w:p>
        </w:tc>
      </w:tr>
      <w:tr w14:paraId="71164A37">
        <w:tblPrEx>
          <w:tblCellMar>
            <w:top w:w="0" w:type="dxa"/>
            <w:left w:w="108" w:type="dxa"/>
            <w:bottom w:w="0" w:type="dxa"/>
            <w:right w:w="108" w:type="dxa"/>
          </w:tblCellMar>
        </w:tblPrEx>
        <w:trPr>
          <w:trHeight w:val="1062"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1FB706AD">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lang w:eastAsia="zh-CN"/>
              </w:rPr>
              <w:t>6</w:t>
            </w:r>
            <w:r>
              <w:rPr>
                <w:rFonts w:hint="eastAsia" w:ascii="宋体" w:hAnsi="宋体" w:cs="Arial"/>
                <w:sz w:val="21"/>
                <w:szCs w:val="21"/>
              </w:rPr>
              <w:t>.1.</w:t>
            </w:r>
            <w:r>
              <w:rPr>
                <w:rFonts w:hint="eastAsia" w:ascii="宋体" w:hAnsi="宋体" w:cs="Arial"/>
                <w:sz w:val="21"/>
                <w:szCs w:val="21"/>
                <w:lang w:eastAsia="zh-CN"/>
              </w:rPr>
              <w:t>2</w:t>
            </w:r>
          </w:p>
        </w:tc>
        <w:tc>
          <w:tcPr>
            <w:tcW w:w="1980" w:type="dxa"/>
            <w:tcBorders>
              <w:top w:val="single" w:color="auto" w:sz="4" w:space="0"/>
              <w:left w:val="nil"/>
              <w:bottom w:val="single" w:color="auto" w:sz="4" w:space="0"/>
              <w:right w:val="single" w:color="auto" w:sz="4" w:space="0"/>
            </w:tcBorders>
            <w:vAlign w:val="center"/>
          </w:tcPr>
          <w:p w14:paraId="0F082027">
            <w:pPr>
              <w:adjustRightInd w:val="0"/>
              <w:snapToGrid w:val="0"/>
              <w:spacing w:before="24" w:beforeLines="10" w:after="24" w:afterLines="10" w:line="400" w:lineRule="exact"/>
              <w:ind w:left="22" w:leftChars="10" w:right="22" w:rightChars="10"/>
              <w:jc w:val="center"/>
              <w:rPr>
                <w:rFonts w:ascii="宋体" w:hAnsi="宋体"/>
                <w:sz w:val="21"/>
                <w:szCs w:val="21"/>
                <w:lang w:eastAsia="zh-CN"/>
              </w:rPr>
            </w:pPr>
            <w:r>
              <w:rPr>
                <w:rFonts w:hint="eastAsia" w:ascii="宋体" w:hAnsi="宋体"/>
                <w:sz w:val="21"/>
                <w:szCs w:val="21"/>
                <w:lang w:eastAsia="zh-CN"/>
              </w:rPr>
              <w:t>磋商小组推荐</w:t>
            </w:r>
          </w:p>
          <w:p w14:paraId="401AB7A5">
            <w:pPr>
              <w:adjustRightInd w:val="0"/>
              <w:snapToGrid w:val="0"/>
              <w:spacing w:before="24" w:beforeLines="10" w:after="24" w:afterLines="10" w:line="400" w:lineRule="exact"/>
              <w:ind w:left="22" w:leftChars="10" w:right="22" w:rightChars="10"/>
              <w:jc w:val="center"/>
              <w:rPr>
                <w:rFonts w:ascii="宋体" w:hAnsi="宋体"/>
                <w:sz w:val="21"/>
                <w:szCs w:val="21"/>
                <w:lang w:eastAsia="zh-CN"/>
              </w:rPr>
            </w:pPr>
            <w:r>
              <w:rPr>
                <w:rFonts w:hint="eastAsia" w:ascii="宋体" w:hAnsi="宋体"/>
                <w:sz w:val="21"/>
                <w:szCs w:val="21"/>
                <w:lang w:eastAsia="zh-CN"/>
              </w:rPr>
              <w:t>成</w:t>
            </w:r>
            <w:r>
              <w:rPr>
                <w:rFonts w:hint="eastAsia" w:ascii="宋体" w:hAnsi="宋体"/>
                <w:spacing w:val="-17"/>
                <w:sz w:val="21"/>
                <w:szCs w:val="21"/>
                <w:lang w:eastAsia="zh-CN"/>
              </w:rPr>
              <w:t>交候选人的人数</w:t>
            </w:r>
          </w:p>
        </w:tc>
        <w:tc>
          <w:tcPr>
            <w:tcW w:w="6639" w:type="dxa"/>
            <w:tcBorders>
              <w:top w:val="single" w:color="auto" w:sz="4" w:space="0"/>
              <w:left w:val="nil"/>
              <w:bottom w:val="single" w:color="auto" w:sz="4" w:space="0"/>
              <w:right w:val="single" w:color="auto" w:sz="4" w:space="0"/>
            </w:tcBorders>
            <w:vAlign w:val="center"/>
          </w:tcPr>
          <w:p w14:paraId="4EE291F8">
            <w:pPr>
              <w:adjustRightInd w:val="0"/>
              <w:snapToGrid w:val="0"/>
              <w:spacing w:before="24" w:beforeLines="10" w:after="24" w:afterLines="10" w:line="400" w:lineRule="exact"/>
              <w:ind w:left="22" w:leftChars="10" w:right="22" w:rightChars="10"/>
              <w:jc w:val="both"/>
              <w:rPr>
                <w:rFonts w:ascii="宋体" w:hAnsi="宋体"/>
                <w:sz w:val="21"/>
                <w:szCs w:val="21"/>
                <w:lang w:eastAsia="zh-CN"/>
              </w:rPr>
            </w:pPr>
            <w:r>
              <w:rPr>
                <w:rFonts w:hint="eastAsia" w:ascii="宋体" w:hAnsi="宋体"/>
                <w:kern w:val="2"/>
                <w:sz w:val="21"/>
                <w:szCs w:val="21"/>
                <w:lang w:eastAsia="zh-CN"/>
              </w:rPr>
              <w:t>3名</w:t>
            </w:r>
          </w:p>
        </w:tc>
      </w:tr>
      <w:tr w14:paraId="59B64F2A">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5985C8B3">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rPr>
              <w:t>6.1.3</w:t>
            </w:r>
          </w:p>
        </w:tc>
        <w:tc>
          <w:tcPr>
            <w:tcW w:w="1980" w:type="dxa"/>
            <w:tcBorders>
              <w:top w:val="single" w:color="auto" w:sz="4" w:space="0"/>
              <w:left w:val="nil"/>
              <w:bottom w:val="single" w:color="auto" w:sz="4" w:space="0"/>
              <w:right w:val="single" w:color="auto" w:sz="4" w:space="0"/>
            </w:tcBorders>
            <w:vAlign w:val="center"/>
          </w:tcPr>
          <w:p w14:paraId="0656886F">
            <w:pPr>
              <w:adjustRightInd w:val="0"/>
              <w:snapToGrid w:val="0"/>
              <w:spacing w:before="24" w:beforeLines="10" w:after="24" w:afterLines="10" w:line="400" w:lineRule="exact"/>
              <w:ind w:left="22" w:leftChars="10" w:right="22" w:rightChars="10"/>
              <w:jc w:val="center"/>
              <w:rPr>
                <w:rFonts w:hint="eastAsia" w:ascii="宋体" w:hAnsi="宋体"/>
                <w:sz w:val="21"/>
                <w:szCs w:val="21"/>
                <w:lang w:eastAsia="zh-CN"/>
              </w:rPr>
            </w:pPr>
            <w:r>
              <w:rPr>
                <w:rFonts w:hint="eastAsia" w:ascii="宋体" w:hAnsi="宋体"/>
                <w:sz w:val="21"/>
                <w:szCs w:val="21"/>
                <w:lang w:eastAsia="zh-CN"/>
              </w:rPr>
              <w:t>本项目采用磋商</w:t>
            </w:r>
          </w:p>
          <w:p w14:paraId="77CE06AF">
            <w:pPr>
              <w:adjustRightInd w:val="0"/>
              <w:snapToGrid w:val="0"/>
              <w:spacing w:before="24" w:beforeLines="10" w:after="24" w:afterLines="10" w:line="400" w:lineRule="exact"/>
              <w:ind w:left="22" w:leftChars="10" w:right="22" w:rightChars="10"/>
              <w:jc w:val="center"/>
              <w:rPr>
                <w:rFonts w:ascii="宋体" w:hAnsi="宋体"/>
                <w:sz w:val="21"/>
                <w:szCs w:val="21"/>
                <w:lang w:eastAsia="zh-CN"/>
              </w:rPr>
            </w:pPr>
            <w:r>
              <w:rPr>
                <w:rFonts w:hint="eastAsia" w:ascii="宋体" w:hAnsi="宋体"/>
                <w:sz w:val="21"/>
                <w:szCs w:val="21"/>
                <w:lang w:eastAsia="zh-CN"/>
              </w:rPr>
              <w:t>办法</w:t>
            </w:r>
          </w:p>
        </w:tc>
        <w:tc>
          <w:tcPr>
            <w:tcW w:w="6639" w:type="dxa"/>
            <w:tcBorders>
              <w:top w:val="single" w:color="auto" w:sz="4" w:space="0"/>
              <w:left w:val="nil"/>
              <w:bottom w:val="single" w:color="auto" w:sz="4" w:space="0"/>
              <w:right w:val="single" w:color="auto" w:sz="4" w:space="0"/>
            </w:tcBorders>
            <w:vAlign w:val="center"/>
          </w:tcPr>
          <w:p w14:paraId="2B2391B1">
            <w:pPr>
              <w:adjustRightInd w:val="0"/>
              <w:snapToGrid w:val="0"/>
              <w:spacing w:before="24" w:beforeLines="10" w:after="24" w:afterLines="10" w:line="400" w:lineRule="exact"/>
              <w:ind w:left="22" w:leftChars="10" w:right="22" w:rightChars="10"/>
              <w:jc w:val="both"/>
              <w:rPr>
                <w:rFonts w:ascii="宋体" w:hAnsi="宋体"/>
                <w:sz w:val="21"/>
                <w:szCs w:val="21"/>
                <w:lang w:eastAsia="zh-CN"/>
              </w:rPr>
            </w:pPr>
            <w:r>
              <w:rPr>
                <w:rFonts w:hint="eastAsia" w:ascii="宋体" w:hAnsi="宋体"/>
                <w:sz w:val="21"/>
                <w:szCs w:val="21"/>
                <w:lang w:eastAsia="zh-CN"/>
              </w:rPr>
              <w:t>综合评分法</w:t>
            </w:r>
          </w:p>
        </w:tc>
      </w:tr>
      <w:tr w14:paraId="60748DE8">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2BD54B34">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lang w:eastAsia="zh-CN"/>
              </w:rPr>
              <w:t>6.6</w:t>
            </w:r>
            <w:r>
              <w:rPr>
                <w:rFonts w:hint="eastAsia" w:ascii="宋体" w:hAnsi="宋体" w:cs="Arial"/>
                <w:sz w:val="21"/>
                <w:szCs w:val="21"/>
              </w:rPr>
              <w:t>.</w:t>
            </w:r>
            <w:r>
              <w:rPr>
                <w:rFonts w:hint="eastAsia" w:ascii="宋体" w:hAnsi="宋体" w:cs="Arial"/>
                <w:sz w:val="21"/>
                <w:szCs w:val="21"/>
                <w:lang w:eastAsia="zh-CN"/>
              </w:rPr>
              <w:t>3</w:t>
            </w:r>
          </w:p>
        </w:tc>
        <w:tc>
          <w:tcPr>
            <w:tcW w:w="1980" w:type="dxa"/>
            <w:tcBorders>
              <w:top w:val="single" w:color="auto" w:sz="4" w:space="0"/>
              <w:left w:val="nil"/>
              <w:bottom w:val="single" w:color="auto" w:sz="4" w:space="0"/>
              <w:right w:val="single" w:color="auto" w:sz="4" w:space="0"/>
            </w:tcBorders>
            <w:vAlign w:val="center"/>
          </w:tcPr>
          <w:p w14:paraId="6765E31B">
            <w:pPr>
              <w:adjustRightInd w:val="0"/>
              <w:snapToGrid w:val="0"/>
              <w:spacing w:before="24" w:beforeLines="10" w:after="24" w:afterLines="10" w:line="400" w:lineRule="exact"/>
              <w:ind w:left="22" w:leftChars="10" w:right="22" w:rightChars="10"/>
              <w:jc w:val="center"/>
              <w:rPr>
                <w:rFonts w:ascii="宋体" w:hAnsi="宋体"/>
                <w:sz w:val="21"/>
                <w:szCs w:val="21"/>
                <w:lang w:eastAsia="zh-CN"/>
              </w:rPr>
            </w:pPr>
            <w:r>
              <w:rPr>
                <w:rFonts w:hint="eastAsia" w:ascii="宋体" w:hAnsi="宋体"/>
                <w:sz w:val="21"/>
                <w:szCs w:val="21"/>
                <w:lang w:eastAsia="zh-CN"/>
              </w:rPr>
              <w:t>成交候选人</w:t>
            </w:r>
          </w:p>
          <w:p w14:paraId="3F1B983D">
            <w:pPr>
              <w:adjustRightInd w:val="0"/>
              <w:snapToGrid w:val="0"/>
              <w:spacing w:before="24" w:beforeLines="10" w:after="24" w:afterLines="10" w:line="400" w:lineRule="exact"/>
              <w:ind w:left="22" w:leftChars="10" w:right="22" w:rightChars="10"/>
              <w:jc w:val="center"/>
              <w:rPr>
                <w:rFonts w:ascii="宋体" w:hAnsi="宋体"/>
                <w:kern w:val="2"/>
                <w:sz w:val="21"/>
                <w:szCs w:val="21"/>
                <w:lang w:eastAsia="zh-CN"/>
              </w:rPr>
            </w:pPr>
            <w:r>
              <w:rPr>
                <w:rFonts w:hint="eastAsia" w:ascii="宋体" w:hAnsi="宋体"/>
                <w:sz w:val="21"/>
                <w:szCs w:val="21"/>
                <w:lang w:eastAsia="zh-CN"/>
              </w:rPr>
              <w:t>公告媒体及期限</w:t>
            </w:r>
          </w:p>
        </w:tc>
        <w:tc>
          <w:tcPr>
            <w:tcW w:w="6639" w:type="dxa"/>
            <w:tcBorders>
              <w:top w:val="single" w:color="auto" w:sz="4" w:space="0"/>
              <w:left w:val="nil"/>
              <w:bottom w:val="single" w:color="auto" w:sz="4" w:space="0"/>
              <w:right w:val="single" w:color="auto" w:sz="4" w:space="0"/>
            </w:tcBorders>
            <w:vAlign w:val="center"/>
          </w:tcPr>
          <w:p w14:paraId="07AE8099">
            <w:pPr>
              <w:adjustRightInd w:val="0"/>
              <w:snapToGrid w:val="0"/>
              <w:spacing w:before="24" w:beforeLines="10" w:after="24" w:afterLines="10" w:line="400" w:lineRule="exact"/>
              <w:ind w:left="22" w:leftChars="10" w:right="22" w:rightChars="10"/>
              <w:rPr>
                <w:rFonts w:ascii="宋体" w:hAnsi="宋体"/>
                <w:kern w:val="2"/>
                <w:sz w:val="21"/>
                <w:szCs w:val="21"/>
                <w:lang w:eastAsia="zh-CN"/>
              </w:rPr>
            </w:pPr>
            <w:r>
              <w:rPr>
                <w:rFonts w:hint="eastAsia" w:ascii="宋体" w:hAnsi="宋体"/>
                <w:sz w:val="21"/>
                <w:szCs w:val="21"/>
                <w:lang w:eastAsia="zh-CN"/>
              </w:rPr>
              <w:t>原竞争性磋商公告媒体发布，成交公告期限为1个工作日</w:t>
            </w:r>
          </w:p>
        </w:tc>
      </w:tr>
      <w:tr w14:paraId="7CA3246A">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01E1B57B">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rPr>
              <w:t>7.6</w:t>
            </w:r>
          </w:p>
        </w:tc>
        <w:tc>
          <w:tcPr>
            <w:tcW w:w="1980" w:type="dxa"/>
            <w:tcBorders>
              <w:top w:val="single" w:color="auto" w:sz="4" w:space="0"/>
              <w:left w:val="nil"/>
              <w:bottom w:val="single" w:color="auto" w:sz="4" w:space="0"/>
              <w:right w:val="single" w:color="auto" w:sz="4" w:space="0"/>
            </w:tcBorders>
            <w:vAlign w:val="center"/>
          </w:tcPr>
          <w:p w14:paraId="462D1E1A">
            <w:pPr>
              <w:adjustRightInd w:val="0"/>
              <w:snapToGrid w:val="0"/>
              <w:spacing w:before="24" w:beforeLines="10" w:after="24" w:afterLines="10" w:line="400" w:lineRule="exact"/>
              <w:ind w:left="22" w:leftChars="10" w:right="22" w:rightChars="10"/>
              <w:jc w:val="center"/>
              <w:rPr>
                <w:rFonts w:ascii="宋体" w:hAnsi="宋体"/>
                <w:kern w:val="2"/>
                <w:sz w:val="21"/>
                <w:szCs w:val="21"/>
                <w:lang w:eastAsia="zh-CN"/>
              </w:rPr>
            </w:pPr>
            <w:r>
              <w:rPr>
                <w:rFonts w:hint="eastAsia" w:ascii="宋体" w:hAnsi="宋体"/>
                <w:sz w:val="21"/>
                <w:szCs w:val="21"/>
              </w:rPr>
              <w:t>履约保证金</w:t>
            </w:r>
          </w:p>
        </w:tc>
        <w:tc>
          <w:tcPr>
            <w:tcW w:w="6639" w:type="dxa"/>
            <w:tcBorders>
              <w:top w:val="single" w:color="auto" w:sz="4" w:space="0"/>
              <w:left w:val="nil"/>
              <w:bottom w:val="single" w:color="auto" w:sz="4" w:space="0"/>
              <w:right w:val="single" w:color="auto" w:sz="4" w:space="0"/>
            </w:tcBorders>
            <w:vAlign w:val="center"/>
          </w:tcPr>
          <w:p w14:paraId="263EA38C">
            <w:pPr>
              <w:adjustRightInd w:val="0"/>
              <w:snapToGrid w:val="0"/>
              <w:spacing w:before="24" w:beforeLines="10" w:after="24" w:afterLines="10" w:line="400" w:lineRule="exact"/>
              <w:ind w:left="22" w:leftChars="10" w:right="22" w:rightChars="10"/>
              <w:rPr>
                <w:rFonts w:ascii="宋体" w:hAnsi="宋体"/>
                <w:kern w:val="2"/>
                <w:sz w:val="21"/>
                <w:szCs w:val="21"/>
                <w:lang w:eastAsia="zh-CN"/>
              </w:rPr>
            </w:pPr>
            <w:r>
              <w:rPr>
                <w:rFonts w:hint="eastAsia" w:ascii="宋体" w:hAnsi="宋体"/>
                <w:kern w:val="2"/>
                <w:sz w:val="21"/>
                <w:szCs w:val="21"/>
                <w:lang w:eastAsia="zh-CN"/>
              </w:rPr>
              <w:t>不要求</w:t>
            </w:r>
          </w:p>
        </w:tc>
      </w:tr>
      <w:tr w14:paraId="771B0EDD">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5AC7601A">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lang w:eastAsia="zh-CN"/>
              </w:rPr>
              <w:t xml:space="preserve">10                                                                                                                                                                                                                                                                                                                                                                                                                                                                                                                        </w:t>
            </w:r>
          </w:p>
        </w:tc>
        <w:tc>
          <w:tcPr>
            <w:tcW w:w="8619" w:type="dxa"/>
            <w:gridSpan w:val="2"/>
            <w:tcBorders>
              <w:top w:val="single" w:color="auto" w:sz="4" w:space="0"/>
              <w:left w:val="nil"/>
              <w:bottom w:val="single" w:color="auto" w:sz="4" w:space="0"/>
              <w:right w:val="single" w:color="auto" w:sz="4" w:space="0"/>
            </w:tcBorders>
            <w:vAlign w:val="center"/>
          </w:tcPr>
          <w:p w14:paraId="0D8BD7C1">
            <w:pPr>
              <w:adjustRightInd w:val="0"/>
              <w:snapToGrid w:val="0"/>
              <w:spacing w:before="24" w:beforeLines="10" w:after="24" w:afterLines="10" w:line="400" w:lineRule="exact"/>
              <w:ind w:left="22" w:leftChars="10" w:right="22" w:rightChars="10"/>
              <w:jc w:val="center"/>
              <w:rPr>
                <w:rFonts w:ascii="宋体" w:hAnsi="宋体"/>
                <w:kern w:val="2"/>
                <w:sz w:val="21"/>
                <w:szCs w:val="21"/>
              </w:rPr>
            </w:pPr>
            <w:r>
              <w:rPr>
                <w:rFonts w:hint="eastAsia" w:ascii="宋体" w:hAnsi="宋体"/>
                <w:sz w:val="21"/>
                <w:szCs w:val="21"/>
              </w:rPr>
              <w:t>需要补充的其他内容</w:t>
            </w:r>
          </w:p>
        </w:tc>
      </w:tr>
      <w:tr w14:paraId="3BDB0CE3">
        <w:tblPrEx>
          <w:tblCellMar>
            <w:top w:w="0" w:type="dxa"/>
            <w:left w:w="108" w:type="dxa"/>
            <w:bottom w:w="0" w:type="dxa"/>
            <w:right w:w="108" w:type="dxa"/>
          </w:tblCellMar>
        </w:tblPrEx>
        <w:trPr>
          <w:trHeight w:val="80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2DDF6F79">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lang w:eastAsia="zh-CN"/>
              </w:rPr>
              <w:t>10.1</w:t>
            </w:r>
          </w:p>
        </w:tc>
        <w:tc>
          <w:tcPr>
            <w:tcW w:w="1980" w:type="dxa"/>
            <w:tcBorders>
              <w:top w:val="single" w:color="auto" w:sz="4" w:space="0"/>
              <w:left w:val="nil"/>
              <w:bottom w:val="single" w:color="auto" w:sz="4" w:space="0"/>
              <w:right w:val="single" w:color="auto" w:sz="4" w:space="0"/>
            </w:tcBorders>
            <w:vAlign w:val="center"/>
          </w:tcPr>
          <w:p w14:paraId="2E13500B">
            <w:pPr>
              <w:adjustRightInd w:val="0"/>
              <w:snapToGrid w:val="0"/>
              <w:spacing w:before="24" w:beforeLines="10" w:after="24" w:afterLines="10" w:line="400" w:lineRule="exact"/>
              <w:ind w:left="22" w:leftChars="10" w:right="22" w:rightChars="10"/>
              <w:jc w:val="center"/>
              <w:textAlignment w:val="baseline"/>
              <w:rPr>
                <w:rFonts w:hint="default" w:ascii="宋体" w:hAnsi="宋体" w:eastAsia="宋体" w:cs="Arial"/>
                <w:color w:val="C00000"/>
                <w:kern w:val="2"/>
                <w:sz w:val="21"/>
                <w:szCs w:val="21"/>
                <w:lang w:val="en-US" w:eastAsia="zh-CN"/>
              </w:rPr>
            </w:pPr>
            <w:r>
              <w:rPr>
                <w:rFonts w:hint="eastAsia" w:ascii="宋体" w:hAnsi="宋体" w:cs="Arial"/>
                <w:b/>
                <w:bCs/>
                <w:color w:val="auto"/>
                <w:kern w:val="2"/>
                <w:sz w:val="21"/>
                <w:szCs w:val="21"/>
                <w:lang w:val="en-US" w:eastAsia="zh-CN"/>
              </w:rPr>
              <w:t>最高限价</w:t>
            </w:r>
          </w:p>
        </w:tc>
        <w:tc>
          <w:tcPr>
            <w:tcW w:w="6639" w:type="dxa"/>
            <w:tcBorders>
              <w:top w:val="single" w:color="auto" w:sz="4" w:space="0"/>
              <w:left w:val="nil"/>
              <w:bottom w:val="single" w:color="auto" w:sz="4" w:space="0"/>
              <w:right w:val="single" w:color="auto" w:sz="4" w:space="0"/>
            </w:tcBorders>
            <w:vAlign w:val="center"/>
          </w:tcPr>
          <w:p w14:paraId="64A8CF31">
            <w:pPr>
              <w:adjustRightInd w:val="0"/>
              <w:snapToGrid w:val="0"/>
              <w:spacing w:before="24" w:beforeLines="10" w:after="24" w:afterLines="10" w:line="400" w:lineRule="exact"/>
              <w:ind w:right="22" w:rightChars="10"/>
              <w:jc w:val="both"/>
              <w:rPr>
                <w:lang w:eastAsia="zh-CN"/>
              </w:rPr>
            </w:pPr>
            <w:r>
              <w:rPr>
                <w:rFonts w:hint="eastAsia" w:ascii="宋体" w:hAnsi="宋体"/>
                <w:b/>
                <w:bCs/>
                <w:kern w:val="2"/>
                <w:sz w:val="21"/>
                <w:szCs w:val="21"/>
                <w:lang w:eastAsia="zh-CN"/>
              </w:rPr>
              <w:t>本项目</w:t>
            </w:r>
            <w:r>
              <w:rPr>
                <w:rFonts w:hint="eastAsia" w:ascii="宋体" w:hAnsi="宋体" w:cs="Arial"/>
                <w:b/>
                <w:bCs/>
                <w:color w:val="auto"/>
                <w:kern w:val="2"/>
                <w:sz w:val="21"/>
                <w:szCs w:val="21"/>
                <w:lang w:val="en-US" w:eastAsia="zh-CN"/>
              </w:rPr>
              <w:t>最高限价</w:t>
            </w:r>
            <w:r>
              <w:rPr>
                <w:rFonts w:hint="eastAsia" w:ascii="宋体" w:hAnsi="宋体"/>
                <w:b/>
                <w:bCs/>
                <w:kern w:val="2"/>
                <w:sz w:val="21"/>
                <w:szCs w:val="21"/>
                <w:lang w:eastAsia="zh-CN"/>
              </w:rPr>
              <w:t>为：</w:t>
            </w:r>
            <w:r>
              <w:rPr>
                <w:rFonts w:hint="eastAsia" w:ascii="宋体" w:hAnsi="宋体"/>
                <w:b/>
                <w:bCs/>
                <w:kern w:val="2"/>
                <w:sz w:val="21"/>
                <w:szCs w:val="21"/>
                <w:u w:val="single"/>
                <w:lang w:val="en-US" w:eastAsia="zh-CN"/>
              </w:rPr>
              <w:t>1500000</w:t>
            </w:r>
            <w:r>
              <w:rPr>
                <w:rFonts w:hint="eastAsia" w:ascii="宋体" w:hAnsi="宋体"/>
                <w:b w:val="0"/>
                <w:bCs w:val="0"/>
                <w:kern w:val="2"/>
                <w:sz w:val="21"/>
                <w:szCs w:val="21"/>
                <w:lang w:eastAsia="zh-CN"/>
              </w:rPr>
              <w:t>元</w:t>
            </w:r>
            <w:r>
              <w:rPr>
                <w:rFonts w:hint="eastAsia" w:ascii="宋体" w:hAnsi="宋体"/>
                <w:sz w:val="21"/>
                <w:szCs w:val="21"/>
                <w:lang w:eastAsia="zh-CN"/>
              </w:rPr>
              <w:t>，响应单位报价超过最高限价的其响应性文件将可能被拒绝；</w:t>
            </w:r>
          </w:p>
        </w:tc>
      </w:tr>
      <w:tr w14:paraId="7C017B7C">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47D00E6D">
            <w:pPr>
              <w:adjustRightInd w:val="0"/>
              <w:snapToGrid w:val="0"/>
              <w:spacing w:before="24" w:beforeLines="10" w:after="24" w:afterLines="10" w:line="400" w:lineRule="exact"/>
              <w:ind w:left="22" w:leftChars="10" w:right="22" w:rightChars="10"/>
              <w:jc w:val="center"/>
              <w:textAlignment w:val="baseline"/>
              <w:rPr>
                <w:rFonts w:ascii="宋体" w:hAnsi="宋体" w:cs="Arial"/>
                <w:sz w:val="21"/>
                <w:szCs w:val="21"/>
                <w:lang w:eastAsia="zh-CN"/>
              </w:rPr>
            </w:pPr>
            <w:r>
              <w:rPr>
                <w:rFonts w:hint="eastAsia" w:ascii="宋体" w:hAnsi="宋体" w:cs="Arial"/>
                <w:sz w:val="21"/>
                <w:szCs w:val="21"/>
                <w:lang w:eastAsia="zh-CN"/>
              </w:rPr>
              <w:t>10.2</w:t>
            </w:r>
          </w:p>
        </w:tc>
        <w:tc>
          <w:tcPr>
            <w:tcW w:w="1980" w:type="dxa"/>
            <w:tcBorders>
              <w:top w:val="single" w:color="auto" w:sz="4" w:space="0"/>
              <w:left w:val="nil"/>
              <w:bottom w:val="single" w:color="auto" w:sz="4" w:space="0"/>
              <w:right w:val="single" w:color="auto" w:sz="4" w:space="0"/>
            </w:tcBorders>
            <w:vAlign w:val="center"/>
          </w:tcPr>
          <w:p w14:paraId="03BECE10">
            <w:pPr>
              <w:adjustRightInd w:val="0"/>
              <w:snapToGrid w:val="0"/>
              <w:spacing w:before="24" w:beforeLines="10" w:after="24" w:afterLines="10" w:line="400" w:lineRule="exact"/>
              <w:ind w:left="22" w:leftChars="10" w:right="22" w:rightChars="10"/>
              <w:jc w:val="center"/>
              <w:rPr>
                <w:rFonts w:ascii="宋体" w:hAnsi="宋体"/>
                <w:sz w:val="21"/>
                <w:szCs w:val="21"/>
                <w:highlight w:val="yellow"/>
              </w:rPr>
            </w:pPr>
            <w:r>
              <w:rPr>
                <w:rFonts w:hint="eastAsia" w:ascii="宋体" w:hAnsi="宋体"/>
                <w:sz w:val="21"/>
                <w:szCs w:val="21"/>
                <w:lang w:eastAsia="zh-CN"/>
              </w:rPr>
              <w:t>代理</w:t>
            </w:r>
            <w:r>
              <w:rPr>
                <w:rFonts w:hint="eastAsia" w:ascii="宋体" w:hAnsi="宋体"/>
                <w:sz w:val="21"/>
                <w:szCs w:val="21"/>
              </w:rPr>
              <w:t>服务费</w:t>
            </w:r>
          </w:p>
        </w:tc>
        <w:tc>
          <w:tcPr>
            <w:tcW w:w="6639" w:type="dxa"/>
            <w:tcBorders>
              <w:top w:val="single" w:color="auto" w:sz="4" w:space="0"/>
              <w:left w:val="nil"/>
              <w:bottom w:val="single" w:color="auto" w:sz="4" w:space="0"/>
              <w:right w:val="single" w:color="auto" w:sz="4" w:space="0"/>
            </w:tcBorders>
            <w:vAlign w:val="center"/>
          </w:tcPr>
          <w:p w14:paraId="66943DEE">
            <w:pPr>
              <w:adjustRightInd w:val="0"/>
              <w:snapToGrid w:val="0"/>
              <w:spacing w:before="24" w:beforeLines="10" w:after="24" w:afterLines="10" w:line="400" w:lineRule="exact"/>
              <w:ind w:right="22" w:rightChars="10"/>
              <w:jc w:val="both"/>
              <w:rPr>
                <w:rFonts w:ascii="宋体" w:hAnsi="宋体"/>
                <w:sz w:val="21"/>
                <w:szCs w:val="21"/>
                <w:highlight w:val="yellow"/>
                <w:lang w:eastAsia="zh-CN"/>
              </w:rPr>
            </w:pPr>
            <w:r>
              <w:rPr>
                <w:rFonts w:hint="eastAsia" w:ascii="宋体" w:hAnsi="宋体"/>
                <w:sz w:val="21"/>
                <w:szCs w:val="21"/>
                <w:lang w:eastAsia="zh-CN"/>
              </w:rPr>
              <w:t>代理费用收取方式及标准：</w:t>
            </w:r>
            <w:r>
              <w:rPr>
                <w:rFonts w:hint="eastAsia" w:ascii="宋体" w:hAnsi="宋体"/>
                <w:sz w:val="21"/>
                <w:szCs w:val="21"/>
                <w:lang w:val="en-US" w:eastAsia="zh-CN"/>
              </w:rPr>
              <w:t>成交</w:t>
            </w:r>
            <w:r>
              <w:rPr>
                <w:rFonts w:hint="eastAsia" w:ascii="宋体" w:hAnsi="宋体"/>
                <w:sz w:val="21"/>
                <w:szCs w:val="21"/>
                <w:lang w:eastAsia="zh-CN"/>
              </w:rPr>
              <w:t>人参照豫招协[2023]002号河南省招标投标协会关于印发《河南省招标代理服务收费指导意见》规定的收费标准交纳代理服务费。</w:t>
            </w:r>
          </w:p>
        </w:tc>
      </w:tr>
      <w:tr w14:paraId="3AFE88DE">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31069BC0">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rPr>
              <w:t>10.</w:t>
            </w:r>
            <w:r>
              <w:rPr>
                <w:rFonts w:hint="eastAsia" w:ascii="宋体" w:hAnsi="宋体" w:cs="Arial"/>
                <w:sz w:val="21"/>
                <w:szCs w:val="21"/>
                <w:lang w:eastAsia="zh-CN"/>
              </w:rPr>
              <w:t>3</w:t>
            </w:r>
          </w:p>
        </w:tc>
        <w:tc>
          <w:tcPr>
            <w:tcW w:w="1980" w:type="dxa"/>
            <w:tcBorders>
              <w:top w:val="single" w:color="auto" w:sz="4" w:space="0"/>
              <w:left w:val="nil"/>
              <w:bottom w:val="single" w:color="auto" w:sz="4" w:space="0"/>
              <w:right w:val="single" w:color="auto" w:sz="4" w:space="0"/>
            </w:tcBorders>
            <w:vAlign w:val="center"/>
          </w:tcPr>
          <w:p w14:paraId="47000A4A">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sz w:val="21"/>
                <w:szCs w:val="21"/>
              </w:rPr>
              <w:t>投标语言</w:t>
            </w:r>
          </w:p>
        </w:tc>
        <w:tc>
          <w:tcPr>
            <w:tcW w:w="6639" w:type="dxa"/>
            <w:tcBorders>
              <w:top w:val="single" w:color="auto" w:sz="4" w:space="0"/>
              <w:left w:val="nil"/>
              <w:bottom w:val="single" w:color="auto" w:sz="4" w:space="0"/>
              <w:right w:val="single" w:color="auto" w:sz="4" w:space="0"/>
            </w:tcBorders>
            <w:vAlign w:val="center"/>
          </w:tcPr>
          <w:p w14:paraId="30555F7E">
            <w:pPr>
              <w:adjustRightInd w:val="0"/>
              <w:snapToGrid w:val="0"/>
              <w:spacing w:before="24" w:beforeLines="10" w:after="24" w:afterLines="10" w:line="400" w:lineRule="exact"/>
              <w:ind w:left="22" w:leftChars="10" w:right="22" w:rightChars="10"/>
              <w:jc w:val="both"/>
              <w:rPr>
                <w:rFonts w:hint="default" w:ascii="宋体" w:hAnsi="宋体"/>
                <w:kern w:val="2"/>
                <w:sz w:val="21"/>
                <w:szCs w:val="21"/>
                <w:lang w:val="en-US" w:eastAsia="zh-CN"/>
              </w:rPr>
            </w:pPr>
            <w:r>
              <w:rPr>
                <w:rFonts w:hint="eastAsia" w:ascii="宋体" w:hAnsi="宋体"/>
                <w:sz w:val="21"/>
                <w:szCs w:val="21"/>
                <w:lang w:eastAsia="zh-CN"/>
              </w:rPr>
              <w:t>中文，响应单位提供的外文资料应附有相应的中文译本。</w:t>
            </w:r>
          </w:p>
        </w:tc>
      </w:tr>
      <w:tr w14:paraId="72797E98">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7C54B450">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lang w:eastAsia="zh-CN"/>
              </w:rPr>
              <w:t>10.4</w:t>
            </w:r>
          </w:p>
        </w:tc>
        <w:tc>
          <w:tcPr>
            <w:tcW w:w="1980" w:type="dxa"/>
            <w:tcBorders>
              <w:top w:val="single" w:color="auto" w:sz="4" w:space="0"/>
              <w:left w:val="nil"/>
              <w:bottom w:val="single" w:color="auto" w:sz="4" w:space="0"/>
              <w:right w:val="single" w:color="auto" w:sz="4" w:space="0"/>
            </w:tcBorders>
            <w:vAlign w:val="center"/>
          </w:tcPr>
          <w:p w14:paraId="6016193B">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highlight w:val="none"/>
                <w:lang w:eastAsia="zh-CN"/>
              </w:rPr>
            </w:pPr>
            <w:r>
              <w:rPr>
                <w:rFonts w:hint="eastAsia" w:ascii="宋体" w:hAnsi="宋体"/>
                <w:sz w:val="21"/>
                <w:szCs w:val="21"/>
                <w:highlight w:val="none"/>
                <w:lang w:eastAsia="zh-CN"/>
              </w:rPr>
              <w:t>付款方式</w:t>
            </w:r>
          </w:p>
        </w:tc>
        <w:tc>
          <w:tcPr>
            <w:tcW w:w="6639" w:type="dxa"/>
            <w:tcBorders>
              <w:top w:val="single" w:color="auto" w:sz="4" w:space="0"/>
              <w:left w:val="nil"/>
              <w:bottom w:val="single" w:color="auto" w:sz="4" w:space="0"/>
              <w:right w:val="single" w:color="auto" w:sz="4" w:space="0"/>
            </w:tcBorders>
            <w:vAlign w:val="center"/>
          </w:tcPr>
          <w:p w14:paraId="32C05EC1">
            <w:pPr>
              <w:adjustRightInd w:val="0"/>
              <w:snapToGrid w:val="0"/>
              <w:spacing w:before="24" w:beforeLines="10" w:after="24" w:afterLines="10" w:line="400" w:lineRule="exact"/>
              <w:ind w:left="22" w:leftChars="10" w:right="22" w:rightChars="10"/>
              <w:jc w:val="both"/>
              <w:rPr>
                <w:rFonts w:hint="eastAsia" w:ascii="宋体" w:hAnsi="宋体"/>
                <w:kern w:val="2"/>
                <w:sz w:val="21"/>
                <w:szCs w:val="21"/>
                <w:highlight w:val="none"/>
                <w:lang w:eastAsia="zh-CN"/>
              </w:rPr>
            </w:pPr>
            <w:r>
              <w:rPr>
                <w:rFonts w:hint="eastAsia" w:ascii="宋体" w:hAnsi="宋体"/>
                <w:kern w:val="2"/>
                <w:sz w:val="21"/>
                <w:szCs w:val="21"/>
                <w:highlight w:val="none"/>
                <w:lang w:eastAsia="zh-CN"/>
              </w:rPr>
              <w:t>1.本合同签订后，自甲方收到乙方提供的等额合规的增值税普通发票之日起 10 个工作日内，甲方向乙方支付项目价款总额的30％（如乙方为中小企业则支付项目价款总额50%），作为该项目预付款。</w:t>
            </w:r>
          </w:p>
          <w:p w14:paraId="08E06B0B">
            <w:pPr>
              <w:adjustRightInd w:val="0"/>
              <w:snapToGrid w:val="0"/>
              <w:spacing w:before="24" w:beforeLines="10" w:after="24" w:afterLines="10" w:line="400" w:lineRule="exact"/>
              <w:ind w:left="22" w:leftChars="10" w:right="22" w:rightChars="10"/>
              <w:jc w:val="both"/>
              <w:rPr>
                <w:rFonts w:ascii="宋体" w:hAnsi="宋体"/>
                <w:kern w:val="2"/>
                <w:sz w:val="21"/>
                <w:szCs w:val="21"/>
                <w:highlight w:val="none"/>
                <w:lang w:eastAsia="zh-CN"/>
              </w:rPr>
            </w:pPr>
            <w:r>
              <w:rPr>
                <w:rFonts w:hint="eastAsia" w:ascii="宋体" w:hAnsi="宋体"/>
                <w:kern w:val="2"/>
                <w:sz w:val="21"/>
                <w:szCs w:val="21"/>
                <w:highlight w:val="none"/>
                <w:lang w:eastAsia="zh-CN"/>
              </w:rPr>
              <w:t>2.乙方完成最终成果汇报并经过甲方审核通过后，自甲方收到乙方提供的等额合规的增值税普通发票之日起10个工作日内，甲方向乙方支付项目价款总额的70％（如乙方为中小企业则支付项目价款总额 50%）。</w:t>
            </w:r>
          </w:p>
        </w:tc>
      </w:tr>
      <w:tr w14:paraId="276748D4">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29C0082C">
            <w:pPr>
              <w:adjustRightInd w:val="0"/>
              <w:snapToGrid w:val="0"/>
              <w:spacing w:line="400" w:lineRule="exact"/>
              <w:jc w:val="center"/>
              <w:rPr>
                <w:rFonts w:ascii="宋体" w:hAnsi="宋体"/>
                <w:color w:val="000000"/>
                <w:sz w:val="21"/>
                <w:szCs w:val="21"/>
                <w:lang w:eastAsia="zh-CN"/>
              </w:rPr>
            </w:pPr>
            <w:r>
              <w:rPr>
                <w:rFonts w:hint="eastAsia" w:ascii="宋体" w:hAnsi="宋体"/>
                <w:color w:val="000000"/>
                <w:sz w:val="21"/>
                <w:szCs w:val="21"/>
              </w:rPr>
              <w:t>10.</w:t>
            </w:r>
            <w:r>
              <w:rPr>
                <w:rFonts w:hint="eastAsia" w:ascii="宋体" w:hAnsi="宋体"/>
                <w:color w:val="000000"/>
                <w:sz w:val="21"/>
                <w:szCs w:val="21"/>
                <w:lang w:eastAsia="zh-CN"/>
              </w:rPr>
              <w:t>5</w:t>
            </w:r>
          </w:p>
        </w:tc>
        <w:tc>
          <w:tcPr>
            <w:tcW w:w="1980" w:type="dxa"/>
            <w:tcBorders>
              <w:top w:val="single" w:color="auto" w:sz="4" w:space="0"/>
              <w:left w:val="nil"/>
              <w:bottom w:val="single" w:color="auto" w:sz="4" w:space="0"/>
              <w:right w:val="single" w:color="auto" w:sz="4" w:space="0"/>
            </w:tcBorders>
            <w:vAlign w:val="center"/>
          </w:tcPr>
          <w:p w14:paraId="5C9EA63C">
            <w:pPr>
              <w:adjustRightInd w:val="0"/>
              <w:snapToGrid w:val="0"/>
              <w:spacing w:line="400" w:lineRule="exact"/>
              <w:jc w:val="center"/>
              <w:rPr>
                <w:rFonts w:ascii="宋体" w:hAnsi="宋体"/>
                <w:color w:val="000000"/>
                <w:sz w:val="21"/>
                <w:szCs w:val="21"/>
                <w:lang w:eastAsia="zh-CN"/>
              </w:rPr>
            </w:pPr>
            <w:r>
              <w:rPr>
                <w:rFonts w:hint="eastAsia" w:ascii="宋体" w:hAnsi="宋体"/>
                <w:color w:val="000000"/>
                <w:sz w:val="21"/>
                <w:szCs w:val="21"/>
              </w:rPr>
              <w:t>同义词语</w:t>
            </w:r>
          </w:p>
        </w:tc>
        <w:tc>
          <w:tcPr>
            <w:tcW w:w="6639" w:type="dxa"/>
            <w:tcBorders>
              <w:top w:val="single" w:color="auto" w:sz="4" w:space="0"/>
              <w:left w:val="nil"/>
              <w:bottom w:val="single" w:color="auto" w:sz="4" w:space="0"/>
              <w:right w:val="single" w:color="auto" w:sz="4" w:space="0"/>
            </w:tcBorders>
            <w:vAlign w:val="center"/>
          </w:tcPr>
          <w:p w14:paraId="40464F98">
            <w:pPr>
              <w:adjustRightInd w:val="0"/>
              <w:snapToGrid w:val="0"/>
              <w:spacing w:line="400" w:lineRule="exact"/>
              <w:jc w:val="both"/>
              <w:rPr>
                <w:rFonts w:ascii="宋体" w:hAnsi="宋体"/>
                <w:color w:val="000000"/>
                <w:sz w:val="21"/>
                <w:szCs w:val="21"/>
                <w:lang w:eastAsia="zh-CN"/>
              </w:rPr>
            </w:pPr>
            <w:r>
              <w:rPr>
                <w:rFonts w:hint="eastAsia" w:ascii="宋体" w:hAnsi="宋体"/>
                <w:color w:val="000000"/>
                <w:sz w:val="21"/>
                <w:szCs w:val="21"/>
                <w:lang w:eastAsia="zh-CN"/>
              </w:rPr>
              <w:t>构成磋商文件组成部分的“通用合同条款”、“专用合同条款”、“技术标准和要求”等章节中出现的措辞“发包人”和“承包人”，在磋商投标阶段应当分别按“采购人”和“响应单位”进行理解。</w:t>
            </w:r>
          </w:p>
        </w:tc>
      </w:tr>
      <w:tr w14:paraId="46944176">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35809BDD">
            <w:pPr>
              <w:adjustRightInd w:val="0"/>
              <w:snapToGrid w:val="0"/>
              <w:spacing w:before="24" w:beforeLines="10" w:after="24" w:afterLines="10" w:line="400" w:lineRule="exact"/>
              <w:ind w:left="22" w:leftChars="10" w:right="22" w:rightChars="10"/>
              <w:jc w:val="center"/>
              <w:textAlignment w:val="baseline"/>
              <w:rPr>
                <w:rFonts w:ascii="宋体" w:hAnsi="宋体" w:cs="Arial"/>
                <w:kern w:val="2"/>
                <w:sz w:val="21"/>
                <w:szCs w:val="21"/>
                <w:lang w:eastAsia="zh-CN"/>
              </w:rPr>
            </w:pPr>
            <w:r>
              <w:rPr>
                <w:rFonts w:hint="eastAsia" w:ascii="宋体" w:hAnsi="宋体" w:cs="Arial"/>
                <w:sz w:val="21"/>
                <w:szCs w:val="21"/>
                <w:lang w:eastAsia="zh-CN"/>
              </w:rPr>
              <w:t>10.6</w:t>
            </w:r>
          </w:p>
        </w:tc>
        <w:tc>
          <w:tcPr>
            <w:tcW w:w="1980" w:type="dxa"/>
            <w:tcBorders>
              <w:top w:val="single" w:color="auto" w:sz="4" w:space="0"/>
              <w:left w:val="nil"/>
              <w:bottom w:val="single" w:color="auto" w:sz="4" w:space="0"/>
              <w:right w:val="single" w:color="auto" w:sz="4" w:space="0"/>
            </w:tcBorders>
            <w:vAlign w:val="center"/>
          </w:tcPr>
          <w:p w14:paraId="57EC3973">
            <w:pPr>
              <w:adjustRightInd w:val="0"/>
              <w:snapToGrid w:val="0"/>
              <w:spacing w:before="24" w:beforeLines="10" w:after="24" w:afterLines="10" w:line="400" w:lineRule="exact"/>
              <w:ind w:left="22" w:leftChars="10" w:right="22" w:rightChars="10"/>
              <w:jc w:val="center"/>
              <w:rPr>
                <w:rFonts w:ascii="宋体" w:hAnsi="宋体"/>
                <w:sz w:val="21"/>
                <w:szCs w:val="21"/>
                <w:lang w:eastAsia="zh-CN"/>
              </w:rPr>
            </w:pPr>
            <w:r>
              <w:rPr>
                <w:rFonts w:hint="eastAsia" w:ascii="宋体" w:hAnsi="宋体"/>
                <w:sz w:val="21"/>
                <w:szCs w:val="21"/>
                <w:lang w:eastAsia="zh-CN"/>
              </w:rPr>
              <w:t>解释权</w:t>
            </w:r>
          </w:p>
        </w:tc>
        <w:tc>
          <w:tcPr>
            <w:tcW w:w="6639" w:type="dxa"/>
            <w:tcBorders>
              <w:top w:val="single" w:color="auto" w:sz="4" w:space="0"/>
              <w:left w:val="nil"/>
              <w:bottom w:val="single" w:color="auto" w:sz="4" w:space="0"/>
              <w:right w:val="single" w:color="auto" w:sz="4" w:space="0"/>
            </w:tcBorders>
            <w:vAlign w:val="center"/>
          </w:tcPr>
          <w:p w14:paraId="180A419F">
            <w:pPr>
              <w:adjustRightInd w:val="0"/>
              <w:snapToGrid w:val="0"/>
              <w:spacing w:before="24" w:beforeLines="10" w:after="24" w:afterLines="10" w:line="400" w:lineRule="exact"/>
              <w:ind w:left="22" w:leftChars="10" w:right="22" w:rightChars="10"/>
              <w:jc w:val="both"/>
              <w:rPr>
                <w:rFonts w:ascii="宋体" w:hAnsi="宋体"/>
                <w:sz w:val="21"/>
                <w:szCs w:val="21"/>
                <w:lang w:eastAsia="zh-CN"/>
              </w:rPr>
            </w:pPr>
            <w:r>
              <w:rPr>
                <w:rFonts w:hint="eastAsia" w:ascii="宋体" w:hAnsi="宋体"/>
                <w:sz w:val="21"/>
                <w:szCs w:val="21"/>
                <w:lang w:eastAsia="zh-CN"/>
              </w:rPr>
              <w:t>构成本磋商文件的各个组成文件应互为解释，互为说明；如有不明确或不一致，构成合同文件组成内容的，以合同文件约定内容为准；除磋商文件中有特别规定外，仅适用于磋商阶段的规定，按磋商公告、响应单位须知、评审方法、响应文件格式的先后顺序解释；同一组成文件中就同一事项的规定或约定不一致的，以编排顺序在后者为准；同一组成文件不同版本之间有不一致的，以形成时间后者为准。按本款前述规定仍不能形成结论的，由采购人负责解释。</w:t>
            </w:r>
          </w:p>
        </w:tc>
      </w:tr>
      <w:tr w14:paraId="3E7653D8">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7C3D6E0E">
            <w:pPr>
              <w:adjustRightInd w:val="0"/>
              <w:snapToGrid w:val="0"/>
              <w:spacing w:before="24" w:beforeLines="10" w:after="24" w:afterLines="10" w:line="400" w:lineRule="exact"/>
              <w:ind w:left="22" w:leftChars="10" w:right="22" w:rightChars="10"/>
              <w:jc w:val="center"/>
              <w:textAlignment w:val="baseline"/>
              <w:rPr>
                <w:rFonts w:hint="eastAsia" w:ascii="宋体" w:hAnsi="宋体" w:cs="Arial"/>
                <w:sz w:val="21"/>
                <w:szCs w:val="21"/>
                <w:lang w:eastAsia="zh-CN"/>
              </w:rPr>
            </w:pPr>
            <w:r>
              <w:rPr>
                <w:rFonts w:hint="eastAsia" w:ascii="宋体" w:hAnsi="宋体" w:cs="宋体"/>
                <w:szCs w:val="21"/>
                <w:lang w:eastAsia="zh-CN"/>
              </w:rPr>
              <w:t>10.7</w:t>
            </w:r>
          </w:p>
        </w:tc>
        <w:tc>
          <w:tcPr>
            <w:tcW w:w="1980" w:type="dxa"/>
            <w:tcBorders>
              <w:top w:val="single" w:color="auto" w:sz="4" w:space="0"/>
              <w:left w:val="nil"/>
              <w:bottom w:val="single" w:color="auto" w:sz="4" w:space="0"/>
              <w:right w:val="single" w:color="auto" w:sz="4" w:space="0"/>
            </w:tcBorders>
            <w:vAlign w:val="center"/>
          </w:tcPr>
          <w:p w14:paraId="5F476E00">
            <w:pPr>
              <w:adjustRightInd w:val="0"/>
              <w:snapToGrid w:val="0"/>
              <w:spacing w:before="24" w:beforeLines="10" w:after="24" w:afterLines="10" w:line="400" w:lineRule="exact"/>
              <w:ind w:left="22" w:leftChars="10" w:right="22" w:rightChars="10"/>
              <w:jc w:val="center"/>
              <w:rPr>
                <w:rFonts w:hint="eastAsia" w:ascii="宋体" w:hAnsi="宋体"/>
                <w:sz w:val="21"/>
                <w:szCs w:val="21"/>
                <w:lang w:eastAsia="zh-CN"/>
              </w:rPr>
            </w:pPr>
            <w:r>
              <w:rPr>
                <w:rFonts w:hint="eastAsia" w:ascii="宋体" w:hAnsi="宋体"/>
                <w:sz w:val="21"/>
                <w:szCs w:val="21"/>
                <w:lang w:eastAsia="zh-CN"/>
              </w:rPr>
              <w:t>政府采购政策</w:t>
            </w:r>
          </w:p>
        </w:tc>
        <w:tc>
          <w:tcPr>
            <w:tcW w:w="6639" w:type="dxa"/>
            <w:tcBorders>
              <w:top w:val="single" w:color="auto" w:sz="4" w:space="0"/>
              <w:left w:val="nil"/>
              <w:bottom w:val="single" w:color="auto" w:sz="4" w:space="0"/>
              <w:right w:val="single" w:color="auto" w:sz="4" w:space="0"/>
            </w:tcBorders>
            <w:shd w:val="clear" w:color="auto" w:fill="auto"/>
            <w:vAlign w:val="center"/>
          </w:tcPr>
          <w:p w14:paraId="2B22059D">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A.为贯彻落实财库[2022]19 号《关于进一步加大政府采购支持中小企业力度的通知》、财库[2020]46 号《政府采购促进中小企业发展管理办法》的规定，豫财购[2013]14 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为依据。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型、微型企业提供中型企业制造的货物的，视同为中型企业。在政府采购活动中，响应单位提供的货物、工程或者服务符合下列情形的，享受本办法规定的中小企业扶持政策：</w:t>
            </w:r>
          </w:p>
          <w:p w14:paraId="38A77B0D">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（一）在货物采购项目中，货物由中小企业制造，即货物由中小企业生产且使用该中小企业商号或者注册商标。 </w:t>
            </w:r>
          </w:p>
          <w:p w14:paraId="1D57294D">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（二）在工程采购项目中，工程由中小企业承建，即工程施工单位为中小企业。 </w:t>
            </w:r>
          </w:p>
          <w:p w14:paraId="5F424F0E">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三）在服务采购项目中，服务由中小企业承接，即提供服务的人员为中小企业依照《中华人民共和国民法典》订立劳动合同的从业人员。在货物采购项目中，响应单位提供的货物既有中小企业制造货物，也有大型企业制造货物的，不享受本办法规定的中小企业扶持政策。 </w:t>
            </w:r>
          </w:p>
          <w:p w14:paraId="706573FB">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关于投标报价评分中给予中小企业优惠的说明：评审时给予小型或微型企业</w:t>
            </w:r>
            <w:r>
              <w:rPr>
                <w:rFonts w:hint="eastAsia" w:ascii="宋体" w:hAnsi="宋体" w:eastAsia="宋体"/>
                <w:b/>
                <w:bCs/>
                <w:sz w:val="21"/>
                <w:szCs w:val="21"/>
                <w:lang w:val="en-US" w:eastAsia="zh-CN"/>
              </w:rPr>
              <w:t>20%</w:t>
            </w:r>
            <w:r>
              <w:rPr>
                <w:rFonts w:hint="eastAsia" w:ascii="宋体" w:hAnsi="宋体" w:eastAsia="宋体"/>
                <w:sz w:val="21"/>
                <w:szCs w:val="21"/>
                <w:lang w:val="en-US" w:eastAsia="zh-CN"/>
              </w:rPr>
              <w:t>的价格扣除，用扣除后的价格参与评审。</w:t>
            </w:r>
          </w:p>
          <w:p w14:paraId="45656A9F">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四）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w:t>
            </w:r>
            <w:r>
              <w:rPr>
                <w:rFonts w:hint="eastAsia" w:ascii="宋体" w:hAnsi="宋体" w:eastAsia="宋体"/>
                <w:b/>
                <w:bCs/>
                <w:sz w:val="21"/>
                <w:szCs w:val="21"/>
                <w:lang w:val="en-US" w:eastAsia="zh-CN"/>
              </w:rPr>
              <w:t>4%</w:t>
            </w:r>
            <w:r>
              <w:rPr>
                <w:rFonts w:hint="eastAsia" w:ascii="宋体" w:hAnsi="宋体" w:eastAsia="宋体"/>
                <w:sz w:val="21"/>
                <w:szCs w:val="21"/>
                <w:lang w:val="en-US" w:eastAsia="zh-CN"/>
              </w:rPr>
              <w:t xml:space="preserve">的扣除，用扣除后的价格参与评审。 </w:t>
            </w:r>
          </w:p>
          <w:p w14:paraId="586C0572">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B.根据《财政部、司法部关于政府采购支持监狱企业发展有关问题的通知》（财库[2014]68 号）规定，本项目支持监狱企业参与政府采购活动。监狱企业参加本项目投标时，须提供由省级以上监狱管理局、 戒毒管理局（含新疆生产建设兵团）出具的属于监狱企业的证明文件， 视同小型、微型企业。</w:t>
            </w:r>
          </w:p>
          <w:p w14:paraId="1E2D076F">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根据《关于促进残疾人就业政府采购政策的通知》（财库〔2017〕141 号）文件规定，本项目支持残疾人福利性单位参与政府采购活动。符合条件的残疾人福利性单位参加本项目投标时，应当提供本通知规定的《残疾人福利性单位声明函》，并对声明的真实性负责，视同小型、微型企业。</w:t>
            </w:r>
          </w:p>
          <w:p w14:paraId="040C78E6">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参加政府采购活动的监狱企业，未提供由省级以上监狱管理局、戒毒管理局（含新疆生产建设兵团）出具的属于监狱企业的证明文件不予认可。开源节流，执行低价优先的采购政策规定。 </w:t>
            </w:r>
          </w:p>
          <w:p w14:paraId="778738A7">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C、根据政府采购政策，本项目如涉及到自主创新首购产品，应当采购由财政部会同科技部等部门制定的《政府采购自主创新产品目录》内的产品。 </w:t>
            </w:r>
          </w:p>
          <w:p w14:paraId="2FE07286">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D、根据政府采购政策，本项目如涉及到无线局域网产品，应当优先采购《无线局域网认证产品政府采购清单》内的产品，如涉及到信息安全产品，应当采购经国家认证的信息安全产品。 </w:t>
            </w:r>
          </w:p>
          <w:p w14:paraId="05FDD966">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E、根据政府采购政策，本项目如涉及到计算机办公设备产品，响应单位所投产品必须是预装正版操作系统软件的计算机产品。 </w:t>
            </w:r>
          </w:p>
          <w:p w14:paraId="73AD1024">
            <w:pPr>
              <w:adjustRightInd w:val="0"/>
              <w:snapToGrid w:val="0"/>
              <w:spacing w:before="24" w:beforeLines="10" w:after="24" w:afterLines="10" w:line="400" w:lineRule="exact"/>
              <w:ind w:left="22" w:leftChars="10" w:right="22" w:rightChars="10"/>
              <w:jc w:val="both"/>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F、其它未尽事宜，按国家有关法律、法规执行。 </w:t>
            </w:r>
          </w:p>
          <w:p w14:paraId="2B7E60C2">
            <w:pPr>
              <w:adjustRightInd w:val="0"/>
              <w:snapToGrid w:val="0"/>
              <w:spacing w:before="24" w:beforeLines="10" w:after="24" w:afterLines="10" w:line="400" w:lineRule="exact"/>
              <w:ind w:left="22" w:leftChars="10" w:right="22" w:rightChars="10"/>
              <w:jc w:val="both"/>
              <w:rPr>
                <w:rFonts w:hint="eastAsia" w:ascii="宋体" w:hAnsi="宋体" w:eastAsia="宋体" w:cs="黑体"/>
                <w:sz w:val="21"/>
                <w:szCs w:val="21"/>
                <w:highlight w:val="none"/>
                <w:lang w:val="en-US" w:eastAsia="zh-CN" w:bidi="ar-SA"/>
              </w:rPr>
            </w:pPr>
            <w:r>
              <w:rPr>
                <w:rFonts w:hint="eastAsia" w:ascii="宋体" w:hAnsi="宋体" w:eastAsia="宋体"/>
                <w:sz w:val="21"/>
                <w:szCs w:val="21"/>
                <w:lang w:val="en-US" w:eastAsia="zh-CN"/>
              </w:rPr>
              <w:t>G、根据工信部联企业[2011]300 号文的规定，本项目涉及中小企业的行业划型属于“</w:t>
            </w:r>
            <w:r>
              <w:rPr>
                <w:rFonts w:hint="eastAsia" w:ascii="宋体" w:hAnsi="宋体" w:eastAsia="宋体"/>
                <w:b/>
                <w:bCs/>
                <w:sz w:val="21"/>
                <w:szCs w:val="21"/>
                <w:lang w:val="en-US" w:eastAsia="zh-CN"/>
              </w:rPr>
              <w:t>其他未列明行业</w:t>
            </w:r>
            <w:r>
              <w:rPr>
                <w:rFonts w:hint="eastAsia" w:ascii="宋体" w:hAnsi="宋体" w:eastAsia="宋体"/>
                <w:sz w:val="21"/>
                <w:szCs w:val="21"/>
                <w:lang w:val="en-US" w:eastAsia="zh-CN"/>
              </w:rPr>
              <w:t>”。</w:t>
            </w:r>
          </w:p>
        </w:tc>
      </w:tr>
      <w:tr w14:paraId="785188EB">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5C024014">
            <w:pPr>
              <w:autoSpaceDE w:val="0"/>
              <w:autoSpaceDN w:val="0"/>
              <w:adjustRightInd w:val="0"/>
              <w:snapToGrid w:val="0"/>
              <w:spacing w:before="24" w:beforeLines="10" w:after="24" w:afterLines="10" w:line="400" w:lineRule="exact"/>
              <w:ind w:left="22" w:leftChars="10" w:right="22" w:rightChars="10"/>
              <w:jc w:val="center"/>
              <w:rPr>
                <w:rFonts w:ascii="宋体" w:hAnsi="宋体" w:cs="宋体"/>
                <w:szCs w:val="21"/>
                <w:lang w:eastAsia="zh-CN"/>
              </w:rPr>
            </w:pPr>
            <w:r>
              <w:rPr>
                <w:rFonts w:hint="eastAsia" w:ascii="宋体" w:hAnsi="宋体" w:cs="宋体"/>
                <w:szCs w:val="21"/>
                <w:lang w:eastAsia="zh-CN"/>
              </w:rPr>
              <w:t>10.</w:t>
            </w:r>
            <w:r>
              <w:rPr>
                <w:rFonts w:hint="eastAsia" w:ascii="宋体" w:hAnsi="宋体" w:cs="宋体"/>
                <w:szCs w:val="21"/>
                <w:lang w:val="en-US" w:eastAsia="zh-CN"/>
              </w:rPr>
              <w:t>8</w:t>
            </w:r>
          </w:p>
        </w:tc>
        <w:tc>
          <w:tcPr>
            <w:tcW w:w="8619" w:type="dxa"/>
            <w:gridSpan w:val="2"/>
            <w:tcBorders>
              <w:top w:val="single" w:color="auto" w:sz="4" w:space="0"/>
              <w:left w:val="nil"/>
              <w:bottom w:val="single" w:color="auto" w:sz="4" w:space="0"/>
              <w:right w:val="single" w:color="auto" w:sz="4" w:space="0"/>
            </w:tcBorders>
            <w:vAlign w:val="center"/>
          </w:tcPr>
          <w:p w14:paraId="5ED4D8D1">
            <w:pPr>
              <w:adjustRightInd w:val="0"/>
              <w:snapToGrid w:val="0"/>
              <w:spacing w:before="24" w:beforeLines="10" w:after="24" w:afterLines="10" w:line="400" w:lineRule="exact"/>
              <w:ind w:left="22" w:leftChars="10" w:right="22" w:rightChars="10"/>
              <w:jc w:val="both"/>
              <w:rPr>
                <w:rFonts w:ascii="宋体" w:hAnsi="宋体"/>
                <w:b/>
                <w:bCs/>
                <w:sz w:val="21"/>
                <w:szCs w:val="21"/>
                <w:lang w:eastAsia="zh-CN"/>
              </w:rPr>
            </w:pPr>
            <w:r>
              <w:rPr>
                <w:rFonts w:hint="eastAsia" w:ascii="宋体" w:hAnsi="宋体" w:cs="宋体"/>
                <w:b/>
                <w:bCs/>
                <w:spacing w:val="9"/>
                <w:sz w:val="21"/>
                <w:szCs w:val="21"/>
                <w:lang w:eastAsia="zh-CN"/>
              </w:rPr>
              <w:t>本项目不收取质量保证金</w:t>
            </w:r>
          </w:p>
        </w:tc>
      </w:tr>
      <w:tr w14:paraId="26DCFC30">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7C2B0499">
            <w:pPr>
              <w:autoSpaceDE w:val="0"/>
              <w:autoSpaceDN w:val="0"/>
              <w:adjustRightInd w:val="0"/>
              <w:snapToGrid w:val="0"/>
              <w:spacing w:before="24" w:beforeLines="10" w:after="24" w:afterLines="10" w:line="400" w:lineRule="exact"/>
              <w:ind w:left="22" w:leftChars="10" w:right="22" w:rightChars="10"/>
              <w:jc w:val="center"/>
              <w:rPr>
                <w:rFonts w:ascii="宋体" w:hAnsi="宋体" w:cs="宋体"/>
                <w:szCs w:val="21"/>
                <w:lang w:eastAsia="zh-CN"/>
              </w:rPr>
            </w:pPr>
            <w:r>
              <w:rPr>
                <w:rFonts w:hint="eastAsia" w:ascii="宋体" w:hAnsi="宋体" w:cs="宋体"/>
                <w:szCs w:val="21"/>
                <w:lang w:eastAsia="zh-CN"/>
              </w:rPr>
              <w:t>10.</w:t>
            </w:r>
            <w:r>
              <w:rPr>
                <w:rFonts w:hint="eastAsia" w:ascii="宋体" w:hAnsi="宋体" w:cs="宋体"/>
                <w:szCs w:val="21"/>
                <w:lang w:val="en-US" w:eastAsia="zh-CN"/>
              </w:rPr>
              <w:t>9</w:t>
            </w:r>
          </w:p>
        </w:tc>
        <w:tc>
          <w:tcPr>
            <w:tcW w:w="8619" w:type="dxa"/>
            <w:gridSpan w:val="2"/>
            <w:tcBorders>
              <w:top w:val="single" w:color="auto" w:sz="4" w:space="0"/>
              <w:left w:val="nil"/>
              <w:bottom w:val="single" w:color="auto" w:sz="4" w:space="0"/>
              <w:right w:val="single" w:color="auto" w:sz="4" w:space="0"/>
            </w:tcBorders>
            <w:vAlign w:val="center"/>
          </w:tcPr>
          <w:p w14:paraId="0D3F90F7">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加强防范响应单位围标、串标、陪标行为，参与同一个标段(包)的响应单位存在下列情形之一的，其投标(响应)文件无效：</w:t>
            </w:r>
          </w:p>
          <w:p w14:paraId="11BA7201">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(一)不同响应单位的电子投标(响应)文件上传计算机的网卡MAC地址、CPU序列号和硬盘序列号等硬件信息相同的；</w:t>
            </w:r>
          </w:p>
          <w:p w14:paraId="51DDFCDC">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(二)不同响应单位的投标(响应)文件由同一电子设备编制、打印加密或者上传；</w:t>
            </w:r>
          </w:p>
          <w:p w14:paraId="59D44B7F">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(三)不同响应单位的投标(响应)文件由同一电子设备打印、复印；</w:t>
            </w:r>
          </w:p>
          <w:p w14:paraId="5A1D5CD9">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(四)不同响应单位的投标(响应)文件由同一人送达或者分发，或者不同响应单位联系人为同一人或不同联系人的联系电话一致的；</w:t>
            </w:r>
          </w:p>
          <w:p w14:paraId="3CFC9BAE">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(五)不同响应单位的投标(响应)文件的内容存在两处以上细节错误一致；</w:t>
            </w:r>
          </w:p>
          <w:p w14:paraId="3F597278">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(六)不同响应单位的法定代表人、委托代理人、项目经理、项目负责人等由同一个单位缴纳社会保险或者领取报酬的；</w:t>
            </w:r>
          </w:p>
          <w:p w14:paraId="0B8BA5EF">
            <w:pPr>
              <w:adjustRightInd w:val="0"/>
              <w:snapToGrid w:val="0"/>
              <w:spacing w:line="400" w:lineRule="exact"/>
              <w:rPr>
                <w:rFonts w:ascii="宋体" w:hAnsi="宋体" w:cs="宋体"/>
                <w:sz w:val="21"/>
                <w:szCs w:val="21"/>
                <w:lang w:eastAsia="zh-CN"/>
              </w:rPr>
            </w:pPr>
            <w:r>
              <w:rPr>
                <w:rFonts w:hint="eastAsia" w:ascii="宋体" w:hAnsi="宋体" w:cs="宋体"/>
                <w:sz w:val="21"/>
                <w:szCs w:val="21"/>
                <w:lang w:eastAsia="zh-CN"/>
              </w:rPr>
              <w:t>(七)不同响应单位投标(响应)文件中法定代表人或者负责人签字出自同一人之手；</w:t>
            </w:r>
          </w:p>
          <w:p w14:paraId="01123460">
            <w:pPr>
              <w:adjustRightInd w:val="0"/>
              <w:snapToGrid w:val="0"/>
              <w:spacing w:before="24" w:beforeLines="10" w:after="24" w:afterLines="10" w:line="400" w:lineRule="exact"/>
              <w:ind w:left="22" w:leftChars="10" w:right="22" w:rightChars="10"/>
              <w:jc w:val="both"/>
              <w:rPr>
                <w:rFonts w:ascii="宋体" w:hAnsi="宋体" w:cs="宋体"/>
                <w:b/>
                <w:bCs/>
                <w:spacing w:val="9"/>
                <w:sz w:val="21"/>
                <w:szCs w:val="21"/>
                <w:lang w:eastAsia="zh-CN"/>
              </w:rPr>
            </w:pPr>
            <w:r>
              <w:rPr>
                <w:rFonts w:hint="eastAsia" w:ascii="宋体" w:hAnsi="宋体" w:cs="宋体"/>
                <w:sz w:val="21"/>
                <w:szCs w:val="21"/>
                <w:lang w:eastAsia="zh-CN"/>
              </w:rPr>
              <w:t>(八)其它涉嫌串通的情形。</w:t>
            </w:r>
          </w:p>
        </w:tc>
      </w:tr>
      <w:tr w14:paraId="680528BB">
        <w:tblPrEx>
          <w:tblCellMar>
            <w:top w:w="0" w:type="dxa"/>
            <w:left w:w="108" w:type="dxa"/>
            <w:bottom w:w="0" w:type="dxa"/>
            <w:right w:w="108" w:type="dxa"/>
          </w:tblCellMar>
        </w:tblPrEx>
        <w:trPr>
          <w:trHeight w:val="79"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3E7ADD01">
            <w:pPr>
              <w:autoSpaceDE w:val="0"/>
              <w:autoSpaceDN w:val="0"/>
              <w:adjustRightInd w:val="0"/>
              <w:snapToGrid w:val="0"/>
              <w:spacing w:before="24" w:beforeLines="10" w:after="24" w:afterLines="10" w:line="400" w:lineRule="exact"/>
              <w:ind w:left="22" w:leftChars="10" w:right="22" w:rightChars="10"/>
              <w:jc w:val="center"/>
              <w:rPr>
                <w:rFonts w:hint="default" w:ascii="宋体" w:hAnsi="宋体" w:cs="宋体"/>
                <w:szCs w:val="21"/>
                <w:lang w:val="en-US" w:eastAsia="zh-CN"/>
              </w:rPr>
            </w:pPr>
            <w:r>
              <w:rPr>
                <w:rFonts w:hint="eastAsia" w:ascii="宋体" w:hAnsi="宋体" w:cs="宋体"/>
                <w:szCs w:val="21"/>
                <w:lang w:eastAsia="zh-CN"/>
              </w:rPr>
              <w:t>10.</w:t>
            </w:r>
            <w:r>
              <w:rPr>
                <w:rFonts w:hint="eastAsia" w:ascii="宋体" w:hAnsi="宋体" w:cs="宋体"/>
                <w:szCs w:val="21"/>
                <w:lang w:val="en-US" w:eastAsia="zh-CN"/>
              </w:rPr>
              <w:t>10</w:t>
            </w:r>
          </w:p>
        </w:tc>
        <w:tc>
          <w:tcPr>
            <w:tcW w:w="8619" w:type="dxa"/>
            <w:gridSpan w:val="2"/>
            <w:tcBorders>
              <w:top w:val="single" w:color="auto" w:sz="4" w:space="0"/>
              <w:left w:val="nil"/>
              <w:bottom w:val="single" w:color="auto" w:sz="4" w:space="0"/>
              <w:right w:val="single" w:color="auto" w:sz="4" w:space="0"/>
            </w:tcBorders>
            <w:vAlign w:val="center"/>
          </w:tcPr>
          <w:p w14:paraId="5A8B0801">
            <w:pPr>
              <w:adjustRightInd w:val="0"/>
              <w:snapToGrid w:val="0"/>
              <w:spacing w:before="24" w:beforeLines="10" w:after="24" w:afterLines="10" w:line="400" w:lineRule="exact"/>
              <w:ind w:left="22" w:leftChars="10" w:right="22" w:rightChars="10"/>
              <w:jc w:val="both"/>
              <w:rPr>
                <w:rFonts w:ascii="宋体" w:hAnsi="宋体" w:cs="宋体"/>
                <w:sz w:val="21"/>
                <w:szCs w:val="21"/>
                <w:lang w:eastAsia="zh-CN"/>
              </w:rPr>
            </w:pPr>
            <w:r>
              <w:rPr>
                <w:rFonts w:hint="eastAsia" w:ascii="宋体" w:hAnsi="宋体" w:cs="宋体"/>
                <w:spacing w:val="9"/>
                <w:sz w:val="21"/>
                <w:szCs w:val="21"/>
                <w:lang w:eastAsia="zh-CN"/>
              </w:rPr>
              <w:t>为落实河南省财政厅关于印发深入推进政府采购合同融资工作实施方案的通知（豫财办﹝2020﹞33 号），成交响应单位可以持政府采购合同向融资机构申请贷款，具体详见附件。</w:t>
            </w:r>
          </w:p>
        </w:tc>
      </w:tr>
      <w:tr w14:paraId="1010EC2C">
        <w:tblPrEx>
          <w:tblCellMar>
            <w:top w:w="0" w:type="dxa"/>
            <w:left w:w="108" w:type="dxa"/>
            <w:bottom w:w="0" w:type="dxa"/>
            <w:right w:w="108" w:type="dxa"/>
          </w:tblCellMar>
        </w:tblPrEx>
        <w:trPr>
          <w:trHeight w:val="79" w:hRule="atLeast"/>
          <w:jc w:val="center"/>
        </w:trPr>
        <w:tc>
          <w:tcPr>
            <w:tcW w:w="9608" w:type="dxa"/>
            <w:gridSpan w:val="3"/>
            <w:tcBorders>
              <w:top w:val="single" w:color="auto" w:sz="4" w:space="0"/>
              <w:left w:val="single" w:color="auto" w:sz="4" w:space="0"/>
              <w:bottom w:val="single" w:color="auto" w:sz="4" w:space="0"/>
              <w:right w:val="single" w:color="auto" w:sz="4" w:space="0"/>
            </w:tcBorders>
            <w:vAlign w:val="center"/>
          </w:tcPr>
          <w:p w14:paraId="347E962A">
            <w:pPr>
              <w:autoSpaceDE w:val="0"/>
              <w:autoSpaceDN w:val="0"/>
              <w:adjustRightInd w:val="0"/>
              <w:spacing w:line="420" w:lineRule="exact"/>
              <w:jc w:val="both"/>
              <w:rPr>
                <w:rFonts w:hint="eastAsia" w:eastAsia="宋体"/>
                <w:sz w:val="21"/>
                <w:szCs w:val="21"/>
                <w:lang w:eastAsia="zh-CN"/>
              </w:rPr>
            </w:pPr>
            <w:r>
              <w:rPr>
                <w:rFonts w:hint="eastAsia" w:ascii="宋体" w:hAnsi="宋体" w:eastAsia="宋体" w:cs="宋体"/>
                <w:color w:val="000000"/>
                <w:kern w:val="0"/>
                <w:sz w:val="20"/>
                <w:szCs w:val="20"/>
                <w:lang w:val="en-US" w:eastAsia="zh-CN" w:bidi="ar"/>
              </w:rPr>
              <w:t>1.</w:t>
            </w:r>
            <w:r>
              <w:rPr>
                <w:rFonts w:hint="eastAsia" w:eastAsia="宋体"/>
                <w:sz w:val="21"/>
                <w:szCs w:val="21"/>
                <w:lang w:val="en-US" w:eastAsia="zh-CN"/>
              </w:rPr>
              <w:t>因周口市公共资源交易中心平台在开标前具有保密性，响应单位在投标截止时间前须自行查看项目进展、变更通知、澄清及回复，因响应单位未及时查看而造成的后果自负。</w:t>
            </w:r>
          </w:p>
          <w:p w14:paraId="574445C4">
            <w:pPr>
              <w:autoSpaceDE w:val="0"/>
              <w:autoSpaceDN w:val="0"/>
              <w:adjustRightInd w:val="0"/>
              <w:spacing w:line="420" w:lineRule="exact"/>
              <w:jc w:val="both"/>
              <w:rPr>
                <w:sz w:val="21"/>
                <w:szCs w:val="21"/>
                <w:lang w:eastAsia="zh-CN"/>
              </w:rPr>
            </w:pPr>
            <w:r>
              <w:rPr>
                <w:rFonts w:hint="eastAsia"/>
                <w:sz w:val="21"/>
                <w:szCs w:val="21"/>
                <w:lang w:val="en-US" w:eastAsia="zh-CN"/>
              </w:rPr>
              <w:t>2</w:t>
            </w:r>
            <w:r>
              <w:rPr>
                <w:rFonts w:hint="eastAsia"/>
                <w:sz w:val="21"/>
                <w:szCs w:val="21"/>
                <w:lang w:eastAsia="zh-CN"/>
              </w:rPr>
              <w:t>.响应单位认为磋商文件、采购过程和成交结果使自己的权益受到损害的，可以在知道或者应知其权益受到损害之日起七个工作日内，按照政府采购质疑和投诉办法（中华人民共和国财政部令94号）以书面形式向采购人或招标代理机构提出质疑，逾期不再接收。</w:t>
            </w:r>
          </w:p>
          <w:p w14:paraId="497B0ED0">
            <w:pPr>
              <w:autoSpaceDE w:val="0"/>
              <w:autoSpaceDN w:val="0"/>
              <w:adjustRightInd w:val="0"/>
              <w:spacing w:line="420" w:lineRule="exact"/>
              <w:rPr>
                <w:rFonts w:hint="eastAsia"/>
                <w:sz w:val="21"/>
                <w:szCs w:val="21"/>
                <w:lang w:eastAsia="zh-CN"/>
              </w:rPr>
            </w:pPr>
            <w:r>
              <w:rPr>
                <w:rFonts w:hint="eastAsia"/>
                <w:sz w:val="21"/>
                <w:szCs w:val="21"/>
                <w:lang w:eastAsia="zh-CN"/>
              </w:rPr>
              <w:t>接收质疑函联系部门：圣弘建设股份有限公司</w:t>
            </w:r>
          </w:p>
          <w:p w14:paraId="57BAC1C7">
            <w:pPr>
              <w:autoSpaceDE w:val="0"/>
              <w:autoSpaceDN w:val="0"/>
              <w:adjustRightInd w:val="0"/>
              <w:spacing w:line="420" w:lineRule="exact"/>
              <w:rPr>
                <w:sz w:val="21"/>
                <w:szCs w:val="21"/>
                <w:lang w:eastAsia="zh-CN"/>
              </w:rPr>
            </w:pPr>
            <w:r>
              <w:rPr>
                <w:rFonts w:hint="eastAsia"/>
                <w:sz w:val="21"/>
                <w:szCs w:val="21"/>
                <w:lang w:eastAsia="zh-CN"/>
              </w:rPr>
              <w:t>联系电话：</w:t>
            </w:r>
            <w:r>
              <w:rPr>
                <w:rFonts w:hint="eastAsia" w:asciiTheme="minorEastAsia" w:hAnsiTheme="minorEastAsia" w:eastAsiaTheme="minorEastAsia" w:cstheme="minorEastAsia"/>
                <w:sz w:val="21"/>
                <w:szCs w:val="21"/>
                <w:lang w:eastAsia="zh-CN"/>
              </w:rPr>
              <w:t>17530212688</w:t>
            </w:r>
            <w:r>
              <w:rPr>
                <w:rFonts w:hint="eastAsia" w:asciiTheme="minorEastAsia" w:hAnsiTheme="minorEastAsia" w:eastAsiaTheme="minorEastAsia" w:cstheme="minorEastAsia"/>
                <w:sz w:val="21"/>
                <w:szCs w:val="21"/>
                <w:lang w:val="en-US" w:eastAsia="zh-CN"/>
              </w:rPr>
              <w:t>/19103889788</w:t>
            </w:r>
          </w:p>
          <w:p w14:paraId="672509E5">
            <w:pPr>
              <w:autoSpaceDE w:val="0"/>
              <w:autoSpaceDN w:val="0"/>
              <w:adjustRightInd w:val="0"/>
              <w:spacing w:line="420" w:lineRule="exact"/>
              <w:rPr>
                <w:sz w:val="21"/>
                <w:szCs w:val="21"/>
                <w:lang w:eastAsia="zh-CN"/>
              </w:rPr>
            </w:pPr>
            <w:r>
              <w:rPr>
                <w:rFonts w:hint="eastAsia"/>
                <w:sz w:val="21"/>
                <w:szCs w:val="21"/>
                <w:lang w:eastAsia="zh-CN"/>
              </w:rPr>
              <w:t>通讯地址：</w:t>
            </w:r>
            <w:r>
              <w:rPr>
                <w:rFonts w:hint="eastAsia" w:asciiTheme="minorEastAsia" w:hAnsiTheme="minorEastAsia" w:eastAsiaTheme="minorEastAsia" w:cstheme="minorEastAsia"/>
                <w:sz w:val="21"/>
                <w:szCs w:val="21"/>
                <w:lang w:eastAsia="zh-CN"/>
              </w:rPr>
              <w:t>河南自贸试验区郑州片区(郑东)福禄路与普济路交叉口东南连邦大厦19层</w:t>
            </w:r>
          </w:p>
          <w:p w14:paraId="3C5EA55E">
            <w:pPr>
              <w:autoSpaceDE w:val="0"/>
              <w:autoSpaceDN w:val="0"/>
              <w:adjustRightInd w:val="0"/>
              <w:spacing w:line="420" w:lineRule="exact"/>
              <w:rPr>
                <w:sz w:val="21"/>
                <w:szCs w:val="21"/>
                <w:lang w:eastAsia="zh-CN"/>
              </w:rPr>
            </w:pPr>
            <w:r>
              <w:rPr>
                <w:rFonts w:hint="eastAsia"/>
                <w:sz w:val="21"/>
                <w:szCs w:val="21"/>
                <w:lang w:eastAsia="zh-CN"/>
              </w:rPr>
              <w:t>在法定质疑期内响应单位针对同一采购程序环节的质疑应当一次性提出。</w:t>
            </w:r>
          </w:p>
          <w:p w14:paraId="431B639E">
            <w:pPr>
              <w:pStyle w:val="20"/>
              <w:spacing w:line="400" w:lineRule="exact"/>
              <w:ind w:left="0" w:leftChars="0" w:firstLine="0" w:firstLineChars="0"/>
              <w:rPr>
                <w:lang w:eastAsia="zh-CN"/>
              </w:rPr>
            </w:pPr>
            <w:r>
              <w:rPr>
                <w:rFonts w:hint="eastAsia"/>
                <w:b/>
                <w:bCs/>
                <w:szCs w:val="21"/>
                <w:lang w:eastAsia="zh-CN"/>
              </w:rPr>
              <w:t>注：不同响应单位的</w:t>
            </w:r>
            <w:r>
              <w:rPr>
                <w:rFonts w:hint="eastAsia"/>
                <w:b/>
                <w:bCs/>
                <w:szCs w:val="21"/>
                <w:lang w:val="en-US" w:eastAsia="zh-CN"/>
              </w:rPr>
              <w:t>响应</w:t>
            </w:r>
            <w:r>
              <w:rPr>
                <w:rFonts w:hint="eastAsia"/>
                <w:b/>
                <w:bCs/>
                <w:szCs w:val="21"/>
                <w:lang w:eastAsia="zh-CN"/>
              </w:rPr>
              <w:t>文件制作机器码一致作废标处理。</w:t>
            </w:r>
          </w:p>
        </w:tc>
      </w:tr>
    </w:tbl>
    <w:p w14:paraId="4B11D398">
      <w:pPr>
        <w:pStyle w:val="3"/>
        <w:numPr>
          <w:ilvl w:val="0"/>
          <w:numId w:val="0"/>
        </w:numPr>
        <w:tabs>
          <w:tab w:val="left" w:pos="284"/>
        </w:tabs>
        <w:adjustRightInd w:val="0"/>
        <w:snapToGrid w:val="0"/>
        <w:spacing w:line="440" w:lineRule="exact"/>
        <w:ind w:leftChars="0"/>
        <w:rPr>
          <w:rFonts w:ascii="宋体" w:hAnsi="宋体" w:eastAsia="宋体"/>
          <w:b/>
          <w:bCs/>
          <w:sz w:val="21"/>
          <w:szCs w:val="21"/>
          <w:lang w:eastAsia="zh-CN"/>
        </w:rPr>
      </w:pPr>
      <w:r>
        <w:rPr>
          <w:rFonts w:ascii="宋体" w:hAnsi="宋体"/>
          <w:b/>
          <w:bCs/>
          <w:sz w:val="21"/>
          <w:szCs w:val="21"/>
          <w:lang w:eastAsia="zh-CN"/>
        </w:rPr>
        <w:br w:type="page"/>
      </w:r>
      <w:bookmarkStart w:id="9" w:name="_Toc20866"/>
      <w:bookmarkStart w:id="10" w:name="_Toc6305"/>
      <w:r>
        <w:rPr>
          <w:rFonts w:hint="eastAsia" w:ascii="宋体" w:hAnsi="宋体"/>
          <w:b/>
          <w:bCs/>
          <w:sz w:val="21"/>
          <w:szCs w:val="21"/>
          <w:lang w:val="en-US" w:eastAsia="zh-CN"/>
        </w:rPr>
        <w:t>1.</w:t>
      </w:r>
      <w:r>
        <w:rPr>
          <w:rFonts w:ascii="宋体" w:hAnsi="宋体" w:eastAsia="宋体"/>
          <w:b/>
          <w:bCs/>
          <w:sz w:val="21"/>
          <w:szCs w:val="21"/>
          <w:lang w:eastAsia="zh-CN"/>
        </w:rPr>
        <w:t>总则</w:t>
      </w:r>
      <w:bookmarkEnd w:id="9"/>
      <w:bookmarkEnd w:id="10"/>
    </w:p>
    <w:p w14:paraId="4A7276D9">
      <w:pPr>
        <w:numPr>
          <w:ilvl w:val="0"/>
          <w:numId w:val="3"/>
        </w:numPr>
        <w:tabs>
          <w:tab w:val="left" w:pos="641"/>
        </w:tabs>
        <w:adjustRightInd w:val="0"/>
        <w:snapToGrid w:val="0"/>
        <w:spacing w:line="440" w:lineRule="exact"/>
        <w:ind w:hanging="556"/>
        <w:rPr>
          <w:rFonts w:ascii="宋体" w:hAnsi="宋体" w:cs="Times New Roman"/>
          <w:b/>
          <w:bCs/>
          <w:sz w:val="21"/>
          <w:szCs w:val="21"/>
          <w:lang w:eastAsia="zh-CN"/>
        </w:rPr>
      </w:pPr>
      <w:r>
        <w:rPr>
          <w:rFonts w:ascii="宋体" w:hAnsi="宋体" w:cs="Times New Roman"/>
          <w:b/>
          <w:bCs/>
          <w:sz w:val="21"/>
          <w:szCs w:val="21"/>
          <w:lang w:eastAsia="zh-CN"/>
        </w:rPr>
        <w:t>定义</w:t>
      </w:r>
    </w:p>
    <w:p w14:paraId="3A170DD1">
      <w:pPr>
        <w:pStyle w:val="6"/>
        <w:tabs>
          <w:tab w:val="left" w:pos="625"/>
        </w:tabs>
        <w:adjustRightInd w:val="0"/>
        <w:snapToGrid w:val="0"/>
        <w:spacing w:line="440" w:lineRule="exact"/>
        <w:ind w:left="0" w:firstLine="420" w:firstLineChars="200"/>
        <w:jc w:val="both"/>
        <w:rPr>
          <w:sz w:val="21"/>
          <w:szCs w:val="21"/>
          <w:lang w:eastAsia="zh-CN"/>
        </w:rPr>
      </w:pPr>
      <w:r>
        <w:rPr>
          <w:sz w:val="21"/>
          <w:szCs w:val="21"/>
          <w:lang w:eastAsia="zh-CN"/>
        </w:rPr>
        <w:t>1.1.</w:t>
      </w:r>
      <w:r>
        <w:rPr>
          <w:rFonts w:hint="eastAsia"/>
          <w:sz w:val="21"/>
          <w:szCs w:val="21"/>
          <w:lang w:eastAsia="zh-CN"/>
        </w:rPr>
        <w:t>1</w:t>
      </w:r>
      <w:r>
        <w:rPr>
          <w:sz w:val="21"/>
          <w:szCs w:val="21"/>
          <w:lang w:eastAsia="zh-CN"/>
        </w:rPr>
        <w:t>竞争性磋商是指采购人、政府采购代理机构通过组建竞争性磋商小组与符合条件的</w:t>
      </w:r>
      <w:r>
        <w:rPr>
          <w:rFonts w:hint="eastAsia"/>
          <w:sz w:val="21"/>
          <w:szCs w:val="21"/>
          <w:lang w:eastAsia="zh-CN"/>
        </w:rPr>
        <w:t>响应单位</w:t>
      </w:r>
      <w:r>
        <w:rPr>
          <w:sz w:val="21"/>
          <w:szCs w:val="21"/>
          <w:lang w:eastAsia="zh-CN"/>
        </w:rPr>
        <w:t>就采购货物、工程和服务事宜进行磋商，</w:t>
      </w:r>
      <w:r>
        <w:rPr>
          <w:rFonts w:hint="eastAsia"/>
          <w:sz w:val="21"/>
          <w:szCs w:val="21"/>
          <w:lang w:eastAsia="zh-CN"/>
        </w:rPr>
        <w:t>响应单位</w:t>
      </w:r>
      <w:r>
        <w:rPr>
          <w:sz w:val="21"/>
          <w:szCs w:val="21"/>
          <w:lang w:eastAsia="zh-CN"/>
        </w:rPr>
        <w:t>按照磋商文件的要求提交响应文件和报价，采购人从磋商小组评审后提出的候选</w:t>
      </w:r>
      <w:r>
        <w:rPr>
          <w:rFonts w:hint="eastAsia"/>
          <w:sz w:val="21"/>
          <w:szCs w:val="21"/>
          <w:lang w:eastAsia="zh-CN"/>
        </w:rPr>
        <w:t>响应单位</w:t>
      </w:r>
      <w:r>
        <w:rPr>
          <w:sz w:val="21"/>
          <w:szCs w:val="21"/>
          <w:lang w:eastAsia="zh-CN"/>
        </w:rPr>
        <w:t>名单中确定成交</w:t>
      </w:r>
      <w:r>
        <w:rPr>
          <w:rFonts w:hint="eastAsia"/>
          <w:sz w:val="21"/>
          <w:szCs w:val="21"/>
          <w:lang w:eastAsia="zh-CN"/>
        </w:rPr>
        <w:t>响应单位</w:t>
      </w:r>
      <w:r>
        <w:rPr>
          <w:sz w:val="21"/>
          <w:szCs w:val="21"/>
          <w:lang w:eastAsia="zh-CN"/>
        </w:rPr>
        <w:t>的采购方式。</w:t>
      </w:r>
    </w:p>
    <w:p w14:paraId="59E09F4B">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1.1.</w:t>
      </w:r>
      <w:r>
        <w:rPr>
          <w:rFonts w:hint="eastAsia" w:ascii="宋体" w:hAnsi="宋体" w:cs="Times New Roman"/>
          <w:sz w:val="21"/>
          <w:szCs w:val="21"/>
          <w:lang w:eastAsia="zh-CN"/>
        </w:rPr>
        <w:t>2采购人:是指依法进行政府采购的国家机关、事业单位、团体组织。</w:t>
      </w:r>
    </w:p>
    <w:p w14:paraId="16E9F4DF">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1.1.</w:t>
      </w:r>
      <w:r>
        <w:rPr>
          <w:rFonts w:hint="eastAsia" w:ascii="宋体" w:hAnsi="宋体" w:cs="Times New Roman"/>
          <w:sz w:val="21"/>
          <w:szCs w:val="21"/>
          <w:lang w:eastAsia="zh-CN"/>
        </w:rPr>
        <w:t>3采购代理机构：是指在采购人的委托范围内办理政府采购事宜。</w:t>
      </w:r>
    </w:p>
    <w:p w14:paraId="023A916D">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1.1.</w:t>
      </w:r>
      <w:r>
        <w:rPr>
          <w:rFonts w:hint="eastAsia" w:ascii="宋体" w:hAnsi="宋体" w:cs="Times New Roman"/>
          <w:sz w:val="21"/>
          <w:szCs w:val="21"/>
          <w:lang w:eastAsia="zh-CN"/>
        </w:rPr>
        <w:t>4响应单位：是指向采购人提供货物、工程或者服务的法人、其他组织或者自然人。</w:t>
      </w:r>
    </w:p>
    <w:p w14:paraId="17BA759A">
      <w:pPr>
        <w:numPr>
          <w:ilvl w:val="0"/>
          <w:numId w:val="3"/>
        </w:numPr>
        <w:tabs>
          <w:tab w:val="left" w:pos="641"/>
        </w:tabs>
        <w:adjustRightInd w:val="0"/>
        <w:snapToGrid w:val="0"/>
        <w:spacing w:line="440" w:lineRule="exact"/>
        <w:ind w:hanging="556"/>
        <w:rPr>
          <w:rFonts w:ascii="宋体" w:hAnsi="宋体" w:cs="Times New Roman"/>
          <w:b/>
          <w:bCs/>
          <w:sz w:val="21"/>
          <w:szCs w:val="21"/>
          <w:lang w:eastAsia="zh-CN"/>
        </w:rPr>
      </w:pPr>
      <w:r>
        <w:rPr>
          <w:rFonts w:hint="eastAsia" w:ascii="宋体" w:hAnsi="宋体" w:cs="Times New Roman"/>
          <w:b/>
          <w:bCs/>
          <w:sz w:val="21"/>
          <w:szCs w:val="21"/>
          <w:lang w:eastAsia="zh-CN"/>
        </w:rPr>
        <w:t>项目名称、资金来源和落实情况</w:t>
      </w:r>
    </w:p>
    <w:p w14:paraId="4E0D3ED4">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1.2.1项目名称：见响应单位须知前附表。</w:t>
      </w:r>
    </w:p>
    <w:p w14:paraId="70AD8608">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1.2.2资金来源：见响应单位须知前附表。</w:t>
      </w:r>
    </w:p>
    <w:p w14:paraId="6889CFA7">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1.2.3资金落实情况：见响应单位须知前附表。</w:t>
      </w:r>
    </w:p>
    <w:p w14:paraId="492E2BBE">
      <w:pPr>
        <w:numPr>
          <w:ilvl w:val="0"/>
          <w:numId w:val="3"/>
        </w:numPr>
        <w:tabs>
          <w:tab w:val="left" w:pos="641"/>
        </w:tabs>
        <w:adjustRightInd w:val="0"/>
        <w:snapToGrid w:val="0"/>
        <w:spacing w:line="440" w:lineRule="exact"/>
        <w:ind w:hanging="556"/>
        <w:rPr>
          <w:rFonts w:ascii="宋体" w:hAnsi="宋体" w:cs="Times New Roman"/>
          <w:b/>
          <w:bCs/>
          <w:sz w:val="21"/>
          <w:szCs w:val="21"/>
          <w:lang w:eastAsia="zh-CN"/>
        </w:rPr>
      </w:pPr>
      <w:r>
        <w:rPr>
          <w:rFonts w:hint="eastAsia" w:ascii="宋体" w:hAnsi="宋体" w:cs="Times New Roman"/>
          <w:b/>
          <w:bCs/>
          <w:sz w:val="21"/>
          <w:szCs w:val="21"/>
          <w:lang w:eastAsia="zh-CN"/>
        </w:rPr>
        <w:t>采购内容、</w:t>
      </w:r>
      <w:r>
        <w:rPr>
          <w:rFonts w:hint="eastAsia" w:ascii="宋体" w:hAnsi="宋体" w:cs="Times New Roman"/>
          <w:b/>
          <w:bCs/>
          <w:sz w:val="21"/>
          <w:szCs w:val="21"/>
          <w:lang w:val="en-US" w:eastAsia="zh-CN"/>
        </w:rPr>
        <w:t>服务</w:t>
      </w:r>
      <w:r>
        <w:rPr>
          <w:rFonts w:hint="eastAsia" w:ascii="宋体" w:hAnsi="宋体" w:cs="Times New Roman"/>
          <w:b/>
          <w:bCs/>
          <w:sz w:val="21"/>
          <w:szCs w:val="21"/>
          <w:lang w:eastAsia="zh-CN"/>
        </w:rPr>
        <w:t>质量、服务期限及合同履行期、服务地点</w:t>
      </w:r>
    </w:p>
    <w:p w14:paraId="6E965660">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1.3.1采购内容：见响应单位须知前附表。</w:t>
      </w:r>
    </w:p>
    <w:p w14:paraId="5ADABBDF">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1.3.2</w:t>
      </w:r>
      <w:r>
        <w:rPr>
          <w:rFonts w:hint="eastAsia" w:ascii="宋体" w:hAnsi="宋体" w:cs="Times New Roman"/>
          <w:sz w:val="21"/>
          <w:szCs w:val="21"/>
          <w:lang w:val="en-US" w:eastAsia="zh-CN"/>
        </w:rPr>
        <w:t>服务</w:t>
      </w:r>
      <w:r>
        <w:rPr>
          <w:rFonts w:hint="eastAsia" w:ascii="宋体" w:hAnsi="宋体" w:cs="Times New Roman"/>
          <w:sz w:val="21"/>
          <w:szCs w:val="21"/>
          <w:lang w:eastAsia="zh-CN"/>
        </w:rPr>
        <w:t>质量：见响应单位须知前附表。</w:t>
      </w:r>
    </w:p>
    <w:p w14:paraId="03341E6D">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1.3.3服务期限及合同履行期限：见响应单位须知前附表。</w:t>
      </w:r>
    </w:p>
    <w:p w14:paraId="5B251353">
      <w:pPr>
        <w:tabs>
          <w:tab w:val="left" w:pos="641"/>
        </w:tabs>
        <w:adjustRightInd w:val="0"/>
        <w:snapToGrid w:val="0"/>
        <w:spacing w:line="440" w:lineRule="exact"/>
        <w:ind w:firstLine="420" w:firstLineChars="200"/>
        <w:rPr>
          <w:rFonts w:ascii="宋体" w:hAnsi="宋体" w:cs="Times New Roman"/>
          <w:sz w:val="21"/>
          <w:szCs w:val="21"/>
          <w:lang w:eastAsia="zh-CN"/>
        </w:rPr>
      </w:pPr>
      <w:r>
        <w:rPr>
          <w:rFonts w:hint="eastAsia" w:ascii="宋体" w:hAnsi="宋体" w:cs="Times New Roman"/>
          <w:sz w:val="21"/>
          <w:szCs w:val="21"/>
          <w:lang w:eastAsia="zh-CN"/>
        </w:rPr>
        <w:t>1.3.4服务地点：见响应单位须知前附表。</w:t>
      </w:r>
    </w:p>
    <w:p w14:paraId="5B1F931E">
      <w:pPr>
        <w:numPr>
          <w:ilvl w:val="0"/>
          <w:numId w:val="3"/>
        </w:numPr>
        <w:tabs>
          <w:tab w:val="left" w:pos="641"/>
        </w:tabs>
        <w:adjustRightInd w:val="0"/>
        <w:snapToGrid w:val="0"/>
        <w:spacing w:line="440" w:lineRule="exact"/>
        <w:ind w:hanging="556"/>
        <w:rPr>
          <w:rFonts w:ascii="宋体" w:hAnsi="宋体" w:cs="Times New Roman"/>
          <w:b/>
          <w:bCs/>
          <w:sz w:val="21"/>
          <w:szCs w:val="21"/>
          <w:lang w:eastAsia="zh-CN"/>
        </w:rPr>
      </w:pPr>
      <w:r>
        <w:rPr>
          <w:rFonts w:ascii="宋体" w:hAnsi="宋体" w:cs="Times New Roman"/>
          <w:b/>
          <w:bCs/>
          <w:sz w:val="21"/>
          <w:szCs w:val="21"/>
          <w:lang w:eastAsia="zh-CN"/>
        </w:rPr>
        <w:t>合格的</w:t>
      </w:r>
      <w:r>
        <w:rPr>
          <w:rFonts w:hint="eastAsia" w:ascii="宋体" w:hAnsi="宋体" w:cs="Times New Roman"/>
          <w:b/>
          <w:bCs/>
          <w:sz w:val="21"/>
          <w:szCs w:val="21"/>
          <w:lang w:eastAsia="zh-CN"/>
        </w:rPr>
        <w:t>响应单位</w:t>
      </w:r>
    </w:p>
    <w:p w14:paraId="65B1DB20">
      <w:pPr>
        <w:pStyle w:val="6"/>
        <w:numPr>
          <w:ilvl w:val="0"/>
          <w:numId w:val="4"/>
        </w:numPr>
        <w:tabs>
          <w:tab w:val="left" w:pos="625"/>
          <w:tab w:val="left" w:pos="993"/>
        </w:tabs>
        <w:adjustRightInd w:val="0"/>
        <w:snapToGrid w:val="0"/>
        <w:spacing w:line="440" w:lineRule="exact"/>
        <w:jc w:val="both"/>
        <w:rPr>
          <w:sz w:val="21"/>
          <w:szCs w:val="21"/>
          <w:lang w:eastAsia="zh-CN"/>
        </w:rPr>
      </w:pPr>
      <w:r>
        <w:rPr>
          <w:sz w:val="21"/>
          <w:szCs w:val="21"/>
          <w:lang w:eastAsia="zh-CN"/>
        </w:rPr>
        <w:t>合格的</w:t>
      </w:r>
      <w:r>
        <w:rPr>
          <w:rFonts w:hint="eastAsia"/>
          <w:sz w:val="21"/>
          <w:szCs w:val="21"/>
          <w:lang w:eastAsia="zh-CN"/>
        </w:rPr>
        <w:t>响应单位</w:t>
      </w:r>
      <w:r>
        <w:rPr>
          <w:sz w:val="21"/>
          <w:szCs w:val="21"/>
          <w:lang w:eastAsia="zh-CN"/>
        </w:rPr>
        <w:t>应满足条件详见供商须知前附表。</w:t>
      </w:r>
    </w:p>
    <w:p w14:paraId="65250669">
      <w:pPr>
        <w:pStyle w:val="6"/>
        <w:numPr>
          <w:ilvl w:val="0"/>
          <w:numId w:val="4"/>
        </w:numPr>
        <w:tabs>
          <w:tab w:val="left" w:pos="625"/>
          <w:tab w:val="left" w:pos="993"/>
        </w:tabs>
        <w:adjustRightInd w:val="0"/>
        <w:snapToGrid w:val="0"/>
        <w:spacing w:line="440" w:lineRule="exact"/>
        <w:jc w:val="both"/>
        <w:rPr>
          <w:sz w:val="21"/>
          <w:szCs w:val="21"/>
          <w:lang w:eastAsia="zh-CN"/>
        </w:rPr>
      </w:pPr>
      <w:r>
        <w:rPr>
          <w:rFonts w:hint="eastAsia"/>
          <w:sz w:val="21"/>
          <w:szCs w:val="21"/>
          <w:lang w:eastAsia="zh-CN"/>
        </w:rPr>
        <w:t>响应单位</w:t>
      </w:r>
      <w:r>
        <w:rPr>
          <w:sz w:val="21"/>
          <w:szCs w:val="21"/>
          <w:lang w:eastAsia="zh-CN"/>
        </w:rPr>
        <w:t>不得存在下列情形之一：</w:t>
      </w:r>
    </w:p>
    <w:p w14:paraId="68F2117D">
      <w:pPr>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1</w:t>
      </w:r>
      <w:r>
        <w:rPr>
          <w:rFonts w:ascii="宋体" w:hAnsi="宋体" w:cs="Times New Roman"/>
          <w:sz w:val="21"/>
          <w:szCs w:val="21"/>
          <w:lang w:eastAsia="zh-CN"/>
        </w:rPr>
        <w:t xml:space="preserve">）被责令停业的； </w:t>
      </w:r>
    </w:p>
    <w:p w14:paraId="13DD0533">
      <w:pPr>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2</w:t>
      </w:r>
      <w:r>
        <w:rPr>
          <w:rFonts w:ascii="宋体" w:hAnsi="宋体" w:cs="Times New Roman"/>
          <w:sz w:val="21"/>
          <w:szCs w:val="21"/>
          <w:lang w:eastAsia="zh-CN"/>
        </w:rPr>
        <w:t xml:space="preserve">）被暂停或取消投标资格的； </w:t>
      </w:r>
    </w:p>
    <w:p w14:paraId="0F0E671D">
      <w:pPr>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3</w:t>
      </w:r>
      <w:r>
        <w:rPr>
          <w:rFonts w:ascii="宋体" w:hAnsi="宋体" w:cs="Times New Roman"/>
          <w:sz w:val="21"/>
          <w:szCs w:val="21"/>
          <w:lang w:eastAsia="zh-CN"/>
        </w:rPr>
        <w:t>）财产被接管或冻结的；</w:t>
      </w:r>
    </w:p>
    <w:p w14:paraId="6BB2F92E">
      <w:pPr>
        <w:adjustRightInd w:val="0"/>
        <w:snapToGrid w:val="0"/>
        <w:spacing w:line="440" w:lineRule="exact"/>
        <w:ind w:firstLine="420" w:firstLineChars="200"/>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4</w:t>
      </w:r>
      <w:r>
        <w:rPr>
          <w:rFonts w:ascii="宋体" w:hAnsi="宋体" w:cs="Times New Roman"/>
          <w:sz w:val="21"/>
          <w:szCs w:val="21"/>
          <w:lang w:eastAsia="zh-CN"/>
        </w:rPr>
        <w:t>）其他有关法律、行政法规及部门规章禁止的。</w:t>
      </w:r>
    </w:p>
    <w:p w14:paraId="1C125EE4">
      <w:pPr>
        <w:numPr>
          <w:ilvl w:val="0"/>
          <w:numId w:val="3"/>
        </w:numPr>
        <w:tabs>
          <w:tab w:val="left" w:pos="641"/>
        </w:tabs>
        <w:adjustRightInd w:val="0"/>
        <w:snapToGrid w:val="0"/>
        <w:spacing w:line="440" w:lineRule="exact"/>
        <w:ind w:hanging="556"/>
        <w:rPr>
          <w:b/>
          <w:sz w:val="21"/>
          <w:szCs w:val="21"/>
          <w:lang w:eastAsia="zh-CN"/>
        </w:rPr>
      </w:pPr>
      <w:r>
        <w:rPr>
          <w:b/>
          <w:sz w:val="21"/>
          <w:szCs w:val="21"/>
          <w:lang w:eastAsia="zh-CN"/>
        </w:rPr>
        <w:t>联合体</w:t>
      </w:r>
      <w:r>
        <w:rPr>
          <w:rFonts w:hint="eastAsia"/>
          <w:b/>
          <w:sz w:val="21"/>
          <w:szCs w:val="21"/>
          <w:lang w:eastAsia="zh-CN"/>
        </w:rPr>
        <w:t>响应单位（本项目</w:t>
      </w:r>
      <w:r>
        <w:rPr>
          <w:rFonts w:hint="eastAsia"/>
          <w:b/>
          <w:sz w:val="21"/>
          <w:szCs w:val="21"/>
          <w:lang w:val="en-US" w:eastAsia="zh-CN"/>
        </w:rPr>
        <w:t>不接受</w:t>
      </w:r>
      <w:r>
        <w:rPr>
          <w:rFonts w:hint="eastAsia"/>
          <w:b/>
          <w:sz w:val="21"/>
          <w:szCs w:val="21"/>
          <w:lang w:eastAsia="zh-CN"/>
        </w:rPr>
        <w:t>）</w:t>
      </w:r>
    </w:p>
    <w:p w14:paraId="6992A310">
      <w:pPr>
        <w:pStyle w:val="6"/>
        <w:numPr>
          <w:ilvl w:val="0"/>
          <w:numId w:val="5"/>
        </w:numPr>
        <w:tabs>
          <w:tab w:val="left" w:pos="625"/>
          <w:tab w:val="left" w:pos="993"/>
        </w:tabs>
        <w:adjustRightInd w:val="0"/>
        <w:snapToGrid w:val="0"/>
        <w:spacing w:line="440" w:lineRule="exact"/>
        <w:ind w:left="0" w:firstLine="450"/>
        <w:jc w:val="both"/>
        <w:rPr>
          <w:sz w:val="21"/>
          <w:szCs w:val="21"/>
          <w:lang w:eastAsia="zh-CN"/>
        </w:rPr>
      </w:pPr>
      <w:r>
        <w:rPr>
          <w:sz w:val="21"/>
          <w:szCs w:val="21"/>
          <w:lang w:eastAsia="zh-CN"/>
        </w:rPr>
        <w:t>两个以上的自然人、法人或者其他组织可以组成一个联合体，以一个</w:t>
      </w:r>
      <w:r>
        <w:rPr>
          <w:rFonts w:hint="eastAsia"/>
          <w:sz w:val="21"/>
          <w:szCs w:val="21"/>
          <w:lang w:eastAsia="zh-CN"/>
        </w:rPr>
        <w:t>响应单位</w:t>
      </w:r>
      <w:r>
        <w:rPr>
          <w:sz w:val="21"/>
          <w:szCs w:val="21"/>
          <w:lang w:eastAsia="zh-CN"/>
        </w:rPr>
        <w:t>的身份共同参加政府采购。</w:t>
      </w:r>
    </w:p>
    <w:p w14:paraId="2731216F">
      <w:pPr>
        <w:pStyle w:val="6"/>
        <w:numPr>
          <w:ilvl w:val="0"/>
          <w:numId w:val="5"/>
        </w:numPr>
        <w:tabs>
          <w:tab w:val="left" w:pos="625"/>
          <w:tab w:val="left" w:pos="993"/>
        </w:tabs>
        <w:adjustRightInd w:val="0"/>
        <w:snapToGrid w:val="0"/>
        <w:spacing w:line="440" w:lineRule="exact"/>
        <w:ind w:left="0" w:firstLine="450"/>
        <w:jc w:val="both"/>
        <w:rPr>
          <w:sz w:val="21"/>
          <w:szCs w:val="21"/>
          <w:lang w:eastAsia="zh-CN"/>
        </w:rPr>
      </w:pPr>
      <w:r>
        <w:rPr>
          <w:sz w:val="21"/>
          <w:szCs w:val="21"/>
          <w:lang w:eastAsia="zh-CN"/>
        </w:rPr>
        <w:t>以联合体形式进行政府采购的，参加联合体的</w:t>
      </w:r>
      <w:r>
        <w:rPr>
          <w:rFonts w:hint="eastAsia"/>
          <w:sz w:val="21"/>
          <w:szCs w:val="21"/>
          <w:lang w:eastAsia="zh-CN"/>
        </w:rPr>
        <w:t>响应单位</w:t>
      </w:r>
      <w:r>
        <w:rPr>
          <w:sz w:val="21"/>
          <w:szCs w:val="21"/>
          <w:lang w:eastAsia="zh-CN"/>
        </w:rPr>
        <w:t>均应当具备《中华人民共和国政府采购法》第二十二条规定的条件，并应当向采购人提交联合协议，载明联合体各方承担的工作和义务，并承诺一旦成交联合体各方将向采购人承担连带责任。联合体各方应当共同与采购人签订采购合同，就采购合同约定的事项对采购人</w:t>
      </w:r>
      <w:r>
        <w:fldChar w:fldCharType="begin"/>
      </w:r>
      <w:r>
        <w:instrText xml:space="preserve"> HYPERLINK "http://baike.baidu.com/view/278880.htm" \t "_blank" </w:instrText>
      </w:r>
      <w:r>
        <w:fldChar w:fldCharType="separate"/>
      </w:r>
      <w:r>
        <w:rPr>
          <w:sz w:val="21"/>
          <w:szCs w:val="21"/>
          <w:lang w:eastAsia="zh-CN"/>
        </w:rPr>
        <w:t>承担连带责任</w:t>
      </w:r>
      <w:r>
        <w:rPr>
          <w:sz w:val="21"/>
          <w:szCs w:val="21"/>
          <w:lang w:eastAsia="zh-CN"/>
        </w:rPr>
        <w:fldChar w:fldCharType="end"/>
      </w:r>
      <w:r>
        <w:rPr>
          <w:sz w:val="21"/>
          <w:szCs w:val="21"/>
          <w:lang w:eastAsia="zh-CN"/>
        </w:rPr>
        <w:t>。</w:t>
      </w:r>
    </w:p>
    <w:p w14:paraId="35004DFE">
      <w:pPr>
        <w:pStyle w:val="6"/>
        <w:numPr>
          <w:ilvl w:val="0"/>
          <w:numId w:val="5"/>
        </w:numPr>
        <w:tabs>
          <w:tab w:val="left" w:pos="625"/>
          <w:tab w:val="left" w:pos="993"/>
        </w:tabs>
        <w:adjustRightInd w:val="0"/>
        <w:snapToGrid w:val="0"/>
        <w:spacing w:line="440" w:lineRule="exact"/>
        <w:ind w:left="0" w:firstLine="450"/>
        <w:jc w:val="both"/>
        <w:rPr>
          <w:sz w:val="21"/>
          <w:szCs w:val="21"/>
          <w:lang w:eastAsia="zh-CN"/>
        </w:rPr>
      </w:pPr>
      <w:r>
        <w:rPr>
          <w:sz w:val="21"/>
          <w:szCs w:val="21"/>
          <w:lang w:eastAsia="zh-CN"/>
        </w:rPr>
        <w:t>联合体中有同类资质的</w:t>
      </w:r>
      <w:r>
        <w:rPr>
          <w:rFonts w:hint="eastAsia"/>
          <w:sz w:val="21"/>
          <w:szCs w:val="21"/>
          <w:lang w:eastAsia="zh-CN"/>
        </w:rPr>
        <w:t>响应单位</w:t>
      </w:r>
      <w:r>
        <w:rPr>
          <w:sz w:val="21"/>
          <w:szCs w:val="21"/>
          <w:lang w:eastAsia="zh-CN"/>
        </w:rPr>
        <w:t>按照联合体分工承担相同工作的，应当按照资质等级较低的</w:t>
      </w:r>
      <w:r>
        <w:rPr>
          <w:rFonts w:hint="eastAsia"/>
          <w:sz w:val="21"/>
          <w:szCs w:val="21"/>
          <w:lang w:eastAsia="zh-CN"/>
        </w:rPr>
        <w:t>响应单位</w:t>
      </w:r>
      <w:r>
        <w:rPr>
          <w:sz w:val="21"/>
          <w:szCs w:val="21"/>
          <w:lang w:eastAsia="zh-CN"/>
        </w:rPr>
        <w:t>确定资质等级（如有要求）；</w:t>
      </w:r>
    </w:p>
    <w:p w14:paraId="448CC95D">
      <w:pPr>
        <w:pStyle w:val="6"/>
        <w:numPr>
          <w:ilvl w:val="0"/>
          <w:numId w:val="5"/>
        </w:numPr>
        <w:tabs>
          <w:tab w:val="left" w:pos="625"/>
          <w:tab w:val="left" w:pos="993"/>
        </w:tabs>
        <w:adjustRightInd w:val="0"/>
        <w:snapToGrid w:val="0"/>
        <w:spacing w:line="440" w:lineRule="exact"/>
        <w:ind w:left="0" w:firstLine="450"/>
        <w:jc w:val="both"/>
        <w:rPr>
          <w:sz w:val="21"/>
          <w:szCs w:val="21"/>
          <w:lang w:eastAsia="zh-CN"/>
        </w:rPr>
      </w:pPr>
      <w:r>
        <w:rPr>
          <w:sz w:val="21"/>
          <w:szCs w:val="21"/>
          <w:lang w:eastAsia="zh-CN"/>
        </w:rPr>
        <w:t>以联合体形式参加政府采购活动的，联合体各方不得再单独参加或者与其他</w:t>
      </w:r>
      <w:r>
        <w:rPr>
          <w:rFonts w:hint="eastAsia"/>
          <w:sz w:val="21"/>
          <w:szCs w:val="21"/>
          <w:lang w:eastAsia="zh-CN"/>
        </w:rPr>
        <w:t>响应单位</w:t>
      </w:r>
      <w:r>
        <w:rPr>
          <w:sz w:val="21"/>
          <w:szCs w:val="21"/>
          <w:lang w:eastAsia="zh-CN"/>
        </w:rPr>
        <w:t>另外组成联合体参加同一合同项下的政府采购活动；</w:t>
      </w:r>
    </w:p>
    <w:p w14:paraId="6748645C">
      <w:pPr>
        <w:pStyle w:val="6"/>
        <w:numPr>
          <w:ilvl w:val="0"/>
          <w:numId w:val="5"/>
        </w:numPr>
        <w:tabs>
          <w:tab w:val="left" w:pos="625"/>
          <w:tab w:val="left" w:pos="993"/>
        </w:tabs>
        <w:adjustRightInd w:val="0"/>
        <w:snapToGrid w:val="0"/>
        <w:spacing w:line="440" w:lineRule="exact"/>
        <w:ind w:left="0" w:firstLine="450"/>
        <w:jc w:val="both"/>
        <w:rPr>
          <w:sz w:val="21"/>
          <w:szCs w:val="21"/>
          <w:lang w:eastAsia="zh-CN"/>
        </w:rPr>
      </w:pPr>
      <w:r>
        <w:rPr>
          <w:sz w:val="21"/>
          <w:szCs w:val="21"/>
          <w:lang w:eastAsia="zh-CN"/>
        </w:rPr>
        <w:t>牵头人法定代表人或其授权的授权代表负责签署本次磋商相关资料，其他联合体各方必须出具承诺函对此予以认可。联合体成员原则上不得超过</w:t>
      </w:r>
      <w:r>
        <w:rPr>
          <w:rFonts w:hint="eastAsia"/>
          <w:sz w:val="21"/>
          <w:szCs w:val="21"/>
          <w:lang w:eastAsia="zh-CN"/>
        </w:rPr>
        <w:t>响应单位</w:t>
      </w:r>
      <w:r>
        <w:rPr>
          <w:sz w:val="21"/>
          <w:szCs w:val="21"/>
          <w:lang w:eastAsia="zh-CN"/>
        </w:rPr>
        <w:t>须知前附表规定的家数；</w:t>
      </w:r>
    </w:p>
    <w:p w14:paraId="3CB1BEF6">
      <w:pPr>
        <w:pStyle w:val="6"/>
        <w:numPr>
          <w:ilvl w:val="0"/>
          <w:numId w:val="5"/>
        </w:numPr>
        <w:tabs>
          <w:tab w:val="left" w:pos="625"/>
          <w:tab w:val="left" w:pos="993"/>
        </w:tabs>
        <w:adjustRightInd w:val="0"/>
        <w:snapToGrid w:val="0"/>
        <w:spacing w:line="440" w:lineRule="exact"/>
        <w:ind w:left="0" w:firstLine="450"/>
        <w:jc w:val="both"/>
        <w:rPr>
          <w:sz w:val="21"/>
          <w:szCs w:val="21"/>
          <w:lang w:eastAsia="zh-CN"/>
        </w:rPr>
      </w:pPr>
      <w:r>
        <w:rPr>
          <w:sz w:val="21"/>
          <w:szCs w:val="21"/>
          <w:lang w:eastAsia="zh-CN"/>
        </w:rPr>
        <w:t>通过资格预审的联合体，不得再变更其组织形式及成员构成。</w:t>
      </w:r>
    </w:p>
    <w:p w14:paraId="1320EF21">
      <w:pPr>
        <w:numPr>
          <w:ilvl w:val="0"/>
          <w:numId w:val="3"/>
        </w:numPr>
        <w:tabs>
          <w:tab w:val="left" w:pos="641"/>
        </w:tabs>
        <w:adjustRightInd w:val="0"/>
        <w:snapToGrid w:val="0"/>
        <w:spacing w:line="440" w:lineRule="exact"/>
        <w:ind w:hanging="556"/>
        <w:rPr>
          <w:rFonts w:ascii="宋体" w:hAnsi="宋体" w:cs="Times New Roman"/>
          <w:b/>
          <w:bCs/>
          <w:sz w:val="21"/>
          <w:szCs w:val="21"/>
          <w:lang w:eastAsia="zh-CN"/>
        </w:rPr>
      </w:pPr>
      <w:r>
        <w:rPr>
          <w:rFonts w:ascii="宋体" w:hAnsi="宋体" w:cs="Times New Roman"/>
          <w:b/>
          <w:bCs/>
          <w:sz w:val="21"/>
          <w:szCs w:val="21"/>
          <w:lang w:eastAsia="zh-CN"/>
        </w:rPr>
        <w:t>磋商费用</w:t>
      </w:r>
    </w:p>
    <w:p w14:paraId="181E39D5">
      <w:pPr>
        <w:adjustRightInd w:val="0"/>
        <w:snapToGrid w:val="0"/>
        <w:spacing w:line="440" w:lineRule="exact"/>
        <w:ind w:firstLine="420" w:firstLineChars="20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应承担所有与准备和参加磋商有关的费用。不论磋商的结果如何，</w:t>
      </w:r>
      <w:r>
        <w:rPr>
          <w:rFonts w:hint="eastAsia" w:ascii="宋体" w:hAnsi="宋体" w:cs="Times New Roman"/>
          <w:sz w:val="21"/>
          <w:szCs w:val="21"/>
          <w:lang w:eastAsia="zh-CN"/>
        </w:rPr>
        <w:t>响应单位</w:t>
      </w:r>
      <w:r>
        <w:rPr>
          <w:rFonts w:ascii="宋体" w:hAnsi="宋体" w:cs="Times New Roman"/>
          <w:sz w:val="21"/>
          <w:szCs w:val="21"/>
          <w:lang w:eastAsia="zh-CN"/>
        </w:rPr>
        <w:t>须知前附表中所述的采购人或采购机构均无义务和责任承担这些费用。</w:t>
      </w:r>
    </w:p>
    <w:p w14:paraId="0419EBFC">
      <w:pPr>
        <w:numPr>
          <w:ilvl w:val="0"/>
          <w:numId w:val="3"/>
        </w:numPr>
        <w:tabs>
          <w:tab w:val="left" w:pos="641"/>
        </w:tabs>
        <w:adjustRightInd w:val="0"/>
        <w:snapToGrid w:val="0"/>
        <w:spacing w:line="440" w:lineRule="exact"/>
        <w:ind w:hanging="556"/>
        <w:rPr>
          <w:rFonts w:ascii="宋体" w:hAnsi="宋体" w:cs="Times New Roman"/>
          <w:b/>
          <w:bCs/>
          <w:sz w:val="21"/>
          <w:szCs w:val="21"/>
          <w:lang w:eastAsia="zh-CN"/>
        </w:rPr>
      </w:pPr>
      <w:r>
        <w:rPr>
          <w:rFonts w:ascii="宋体" w:hAnsi="宋体" w:cs="Times New Roman"/>
          <w:b/>
          <w:bCs/>
          <w:sz w:val="21"/>
          <w:szCs w:val="21"/>
          <w:lang w:eastAsia="zh-CN"/>
        </w:rPr>
        <w:t>现场考察及答疑会</w:t>
      </w:r>
      <w:r>
        <w:rPr>
          <w:rFonts w:hint="eastAsia"/>
          <w:b/>
          <w:sz w:val="21"/>
          <w:szCs w:val="21"/>
          <w:lang w:eastAsia="zh-CN"/>
        </w:rPr>
        <w:t>（本项目不</w:t>
      </w:r>
      <w:r>
        <w:rPr>
          <w:rFonts w:hint="eastAsia"/>
          <w:b/>
          <w:sz w:val="21"/>
          <w:szCs w:val="21"/>
          <w:lang w:val="en-US" w:eastAsia="zh-CN"/>
        </w:rPr>
        <w:t>组织</w:t>
      </w:r>
      <w:r>
        <w:rPr>
          <w:rFonts w:hint="eastAsia"/>
          <w:b/>
          <w:sz w:val="21"/>
          <w:szCs w:val="21"/>
          <w:lang w:eastAsia="zh-CN"/>
        </w:rPr>
        <w:t>）</w:t>
      </w:r>
    </w:p>
    <w:p w14:paraId="6E1F6844">
      <w:pPr>
        <w:numPr>
          <w:ilvl w:val="0"/>
          <w:numId w:val="6"/>
        </w:numPr>
        <w:tabs>
          <w:tab w:val="left" w:pos="993"/>
        </w:tabs>
        <w:adjustRightInd w:val="0"/>
        <w:snapToGrid w:val="0"/>
        <w:spacing w:line="440" w:lineRule="exact"/>
        <w:ind w:left="0" w:firstLine="426"/>
        <w:rPr>
          <w:rFonts w:ascii="宋体" w:hAnsi="宋体" w:cs="Times New Roman"/>
          <w:sz w:val="21"/>
          <w:szCs w:val="21"/>
          <w:lang w:eastAsia="zh-CN"/>
        </w:rPr>
      </w:pPr>
      <w:r>
        <w:rPr>
          <w:rFonts w:hint="eastAsia" w:ascii="宋体" w:hAnsi="宋体" w:cs="Times New Roman"/>
          <w:sz w:val="21"/>
          <w:szCs w:val="21"/>
          <w:lang w:eastAsia="zh-CN"/>
        </w:rPr>
        <w:t>现场考察及答疑会不统一组织，响应单位有疑问以书面形式至采购代理机构。</w:t>
      </w:r>
    </w:p>
    <w:p w14:paraId="44A24949">
      <w:pPr>
        <w:numPr>
          <w:ilvl w:val="0"/>
          <w:numId w:val="6"/>
        </w:numPr>
        <w:tabs>
          <w:tab w:val="left" w:pos="993"/>
        </w:tabs>
        <w:adjustRightInd w:val="0"/>
        <w:snapToGrid w:val="0"/>
        <w:spacing w:line="440" w:lineRule="exact"/>
        <w:ind w:left="0" w:firstLine="426"/>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参加现场考察和答疑会所发生的费用自理。</w:t>
      </w:r>
      <w:r>
        <w:rPr>
          <w:rFonts w:hint="eastAsia" w:ascii="宋体" w:hAnsi="宋体" w:cs="Times New Roman"/>
          <w:sz w:val="21"/>
          <w:szCs w:val="21"/>
          <w:lang w:eastAsia="zh-CN"/>
        </w:rPr>
        <w:t>响应单位</w:t>
      </w:r>
      <w:r>
        <w:rPr>
          <w:rFonts w:ascii="宋体" w:hAnsi="宋体" w:cs="Times New Roman"/>
          <w:sz w:val="21"/>
          <w:szCs w:val="21"/>
          <w:lang w:eastAsia="zh-CN"/>
        </w:rPr>
        <w:t>自行负责在现场考察中所发生的人员伤亡和财产损失等一切责任。</w:t>
      </w:r>
    </w:p>
    <w:p w14:paraId="66CA686C">
      <w:pPr>
        <w:pStyle w:val="3"/>
        <w:numPr>
          <w:ilvl w:val="0"/>
          <w:numId w:val="0"/>
        </w:numPr>
        <w:tabs>
          <w:tab w:val="left" w:pos="284"/>
        </w:tabs>
        <w:adjustRightInd w:val="0"/>
        <w:snapToGrid w:val="0"/>
        <w:spacing w:line="440" w:lineRule="exact"/>
        <w:ind w:leftChars="0"/>
        <w:rPr>
          <w:rFonts w:ascii="宋体" w:hAnsi="宋体" w:eastAsia="宋体"/>
          <w:b/>
          <w:bCs/>
          <w:sz w:val="21"/>
          <w:szCs w:val="21"/>
          <w:lang w:eastAsia="zh-CN"/>
        </w:rPr>
      </w:pPr>
      <w:bookmarkStart w:id="11" w:name="_Toc25191"/>
      <w:bookmarkStart w:id="12" w:name="_Toc443895844"/>
      <w:bookmarkStart w:id="13" w:name="_Toc30134"/>
      <w:r>
        <w:rPr>
          <w:rFonts w:hint="eastAsia" w:ascii="宋体" w:hAnsi="宋体" w:eastAsia="宋体"/>
          <w:b/>
          <w:bCs/>
          <w:sz w:val="21"/>
          <w:szCs w:val="21"/>
          <w:lang w:val="en-US" w:eastAsia="zh-CN"/>
        </w:rPr>
        <w:t>2.</w:t>
      </w:r>
      <w:r>
        <w:rPr>
          <w:rFonts w:ascii="宋体" w:hAnsi="宋体" w:eastAsia="宋体"/>
          <w:b/>
          <w:bCs/>
          <w:sz w:val="21"/>
          <w:szCs w:val="21"/>
          <w:lang w:eastAsia="zh-CN"/>
        </w:rPr>
        <w:t>磋商文件</w:t>
      </w:r>
      <w:bookmarkEnd w:id="11"/>
      <w:bookmarkEnd w:id="12"/>
      <w:bookmarkEnd w:id="13"/>
    </w:p>
    <w:p w14:paraId="006DFFED">
      <w:pPr>
        <w:numPr>
          <w:ilvl w:val="0"/>
          <w:numId w:val="7"/>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ascii="宋体" w:hAnsi="宋体" w:cs="Times New Roman"/>
          <w:b/>
          <w:bCs/>
          <w:sz w:val="21"/>
          <w:szCs w:val="21"/>
          <w:lang w:eastAsia="zh-CN"/>
        </w:rPr>
        <w:t>磋商文件的</w:t>
      </w:r>
      <w:r>
        <w:rPr>
          <w:rFonts w:hint="eastAsia" w:ascii="宋体" w:hAnsi="宋体" w:cs="Times New Roman"/>
          <w:b/>
          <w:bCs/>
          <w:sz w:val="21"/>
          <w:szCs w:val="21"/>
          <w:lang w:eastAsia="zh-CN"/>
        </w:rPr>
        <w:t>组成</w:t>
      </w:r>
    </w:p>
    <w:p w14:paraId="7FD5D2EC">
      <w:pPr>
        <w:adjustRightInd w:val="0"/>
        <w:snapToGrid w:val="0"/>
        <w:spacing w:line="440" w:lineRule="exact"/>
        <w:ind w:firstLine="450"/>
        <w:rPr>
          <w:rFonts w:ascii="宋体" w:hAnsi="宋体" w:cs="Times New Roman"/>
          <w:sz w:val="21"/>
          <w:szCs w:val="21"/>
          <w:lang w:eastAsia="zh-CN"/>
        </w:rPr>
      </w:pPr>
      <w:r>
        <w:rPr>
          <w:rFonts w:ascii="宋体" w:hAnsi="宋体" w:cs="Times New Roman"/>
          <w:sz w:val="21"/>
          <w:szCs w:val="21"/>
          <w:lang w:eastAsia="zh-CN"/>
        </w:rPr>
        <w:t xml:space="preserve">第一章  </w:t>
      </w:r>
      <w:r>
        <w:rPr>
          <w:rFonts w:hint="eastAsia" w:ascii="宋体" w:hAnsi="宋体" w:cs="Times New Roman"/>
          <w:sz w:val="21"/>
          <w:szCs w:val="21"/>
          <w:lang w:eastAsia="zh-CN"/>
        </w:rPr>
        <w:t>竞争性</w:t>
      </w:r>
      <w:r>
        <w:rPr>
          <w:rFonts w:ascii="宋体" w:hAnsi="宋体" w:cs="Times New Roman"/>
          <w:sz w:val="21"/>
          <w:szCs w:val="21"/>
          <w:lang w:eastAsia="zh-CN"/>
        </w:rPr>
        <w:t>磋商公告</w:t>
      </w:r>
    </w:p>
    <w:p w14:paraId="0B86598E">
      <w:pPr>
        <w:adjustRightInd w:val="0"/>
        <w:snapToGrid w:val="0"/>
        <w:spacing w:line="440" w:lineRule="exact"/>
        <w:ind w:firstLine="450"/>
        <w:rPr>
          <w:rFonts w:ascii="宋体" w:hAnsi="宋体" w:cs="Times New Roman"/>
          <w:sz w:val="21"/>
          <w:szCs w:val="21"/>
          <w:lang w:eastAsia="zh-CN"/>
        </w:rPr>
      </w:pPr>
      <w:r>
        <w:rPr>
          <w:rFonts w:ascii="宋体" w:hAnsi="宋体" w:cs="Times New Roman"/>
          <w:sz w:val="21"/>
          <w:szCs w:val="21"/>
          <w:lang w:eastAsia="zh-CN"/>
        </w:rPr>
        <w:t xml:space="preserve">第二章  </w:t>
      </w:r>
      <w:r>
        <w:rPr>
          <w:rFonts w:hint="eastAsia" w:ascii="宋体" w:hAnsi="宋体" w:cs="Times New Roman"/>
          <w:sz w:val="21"/>
          <w:szCs w:val="21"/>
          <w:lang w:eastAsia="zh-CN"/>
        </w:rPr>
        <w:t>响应单位</w:t>
      </w:r>
      <w:r>
        <w:rPr>
          <w:rFonts w:ascii="宋体" w:hAnsi="宋体" w:cs="Times New Roman"/>
          <w:sz w:val="21"/>
          <w:szCs w:val="21"/>
          <w:lang w:eastAsia="zh-CN"/>
        </w:rPr>
        <w:t>须知</w:t>
      </w:r>
    </w:p>
    <w:p w14:paraId="5FC3CBCB">
      <w:pPr>
        <w:adjustRightInd w:val="0"/>
        <w:snapToGrid w:val="0"/>
        <w:spacing w:line="440" w:lineRule="exact"/>
        <w:ind w:firstLine="450"/>
        <w:rPr>
          <w:rFonts w:hint="default" w:ascii="宋体" w:hAnsi="宋体" w:cs="Times New Roman"/>
          <w:sz w:val="21"/>
          <w:szCs w:val="21"/>
          <w:lang w:val="en-US" w:eastAsia="zh-CN"/>
        </w:rPr>
      </w:pPr>
      <w:r>
        <w:rPr>
          <w:rFonts w:ascii="宋体" w:hAnsi="宋体" w:cs="Times New Roman"/>
          <w:sz w:val="21"/>
          <w:szCs w:val="21"/>
          <w:lang w:eastAsia="zh-CN"/>
        </w:rPr>
        <w:t xml:space="preserve">第三章 </w:t>
      </w:r>
      <w:r>
        <w:rPr>
          <w:rFonts w:hint="eastAsia" w:ascii="宋体" w:hAnsi="宋体" w:cs="Times New Roman"/>
          <w:sz w:val="21"/>
          <w:szCs w:val="21"/>
          <w:lang w:eastAsia="zh-CN"/>
        </w:rPr>
        <w:t xml:space="preserve"> 合同</w:t>
      </w:r>
      <w:r>
        <w:rPr>
          <w:rFonts w:hint="eastAsia" w:ascii="宋体" w:hAnsi="宋体" w:cs="Times New Roman"/>
          <w:sz w:val="21"/>
          <w:szCs w:val="21"/>
          <w:lang w:val="en-US" w:eastAsia="zh-CN"/>
        </w:rPr>
        <w:t>条款及格式</w:t>
      </w:r>
    </w:p>
    <w:p w14:paraId="71EEA6E6">
      <w:pPr>
        <w:adjustRightInd w:val="0"/>
        <w:snapToGrid w:val="0"/>
        <w:spacing w:line="440" w:lineRule="exact"/>
        <w:ind w:firstLine="450"/>
        <w:rPr>
          <w:rFonts w:ascii="宋体" w:hAnsi="宋体" w:cs="Times New Roman"/>
          <w:sz w:val="21"/>
          <w:szCs w:val="21"/>
          <w:lang w:eastAsia="zh-CN"/>
        </w:rPr>
      </w:pPr>
      <w:r>
        <w:rPr>
          <w:rFonts w:ascii="宋体" w:hAnsi="宋体" w:cs="Times New Roman"/>
          <w:sz w:val="21"/>
          <w:szCs w:val="21"/>
          <w:lang w:eastAsia="zh-CN"/>
        </w:rPr>
        <w:t>第四章</w:t>
      </w:r>
      <w:r>
        <w:rPr>
          <w:rFonts w:ascii="宋体" w:hAnsi="宋体" w:cs="Times New Roman"/>
          <w:color w:val="FF0000"/>
          <w:sz w:val="21"/>
          <w:szCs w:val="21"/>
          <w:lang w:eastAsia="zh-CN"/>
        </w:rPr>
        <w:t xml:space="preserve">  </w:t>
      </w:r>
      <w:r>
        <w:rPr>
          <w:rFonts w:ascii="宋体" w:hAnsi="宋体" w:cs="Times New Roman"/>
          <w:sz w:val="21"/>
          <w:szCs w:val="21"/>
          <w:lang w:eastAsia="zh-CN"/>
        </w:rPr>
        <w:t>评审</w:t>
      </w:r>
      <w:r>
        <w:rPr>
          <w:rFonts w:hint="eastAsia" w:ascii="宋体" w:hAnsi="宋体" w:cs="Times New Roman"/>
          <w:sz w:val="21"/>
          <w:szCs w:val="21"/>
          <w:lang w:val="en-US" w:eastAsia="zh-CN"/>
        </w:rPr>
        <w:t>方</w:t>
      </w:r>
      <w:r>
        <w:rPr>
          <w:rFonts w:ascii="宋体" w:hAnsi="宋体" w:cs="Times New Roman"/>
          <w:sz w:val="21"/>
          <w:szCs w:val="21"/>
          <w:lang w:eastAsia="zh-CN"/>
        </w:rPr>
        <w:t>法</w:t>
      </w:r>
    </w:p>
    <w:p w14:paraId="43E34FE7">
      <w:pPr>
        <w:adjustRightInd w:val="0"/>
        <w:snapToGrid w:val="0"/>
        <w:spacing w:line="440" w:lineRule="exact"/>
        <w:ind w:firstLine="450"/>
        <w:rPr>
          <w:rFonts w:ascii="宋体" w:hAnsi="宋体" w:cs="Times New Roman"/>
          <w:sz w:val="21"/>
          <w:szCs w:val="21"/>
          <w:lang w:eastAsia="zh-CN"/>
        </w:rPr>
      </w:pPr>
      <w:r>
        <w:rPr>
          <w:rFonts w:ascii="宋体" w:hAnsi="宋体" w:cs="Times New Roman"/>
          <w:sz w:val="21"/>
          <w:szCs w:val="21"/>
          <w:lang w:eastAsia="zh-CN"/>
        </w:rPr>
        <w:t>第五章</w:t>
      </w:r>
      <w:r>
        <w:rPr>
          <w:rFonts w:hint="eastAsia" w:ascii="宋体" w:hAnsi="宋体" w:cs="Times New Roman"/>
          <w:sz w:val="21"/>
          <w:szCs w:val="21"/>
          <w:lang w:eastAsia="zh-CN"/>
        </w:rPr>
        <w:t xml:space="preserve">  采购内容及技术要求</w:t>
      </w:r>
    </w:p>
    <w:p w14:paraId="791EE084">
      <w:pPr>
        <w:adjustRightInd w:val="0"/>
        <w:snapToGrid w:val="0"/>
        <w:spacing w:line="440" w:lineRule="exact"/>
        <w:ind w:firstLine="450"/>
        <w:rPr>
          <w:rFonts w:ascii="宋体" w:hAnsi="宋体" w:cs="Times New Roman"/>
          <w:sz w:val="21"/>
          <w:szCs w:val="21"/>
          <w:lang w:eastAsia="zh-CN"/>
        </w:rPr>
      </w:pPr>
      <w:r>
        <w:rPr>
          <w:rFonts w:ascii="宋体" w:hAnsi="宋体" w:cs="Times New Roman"/>
          <w:sz w:val="21"/>
          <w:szCs w:val="21"/>
          <w:lang w:eastAsia="zh-CN"/>
        </w:rPr>
        <w:t xml:space="preserve">第六章  </w:t>
      </w:r>
      <w:r>
        <w:rPr>
          <w:rFonts w:hint="eastAsia" w:ascii="宋体" w:hAnsi="宋体" w:cs="Times New Roman"/>
          <w:sz w:val="21"/>
          <w:szCs w:val="21"/>
          <w:lang w:eastAsia="zh-CN"/>
        </w:rPr>
        <w:t>响应文件格式</w:t>
      </w:r>
    </w:p>
    <w:p w14:paraId="28EF8859">
      <w:pPr>
        <w:numPr>
          <w:ilvl w:val="0"/>
          <w:numId w:val="7"/>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ascii="宋体" w:hAnsi="宋体" w:cs="Times New Roman"/>
          <w:b/>
          <w:bCs/>
          <w:sz w:val="21"/>
          <w:szCs w:val="21"/>
          <w:lang w:eastAsia="zh-CN"/>
        </w:rPr>
        <w:t>磋商文件的澄清、修改及变动</w:t>
      </w:r>
    </w:p>
    <w:p w14:paraId="4DD7BD45">
      <w:pPr>
        <w:numPr>
          <w:ilvl w:val="0"/>
          <w:numId w:val="8"/>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提交首次响应文件截止之日前，采购人、采购</w:t>
      </w:r>
      <w:r>
        <w:rPr>
          <w:rFonts w:hint="eastAsia" w:ascii="宋体" w:hAnsi="宋体" w:cs="Times New Roman"/>
          <w:sz w:val="21"/>
          <w:szCs w:val="21"/>
          <w:lang w:eastAsia="zh-CN"/>
        </w:rPr>
        <w:t>人</w:t>
      </w:r>
      <w:r>
        <w:rPr>
          <w:rFonts w:ascii="宋体" w:hAnsi="宋体" w:cs="Times New Roman"/>
          <w:sz w:val="21"/>
          <w:szCs w:val="21"/>
          <w:lang w:eastAsia="zh-CN"/>
        </w:rPr>
        <w:t>或者采购代理机构有权对已发出的磋商文件进行必要的澄清或者修改，澄清或者修改的内容作为磋商文件的组成部分。如澄清或者修改的内容可能影响响应文件编制，采购人、采购代理机构将在提交首次响应文件截止时间至少5日前，以</w:t>
      </w:r>
      <w:r>
        <w:rPr>
          <w:rFonts w:hint="eastAsia" w:ascii="宋体" w:hAnsi="宋体"/>
          <w:kern w:val="2"/>
          <w:sz w:val="21"/>
          <w:szCs w:val="21"/>
          <w:lang w:eastAsia="zh-CN"/>
        </w:rPr>
        <w:t>电子招标投标交易平台形式</w:t>
      </w:r>
      <w:r>
        <w:rPr>
          <w:rFonts w:ascii="宋体" w:hAnsi="宋体" w:cs="Times New Roman"/>
          <w:sz w:val="21"/>
          <w:szCs w:val="21"/>
          <w:lang w:eastAsia="zh-CN"/>
        </w:rPr>
        <w:t>通知所有获取磋商文件的</w:t>
      </w:r>
      <w:r>
        <w:rPr>
          <w:rFonts w:hint="eastAsia" w:ascii="宋体" w:hAnsi="宋体" w:cs="Times New Roman"/>
          <w:sz w:val="21"/>
          <w:szCs w:val="21"/>
          <w:lang w:eastAsia="zh-CN"/>
        </w:rPr>
        <w:t>响应单位</w:t>
      </w:r>
      <w:r>
        <w:rPr>
          <w:rFonts w:ascii="宋体" w:hAnsi="宋体" w:cs="Times New Roman"/>
          <w:sz w:val="21"/>
          <w:szCs w:val="21"/>
          <w:lang w:eastAsia="zh-CN"/>
        </w:rPr>
        <w:t>；不足5日的，采购人、采购代理机构将顺延提交首次响应文件截止时间。</w:t>
      </w:r>
    </w:p>
    <w:p w14:paraId="4EAD3BC9">
      <w:pPr>
        <w:numPr>
          <w:ilvl w:val="0"/>
          <w:numId w:val="8"/>
        </w:numPr>
        <w:tabs>
          <w:tab w:val="left" w:pos="993"/>
        </w:tabs>
        <w:adjustRightInd w:val="0"/>
        <w:snapToGrid w:val="0"/>
        <w:spacing w:line="440" w:lineRule="exact"/>
        <w:ind w:left="0" w:firstLine="450"/>
        <w:rPr>
          <w:rFonts w:ascii="宋体" w:hAnsi="宋体" w:cs="Times New Roman"/>
          <w:sz w:val="21"/>
          <w:szCs w:val="21"/>
          <w:lang w:eastAsia="zh-CN"/>
        </w:rPr>
      </w:pPr>
      <w:r>
        <w:rPr>
          <w:rFonts w:hint="eastAsia" w:ascii="宋体" w:hAnsi="宋体" w:cs="Times New Roman"/>
          <w:sz w:val="21"/>
          <w:szCs w:val="21"/>
          <w:lang w:eastAsia="zh-CN"/>
        </w:rPr>
        <w:t>响应单位在收到澄清后，应按响应单位须知前附表规定的时间和形式通知采购人，确认已收到该澄清。</w:t>
      </w:r>
    </w:p>
    <w:p w14:paraId="0ED68144">
      <w:pPr>
        <w:numPr>
          <w:ilvl w:val="0"/>
          <w:numId w:val="8"/>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在采购需求明确以后，采购人会依据磋商会议纪要及磋商小组要求对磋商文件进行变动。磋商文件的变动主要包含采购需求中的技术、服务要求以及合同草案条款等，并将磋商文件的全部变动内容发给参与磋商的</w:t>
      </w:r>
      <w:r>
        <w:rPr>
          <w:rFonts w:hint="eastAsia" w:ascii="宋体" w:hAnsi="宋体" w:cs="Times New Roman"/>
          <w:sz w:val="21"/>
          <w:szCs w:val="21"/>
          <w:lang w:eastAsia="zh-CN"/>
        </w:rPr>
        <w:t>响应单位</w:t>
      </w:r>
      <w:r>
        <w:rPr>
          <w:rFonts w:ascii="宋体" w:hAnsi="宋体" w:cs="Times New Roman"/>
          <w:sz w:val="21"/>
          <w:szCs w:val="21"/>
          <w:lang w:eastAsia="zh-CN"/>
        </w:rPr>
        <w:t>。</w:t>
      </w:r>
    </w:p>
    <w:p w14:paraId="257460E8">
      <w:pPr>
        <w:pStyle w:val="3"/>
        <w:numPr>
          <w:ilvl w:val="0"/>
          <w:numId w:val="0"/>
        </w:numPr>
        <w:tabs>
          <w:tab w:val="left" w:pos="284"/>
        </w:tabs>
        <w:adjustRightInd w:val="0"/>
        <w:snapToGrid w:val="0"/>
        <w:spacing w:line="440" w:lineRule="exact"/>
        <w:ind w:leftChars="0"/>
        <w:rPr>
          <w:rFonts w:ascii="宋体" w:hAnsi="宋体" w:eastAsia="宋体"/>
          <w:b/>
          <w:bCs/>
          <w:sz w:val="21"/>
          <w:szCs w:val="21"/>
          <w:lang w:eastAsia="zh-CN"/>
        </w:rPr>
      </w:pPr>
      <w:bookmarkStart w:id="14" w:name="_Toc30883"/>
      <w:bookmarkStart w:id="15" w:name="_Toc443895845"/>
      <w:bookmarkStart w:id="16" w:name="_Toc29055"/>
      <w:r>
        <w:rPr>
          <w:rFonts w:hint="eastAsia" w:ascii="宋体" w:hAnsi="宋体" w:eastAsia="宋体"/>
          <w:b/>
          <w:bCs/>
          <w:sz w:val="21"/>
          <w:szCs w:val="21"/>
          <w:lang w:val="en-US" w:eastAsia="zh-CN"/>
        </w:rPr>
        <w:t>3.</w:t>
      </w:r>
      <w:r>
        <w:rPr>
          <w:rFonts w:ascii="宋体" w:hAnsi="宋体" w:eastAsia="宋体"/>
          <w:b/>
          <w:bCs/>
          <w:sz w:val="21"/>
          <w:szCs w:val="21"/>
          <w:lang w:eastAsia="zh-CN"/>
        </w:rPr>
        <w:t>响应文件的编制</w:t>
      </w:r>
      <w:bookmarkEnd w:id="14"/>
      <w:bookmarkEnd w:id="15"/>
      <w:bookmarkEnd w:id="16"/>
    </w:p>
    <w:p w14:paraId="036AF8F6">
      <w:pPr>
        <w:numPr>
          <w:ilvl w:val="0"/>
          <w:numId w:val="9"/>
        </w:numPr>
        <w:tabs>
          <w:tab w:val="left" w:pos="641"/>
          <w:tab w:val="left" w:pos="851"/>
        </w:tabs>
        <w:adjustRightInd w:val="0"/>
        <w:snapToGrid w:val="0"/>
        <w:spacing w:line="440" w:lineRule="exact"/>
        <w:ind w:left="0" w:firstLine="284"/>
        <w:rPr>
          <w:rFonts w:ascii="宋体" w:hAnsi="宋体" w:cs="Times New Roman"/>
          <w:b/>
          <w:bCs/>
          <w:sz w:val="21"/>
          <w:szCs w:val="21"/>
          <w:lang w:eastAsia="zh-CN"/>
        </w:rPr>
      </w:pPr>
      <w:r>
        <w:rPr>
          <w:rFonts w:ascii="宋体" w:hAnsi="宋体" w:cs="Times New Roman"/>
          <w:b/>
          <w:bCs/>
          <w:sz w:val="21"/>
          <w:szCs w:val="21"/>
          <w:lang w:eastAsia="zh-CN"/>
        </w:rPr>
        <w:t>磋商的语言与计量</w:t>
      </w:r>
    </w:p>
    <w:p w14:paraId="146F5E7B">
      <w:pPr>
        <w:numPr>
          <w:ilvl w:val="1"/>
          <w:numId w:val="10"/>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提交的响应文件以及</w:t>
      </w:r>
      <w:r>
        <w:rPr>
          <w:rFonts w:hint="eastAsia" w:ascii="宋体" w:hAnsi="宋体" w:cs="Times New Roman"/>
          <w:sz w:val="21"/>
          <w:szCs w:val="21"/>
          <w:lang w:eastAsia="zh-CN"/>
        </w:rPr>
        <w:t>响应单位</w:t>
      </w:r>
      <w:r>
        <w:rPr>
          <w:rFonts w:ascii="宋体" w:hAnsi="宋体" w:cs="Times New Roman"/>
          <w:sz w:val="21"/>
          <w:szCs w:val="21"/>
          <w:lang w:eastAsia="zh-CN"/>
        </w:rPr>
        <w:t>与采购人和采购代理机构就有关磋商的所有来往函电均以中文文字书写。</w:t>
      </w:r>
      <w:r>
        <w:rPr>
          <w:rFonts w:hint="eastAsia" w:ascii="宋体" w:hAnsi="宋体" w:cs="Times New Roman"/>
          <w:sz w:val="21"/>
          <w:szCs w:val="21"/>
          <w:lang w:eastAsia="zh-CN"/>
        </w:rPr>
        <w:t>响应单位</w:t>
      </w:r>
      <w:r>
        <w:rPr>
          <w:rFonts w:ascii="宋体" w:hAnsi="宋体" w:cs="Times New Roman"/>
          <w:sz w:val="21"/>
          <w:szCs w:val="21"/>
          <w:lang w:eastAsia="zh-CN"/>
        </w:rPr>
        <w:t>提交的支持资料和已印刷的证件或资料可以用另一种语言，但相应内容应附有中文的翻译本，在解释响应文件时以翻译文本为准。</w:t>
      </w:r>
    </w:p>
    <w:p w14:paraId="40EEE2E2">
      <w:pPr>
        <w:numPr>
          <w:ilvl w:val="1"/>
          <w:numId w:val="10"/>
        </w:numPr>
        <w:tabs>
          <w:tab w:val="left" w:pos="993"/>
        </w:tabs>
        <w:adjustRightInd w:val="0"/>
        <w:snapToGrid w:val="0"/>
        <w:spacing w:line="440" w:lineRule="exact"/>
        <w:ind w:left="0" w:firstLine="450"/>
        <w:rPr>
          <w:rFonts w:ascii="宋体" w:hAnsi="宋体" w:cs="Times New Roman"/>
          <w:sz w:val="21"/>
          <w:szCs w:val="21"/>
          <w:lang w:eastAsia="zh-CN"/>
        </w:rPr>
      </w:pPr>
      <w:r>
        <w:rPr>
          <w:rFonts w:ascii="宋体" w:hAnsi="宋体" w:cs="Times New Roman"/>
          <w:sz w:val="21"/>
          <w:szCs w:val="21"/>
          <w:lang w:eastAsia="zh-CN"/>
        </w:rPr>
        <w:t>除在磋商文件的技术规格中另有规定外，计量单位应使用中华人民共和国法定计量单位。</w:t>
      </w:r>
    </w:p>
    <w:p w14:paraId="7E48F637">
      <w:pPr>
        <w:numPr>
          <w:ilvl w:val="0"/>
          <w:numId w:val="9"/>
        </w:numPr>
        <w:tabs>
          <w:tab w:val="left" w:pos="641"/>
          <w:tab w:val="left" w:pos="851"/>
        </w:tabs>
        <w:adjustRightInd w:val="0"/>
        <w:snapToGrid w:val="0"/>
        <w:spacing w:line="440" w:lineRule="exact"/>
        <w:ind w:left="0" w:firstLine="284"/>
        <w:rPr>
          <w:rFonts w:ascii="宋体" w:hAnsi="宋体" w:cs="Times New Roman"/>
          <w:b/>
          <w:bCs/>
          <w:sz w:val="21"/>
          <w:szCs w:val="21"/>
          <w:lang w:eastAsia="zh-CN"/>
        </w:rPr>
      </w:pPr>
      <w:r>
        <w:rPr>
          <w:rFonts w:ascii="宋体" w:hAnsi="宋体" w:cs="Times New Roman"/>
          <w:b/>
          <w:bCs/>
          <w:sz w:val="21"/>
          <w:szCs w:val="21"/>
          <w:lang w:eastAsia="zh-CN"/>
        </w:rPr>
        <w:t>响应文件的编写</w:t>
      </w:r>
    </w:p>
    <w:p w14:paraId="4EB1325C">
      <w:pPr>
        <w:numPr>
          <w:ilvl w:val="0"/>
          <w:numId w:val="11"/>
        </w:numPr>
        <w:tabs>
          <w:tab w:val="left" w:pos="993"/>
        </w:tabs>
        <w:adjustRightInd w:val="0"/>
        <w:snapToGrid w:val="0"/>
        <w:spacing w:line="440" w:lineRule="exact"/>
        <w:ind w:left="0" w:firstLine="450"/>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应按照第六章响应文件格式完整地填写磋商响应文件，并</w:t>
      </w:r>
      <w:bookmarkStart w:id="17" w:name="我"/>
      <w:bookmarkEnd w:id="17"/>
      <w:r>
        <w:rPr>
          <w:rFonts w:ascii="宋体" w:hAnsi="宋体" w:cs="Times New Roman"/>
          <w:sz w:val="21"/>
          <w:szCs w:val="21"/>
          <w:lang w:eastAsia="zh-CN"/>
        </w:rPr>
        <w:t>对其提交的响应文件的真实性、合法性承担法律责任。</w:t>
      </w:r>
    </w:p>
    <w:p w14:paraId="1B36F358">
      <w:pPr>
        <w:numPr>
          <w:ilvl w:val="0"/>
          <w:numId w:val="11"/>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应将任何不同于磋商文件的磋商内容、要求和商务条款列于 “偏离表”中，同时在 “偏离表”中注明其他条款无偏离；若所有条款均无偏离也应在 “偏离表”中注明所有条款均无偏离。未在 “偏离表”中列明的偏离不予认可，在磋商以及后期合同谈判过程中以磋商文件为准。</w:t>
      </w:r>
      <w:r>
        <w:rPr>
          <w:rFonts w:hint="eastAsia" w:ascii="宋体" w:hAnsi="宋体" w:cs="Times New Roman"/>
          <w:sz w:val="21"/>
          <w:szCs w:val="21"/>
          <w:lang w:eastAsia="zh-CN"/>
        </w:rPr>
        <w:t>（本项目不适用）</w:t>
      </w:r>
    </w:p>
    <w:p w14:paraId="17F810DE">
      <w:pPr>
        <w:numPr>
          <w:ilvl w:val="0"/>
          <w:numId w:val="9"/>
        </w:numPr>
        <w:tabs>
          <w:tab w:val="left" w:pos="627"/>
          <w:tab w:val="left" w:pos="851"/>
        </w:tabs>
        <w:adjustRightInd w:val="0"/>
        <w:snapToGrid w:val="0"/>
        <w:spacing w:line="440" w:lineRule="exact"/>
        <w:ind w:left="0" w:firstLine="284"/>
        <w:rPr>
          <w:rFonts w:ascii="宋体" w:hAnsi="宋体" w:cs="Times New Roman"/>
          <w:b/>
          <w:bCs/>
          <w:sz w:val="21"/>
          <w:szCs w:val="21"/>
          <w:lang w:eastAsia="zh-CN"/>
        </w:rPr>
      </w:pPr>
      <w:r>
        <w:rPr>
          <w:rFonts w:ascii="宋体" w:hAnsi="宋体" w:cs="Times New Roman"/>
          <w:b/>
          <w:bCs/>
          <w:sz w:val="21"/>
          <w:szCs w:val="21"/>
          <w:lang w:eastAsia="zh-CN"/>
        </w:rPr>
        <w:t>磋商价格</w:t>
      </w:r>
    </w:p>
    <w:p w14:paraId="3577DE24">
      <w:pPr>
        <w:numPr>
          <w:ilvl w:val="0"/>
          <w:numId w:val="12"/>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根据项目情况及采购人给出的项目</w:t>
      </w:r>
      <w:r>
        <w:rPr>
          <w:rFonts w:hint="eastAsia" w:ascii="宋体" w:hAnsi="宋体" w:cs="Times New Roman"/>
          <w:sz w:val="21"/>
          <w:szCs w:val="21"/>
          <w:lang w:eastAsia="zh-CN"/>
        </w:rPr>
        <w:t>采购内容</w:t>
      </w:r>
      <w:r>
        <w:rPr>
          <w:rFonts w:ascii="宋体" w:hAnsi="宋体" w:cs="Times New Roman"/>
          <w:sz w:val="21"/>
          <w:szCs w:val="21"/>
          <w:lang w:eastAsia="zh-CN"/>
        </w:rPr>
        <w:t>填报磋商价格。磋商价格应包含磋商内容和要求中列明的项目</w:t>
      </w:r>
      <w:r>
        <w:rPr>
          <w:rFonts w:hint="eastAsia" w:ascii="宋体" w:hAnsi="宋体" w:cs="Times New Roman"/>
          <w:sz w:val="21"/>
          <w:szCs w:val="21"/>
          <w:lang w:eastAsia="zh-CN"/>
        </w:rPr>
        <w:t>所有产生的费用</w:t>
      </w:r>
      <w:r>
        <w:rPr>
          <w:rFonts w:ascii="宋体" w:hAnsi="宋体" w:cs="Times New Roman"/>
          <w:sz w:val="21"/>
          <w:szCs w:val="21"/>
          <w:lang w:eastAsia="zh-CN"/>
        </w:rPr>
        <w:t>；除非有特别声明或磋商达成一致的，未列明的将视为包含在磋商价格中。磋商的报价方式及</w:t>
      </w:r>
      <w:r>
        <w:rPr>
          <w:rFonts w:hint="eastAsia" w:ascii="宋体" w:hAnsi="宋体" w:cs="Times New Roman"/>
          <w:sz w:val="21"/>
          <w:szCs w:val="21"/>
          <w:lang w:eastAsia="zh-CN"/>
        </w:rPr>
        <w:t>最高限</w:t>
      </w:r>
      <w:r>
        <w:rPr>
          <w:rFonts w:ascii="宋体" w:hAnsi="宋体" w:cs="Times New Roman"/>
          <w:sz w:val="21"/>
          <w:szCs w:val="21"/>
          <w:lang w:eastAsia="zh-CN"/>
        </w:rPr>
        <w:t>价（或其他控制条件）应在</w:t>
      </w:r>
      <w:r>
        <w:rPr>
          <w:rFonts w:hint="eastAsia" w:ascii="宋体" w:hAnsi="宋体" w:cs="Times New Roman"/>
          <w:sz w:val="21"/>
          <w:szCs w:val="21"/>
          <w:lang w:eastAsia="zh-CN"/>
        </w:rPr>
        <w:t>响应单位</w:t>
      </w:r>
      <w:r>
        <w:rPr>
          <w:rFonts w:ascii="宋体" w:hAnsi="宋体" w:cs="Times New Roman"/>
          <w:sz w:val="21"/>
          <w:szCs w:val="21"/>
          <w:lang w:eastAsia="zh-CN"/>
        </w:rPr>
        <w:t>前附表中明确。</w:t>
      </w:r>
    </w:p>
    <w:p w14:paraId="33FCF5BE">
      <w:pPr>
        <w:numPr>
          <w:ilvl w:val="0"/>
          <w:numId w:val="12"/>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磋商价格中不应含有磋商文件要求以外的内容，否则在磋商过程中不予核减。</w:t>
      </w:r>
    </w:p>
    <w:p w14:paraId="4EF0B299">
      <w:pPr>
        <w:numPr>
          <w:ilvl w:val="0"/>
          <w:numId w:val="9"/>
        </w:numPr>
        <w:tabs>
          <w:tab w:val="left" w:pos="641"/>
          <w:tab w:val="left" w:pos="851"/>
        </w:tabs>
        <w:adjustRightInd w:val="0"/>
        <w:snapToGrid w:val="0"/>
        <w:spacing w:line="440" w:lineRule="exact"/>
        <w:ind w:left="0" w:firstLine="284"/>
        <w:rPr>
          <w:rFonts w:ascii="宋体" w:hAnsi="宋体" w:cs="Times New Roman"/>
          <w:b/>
          <w:bCs/>
          <w:sz w:val="21"/>
          <w:szCs w:val="21"/>
          <w:lang w:eastAsia="zh-CN"/>
        </w:rPr>
      </w:pPr>
      <w:r>
        <w:rPr>
          <w:rFonts w:ascii="宋体" w:hAnsi="宋体" w:cs="Times New Roman"/>
          <w:b/>
          <w:bCs/>
          <w:sz w:val="21"/>
          <w:szCs w:val="21"/>
          <w:lang w:eastAsia="zh-CN"/>
        </w:rPr>
        <w:t>证明</w:t>
      </w:r>
      <w:r>
        <w:rPr>
          <w:rFonts w:hint="eastAsia" w:ascii="宋体" w:hAnsi="宋体" w:cs="Times New Roman"/>
          <w:b/>
          <w:bCs/>
          <w:sz w:val="21"/>
          <w:szCs w:val="21"/>
          <w:lang w:eastAsia="zh-CN"/>
        </w:rPr>
        <w:t>响应单位</w:t>
      </w:r>
      <w:r>
        <w:rPr>
          <w:rFonts w:ascii="宋体" w:hAnsi="宋体" w:cs="Times New Roman"/>
          <w:b/>
          <w:bCs/>
          <w:sz w:val="21"/>
          <w:szCs w:val="21"/>
          <w:lang w:eastAsia="zh-CN"/>
        </w:rPr>
        <w:t>合格和资格的文件</w:t>
      </w:r>
    </w:p>
    <w:p w14:paraId="445B70F8">
      <w:pPr>
        <w:numPr>
          <w:ilvl w:val="0"/>
          <w:numId w:val="13"/>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应提交证明其有资格参加磋商和成交后有能力履行合同的文件，并作为其响应文件的一部分。</w:t>
      </w:r>
    </w:p>
    <w:p w14:paraId="2BDDA8B9">
      <w:pPr>
        <w:numPr>
          <w:ilvl w:val="0"/>
          <w:numId w:val="13"/>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提交的证明其成交后能履行合同的资格证明文件应包含（但不仅限于）响应文件格式中要求的内容。</w:t>
      </w:r>
    </w:p>
    <w:p w14:paraId="062BE53A">
      <w:pPr>
        <w:numPr>
          <w:ilvl w:val="0"/>
          <w:numId w:val="13"/>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在磋商过程中，</w:t>
      </w:r>
      <w:r>
        <w:rPr>
          <w:rFonts w:hint="eastAsia" w:ascii="宋体" w:hAnsi="宋体" w:cs="Times New Roman"/>
          <w:sz w:val="21"/>
          <w:szCs w:val="21"/>
          <w:lang w:eastAsia="zh-CN"/>
        </w:rPr>
        <w:t>响应单位</w:t>
      </w:r>
      <w:r>
        <w:rPr>
          <w:rFonts w:ascii="宋体" w:hAnsi="宋体" w:cs="Times New Roman"/>
          <w:sz w:val="21"/>
          <w:szCs w:val="21"/>
          <w:lang w:eastAsia="zh-CN"/>
        </w:rPr>
        <w:t>发生合并、分立、破产等重大变化时，应当及时告知采购人。</w:t>
      </w:r>
    </w:p>
    <w:p w14:paraId="17FF823A">
      <w:pPr>
        <w:numPr>
          <w:ilvl w:val="0"/>
          <w:numId w:val="13"/>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响应单位资格条件如有变动或者更新，应在响应文件中说明。</w:t>
      </w:r>
    </w:p>
    <w:p w14:paraId="6B43653B">
      <w:pPr>
        <w:numPr>
          <w:ilvl w:val="0"/>
          <w:numId w:val="9"/>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hint="eastAsia" w:ascii="宋体" w:hAnsi="宋体" w:cs="Times New Roman"/>
          <w:b/>
          <w:bCs/>
          <w:sz w:val="21"/>
          <w:szCs w:val="21"/>
          <w:lang w:eastAsia="zh-CN"/>
        </w:rPr>
        <w:t>响应单位</w:t>
      </w:r>
      <w:r>
        <w:rPr>
          <w:rFonts w:ascii="宋体" w:hAnsi="宋体" w:cs="Times New Roman"/>
          <w:b/>
          <w:bCs/>
          <w:sz w:val="21"/>
          <w:szCs w:val="21"/>
          <w:lang w:eastAsia="zh-CN"/>
        </w:rPr>
        <w:t>提供服务项目中涉及的产品、工程和服务的合格性的文件</w:t>
      </w:r>
    </w:p>
    <w:p w14:paraId="5944F997">
      <w:pPr>
        <w:numPr>
          <w:ilvl w:val="0"/>
          <w:numId w:val="14"/>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符合国家强制性标准及政府采购政策的证明材料。</w:t>
      </w:r>
    </w:p>
    <w:p w14:paraId="5749B1C5">
      <w:pPr>
        <w:numPr>
          <w:ilvl w:val="0"/>
          <w:numId w:val="14"/>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应提交证明文件，证明其拟提供的产品和服务的合格性符合磋商文件规定。该证明文件作为响应文件的一部分。</w:t>
      </w:r>
    </w:p>
    <w:p w14:paraId="379EA5C5">
      <w:pPr>
        <w:numPr>
          <w:ilvl w:val="0"/>
          <w:numId w:val="14"/>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产品和服务合格性的证明文件应包括产品的制作工艺方案，拟投入的组织管理人员，技术力量等，以及管理者和技术人员的经验。</w:t>
      </w:r>
    </w:p>
    <w:p w14:paraId="371A4ECF">
      <w:pPr>
        <w:numPr>
          <w:ilvl w:val="0"/>
          <w:numId w:val="14"/>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证明产品和服务符合磋商文件要求的文件可以是产品的制造工艺，管理方的组织机构及人员的经验，技术团队人员的履历和相关证件。</w:t>
      </w:r>
    </w:p>
    <w:p w14:paraId="46D4E3C1">
      <w:pPr>
        <w:numPr>
          <w:ilvl w:val="0"/>
          <w:numId w:val="9"/>
        </w:numPr>
        <w:tabs>
          <w:tab w:val="left" w:pos="641"/>
          <w:tab w:val="left" w:pos="851"/>
        </w:tabs>
        <w:adjustRightInd w:val="0"/>
        <w:snapToGrid w:val="0"/>
        <w:spacing w:line="440" w:lineRule="exact"/>
        <w:ind w:left="0" w:firstLine="284"/>
        <w:rPr>
          <w:rFonts w:ascii="宋体" w:hAnsi="宋体" w:cs="Times New Roman"/>
          <w:b/>
          <w:bCs/>
          <w:sz w:val="21"/>
          <w:szCs w:val="21"/>
          <w:lang w:eastAsia="zh-CN"/>
        </w:rPr>
      </w:pPr>
      <w:r>
        <w:rPr>
          <w:rFonts w:ascii="宋体" w:hAnsi="宋体" w:cs="Times New Roman"/>
          <w:b/>
          <w:bCs/>
          <w:sz w:val="21"/>
          <w:szCs w:val="21"/>
          <w:lang w:eastAsia="zh-CN"/>
        </w:rPr>
        <w:t>磋商保证金</w:t>
      </w:r>
      <w:r>
        <w:rPr>
          <w:rFonts w:hint="eastAsia" w:ascii="宋体" w:hAnsi="宋体" w:cs="Times New Roman"/>
          <w:b/>
          <w:bCs/>
          <w:sz w:val="21"/>
          <w:szCs w:val="21"/>
          <w:lang w:eastAsia="zh-CN"/>
        </w:rPr>
        <w:t>（本项目不</w:t>
      </w:r>
      <w:r>
        <w:rPr>
          <w:rFonts w:hint="eastAsia" w:ascii="宋体" w:hAnsi="宋体" w:cs="Times New Roman"/>
          <w:b/>
          <w:bCs/>
          <w:sz w:val="21"/>
          <w:szCs w:val="21"/>
          <w:lang w:val="en-US" w:eastAsia="zh-CN"/>
        </w:rPr>
        <w:t>要求</w:t>
      </w:r>
      <w:r>
        <w:rPr>
          <w:rFonts w:hint="eastAsia" w:ascii="宋体" w:hAnsi="宋体" w:cs="Times New Roman"/>
          <w:b/>
          <w:bCs/>
          <w:sz w:val="21"/>
          <w:szCs w:val="21"/>
          <w:lang w:eastAsia="zh-CN"/>
        </w:rPr>
        <w:t>）</w:t>
      </w:r>
    </w:p>
    <w:p w14:paraId="2C6940C3">
      <w:pPr>
        <w:numPr>
          <w:ilvl w:val="0"/>
          <w:numId w:val="9"/>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ascii="宋体" w:hAnsi="宋体" w:cs="Times New Roman"/>
          <w:b/>
          <w:bCs/>
          <w:sz w:val="21"/>
          <w:szCs w:val="21"/>
          <w:lang w:eastAsia="zh-CN"/>
        </w:rPr>
        <w:t>磋商有效期</w:t>
      </w:r>
    </w:p>
    <w:p w14:paraId="72B87F33">
      <w:pPr>
        <w:numPr>
          <w:ilvl w:val="0"/>
          <w:numId w:val="15"/>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响应文件应自</w:t>
      </w:r>
      <w:r>
        <w:rPr>
          <w:rFonts w:hint="eastAsia" w:ascii="宋体" w:hAnsi="宋体" w:cs="Times New Roman"/>
          <w:sz w:val="21"/>
          <w:szCs w:val="21"/>
          <w:lang w:eastAsia="zh-CN"/>
        </w:rPr>
        <w:t>响应单位</w:t>
      </w:r>
      <w:r>
        <w:rPr>
          <w:rFonts w:ascii="宋体" w:hAnsi="宋体" w:cs="Times New Roman"/>
          <w:sz w:val="21"/>
          <w:szCs w:val="21"/>
          <w:lang w:eastAsia="zh-CN"/>
        </w:rPr>
        <w:t>须知前附表中规定的提交响应文件的截止之日起，并在</w:t>
      </w:r>
      <w:r>
        <w:rPr>
          <w:rFonts w:hint="eastAsia" w:ascii="宋体" w:hAnsi="宋体" w:cs="Times New Roman"/>
          <w:sz w:val="21"/>
          <w:szCs w:val="21"/>
          <w:lang w:eastAsia="zh-CN"/>
        </w:rPr>
        <w:t>响应单位</w:t>
      </w:r>
      <w:r>
        <w:rPr>
          <w:rFonts w:ascii="宋体" w:hAnsi="宋体" w:cs="Times New Roman"/>
          <w:sz w:val="21"/>
          <w:szCs w:val="21"/>
          <w:lang w:eastAsia="zh-CN"/>
        </w:rPr>
        <w:t>须知前附表中所述期限内保持有效。磋商有效期不足的响应文件将被视为非实质性响应，其响应将被拒绝。</w:t>
      </w:r>
    </w:p>
    <w:p w14:paraId="6FA508AE">
      <w:pPr>
        <w:numPr>
          <w:ilvl w:val="0"/>
          <w:numId w:val="15"/>
        </w:numPr>
        <w:tabs>
          <w:tab w:val="left" w:pos="993"/>
        </w:tabs>
        <w:adjustRightInd w:val="0"/>
        <w:snapToGrid w:val="0"/>
        <w:spacing w:line="440" w:lineRule="exact"/>
        <w:ind w:left="0" w:firstLine="450"/>
        <w:jc w:val="both"/>
        <w:rPr>
          <w:rFonts w:ascii="宋体" w:hAnsi="宋体" w:cs="Times New Roman"/>
          <w:sz w:val="21"/>
          <w:szCs w:val="21"/>
          <w:lang w:eastAsia="zh-CN"/>
        </w:rPr>
      </w:pPr>
      <w:r>
        <w:rPr>
          <w:rFonts w:ascii="宋体" w:hAnsi="宋体" w:cs="Times New Roman"/>
          <w:sz w:val="21"/>
          <w:szCs w:val="21"/>
          <w:lang w:eastAsia="zh-CN"/>
        </w:rPr>
        <w:t>特殊情况下，在原磋商有效期截止之前，采购人可要求</w:t>
      </w:r>
      <w:r>
        <w:rPr>
          <w:rFonts w:hint="eastAsia" w:ascii="宋体" w:hAnsi="宋体" w:cs="Times New Roman"/>
          <w:sz w:val="21"/>
          <w:szCs w:val="21"/>
          <w:lang w:eastAsia="zh-CN"/>
        </w:rPr>
        <w:t>响应单位</w:t>
      </w:r>
      <w:r>
        <w:rPr>
          <w:rFonts w:ascii="宋体" w:hAnsi="宋体" w:cs="Times New Roman"/>
          <w:sz w:val="21"/>
          <w:szCs w:val="21"/>
          <w:lang w:eastAsia="zh-CN"/>
        </w:rPr>
        <w:t>延长磋商有效期。这种要求与答复均应以书面形式提交。</w:t>
      </w:r>
      <w:r>
        <w:rPr>
          <w:rFonts w:hint="eastAsia" w:ascii="宋体" w:hAnsi="宋体" w:cs="Times New Roman"/>
          <w:sz w:val="21"/>
          <w:szCs w:val="21"/>
          <w:lang w:eastAsia="zh-CN"/>
        </w:rPr>
        <w:t>响应单位</w:t>
      </w:r>
      <w:r>
        <w:rPr>
          <w:rFonts w:ascii="宋体" w:hAnsi="宋体" w:cs="Times New Roman"/>
          <w:sz w:val="21"/>
          <w:szCs w:val="21"/>
          <w:lang w:eastAsia="zh-CN"/>
        </w:rPr>
        <w:t>可以拒绝采购人的这种要求，但其响应文件在原磋商有效期期满后将不再有效。</w:t>
      </w:r>
    </w:p>
    <w:p w14:paraId="706704DA">
      <w:pPr>
        <w:numPr>
          <w:ilvl w:val="0"/>
          <w:numId w:val="9"/>
        </w:numPr>
        <w:tabs>
          <w:tab w:val="left" w:pos="641"/>
          <w:tab w:val="left" w:pos="851"/>
        </w:tabs>
        <w:adjustRightInd w:val="0"/>
        <w:snapToGrid w:val="0"/>
        <w:spacing w:line="440" w:lineRule="exact"/>
        <w:ind w:left="0" w:firstLine="284"/>
        <w:rPr>
          <w:rFonts w:ascii="宋体" w:hAnsi="宋体" w:cs="Times New Roman"/>
          <w:b/>
          <w:bCs/>
          <w:sz w:val="21"/>
          <w:szCs w:val="21"/>
          <w:lang w:eastAsia="zh-CN"/>
        </w:rPr>
      </w:pPr>
      <w:r>
        <w:rPr>
          <w:rFonts w:ascii="宋体" w:hAnsi="宋体" w:cs="Times New Roman"/>
          <w:b/>
          <w:bCs/>
          <w:sz w:val="21"/>
          <w:szCs w:val="21"/>
          <w:lang w:eastAsia="zh-CN"/>
        </w:rPr>
        <w:t>响应文件的</w:t>
      </w:r>
      <w:r>
        <w:rPr>
          <w:rFonts w:hint="eastAsia" w:ascii="宋体" w:hAnsi="宋体" w:cs="Times New Roman"/>
          <w:b/>
          <w:bCs/>
          <w:sz w:val="21"/>
          <w:szCs w:val="21"/>
          <w:lang w:eastAsia="zh-CN"/>
        </w:rPr>
        <w:t>份数、签章</w:t>
      </w:r>
    </w:p>
    <w:p w14:paraId="65A4BD64">
      <w:pPr>
        <w:tabs>
          <w:tab w:val="left" w:pos="993"/>
        </w:tabs>
        <w:adjustRightInd w:val="0"/>
        <w:snapToGrid w:val="0"/>
        <w:spacing w:line="400" w:lineRule="exact"/>
        <w:ind w:firstLine="420" w:firstLineChars="200"/>
        <w:jc w:val="both"/>
        <w:rPr>
          <w:rFonts w:ascii="宋体" w:hAnsi="宋体" w:cs="Times New Roman"/>
          <w:sz w:val="21"/>
          <w:szCs w:val="21"/>
          <w:lang w:eastAsia="zh-CN"/>
        </w:rPr>
      </w:pPr>
      <w:r>
        <w:rPr>
          <w:rFonts w:hint="eastAsia" w:ascii="宋体" w:hAnsi="宋体" w:cs="Times New Roman"/>
          <w:sz w:val="21"/>
          <w:szCs w:val="21"/>
          <w:lang w:eastAsia="zh-CN"/>
        </w:rPr>
        <w:t>3.8.1</w:t>
      </w:r>
      <w:r>
        <w:rPr>
          <w:rFonts w:hint="eastAsia" w:ascii="宋体" w:hAnsi="宋体" w:cs="Times New Roman"/>
          <w:sz w:val="21"/>
          <w:szCs w:val="21"/>
          <w:lang w:val="en-US" w:eastAsia="zh-CN"/>
        </w:rPr>
        <w:t>响应文件的份数：加密电子响应文件上传即可</w:t>
      </w:r>
      <w:r>
        <w:rPr>
          <w:rFonts w:ascii="宋体" w:hAnsi="宋体" w:cs="Times New Roman"/>
          <w:sz w:val="21"/>
          <w:szCs w:val="21"/>
          <w:lang w:eastAsia="zh-CN"/>
        </w:rPr>
        <w:t>。</w:t>
      </w:r>
    </w:p>
    <w:p w14:paraId="0F403BD8">
      <w:pPr>
        <w:adjustRightInd w:val="0"/>
        <w:snapToGrid w:val="0"/>
        <w:spacing w:line="400" w:lineRule="exact"/>
        <w:ind w:firstLine="420" w:firstLineChars="200"/>
        <w:rPr>
          <w:rFonts w:ascii="宋体" w:hAnsi="宋体" w:cs="Times New Roman"/>
          <w:sz w:val="21"/>
          <w:szCs w:val="21"/>
          <w:lang w:eastAsia="zh-CN"/>
        </w:rPr>
      </w:pPr>
      <w:r>
        <w:rPr>
          <w:rFonts w:hint="eastAsia" w:ascii="宋体" w:hAnsi="宋体"/>
          <w:kern w:val="2"/>
          <w:sz w:val="21"/>
          <w:szCs w:val="21"/>
          <w:lang w:eastAsia="zh-CN"/>
        </w:rPr>
        <w:t>3.8.2签字或盖章要求：</w:t>
      </w:r>
      <w:r>
        <w:rPr>
          <w:rFonts w:hint="eastAsia" w:ascii="宋体" w:hAnsi="宋体"/>
          <w:sz w:val="21"/>
          <w:szCs w:val="21"/>
          <w:lang w:eastAsia="zh-CN"/>
        </w:rPr>
        <w:t>所有要求响应单位加盖公章的地方都应用响应单位的CA 密匙盖电子签章；所有要求法定代表人或其委托代理人签字或盖章的地方都应用法定代表人或其委托代理人的CA密匙盖电子签章。若有委托代理人，且委托代理人没有CA锁，则要求委托代理人签字的地方需上传有手写签名的扫描件。</w:t>
      </w:r>
      <w:r>
        <w:rPr>
          <w:rFonts w:hint="eastAsia" w:ascii="宋体" w:hAnsi="宋体" w:cs="Times New Roman"/>
          <w:sz w:val="21"/>
          <w:szCs w:val="21"/>
          <w:lang w:eastAsia="zh-CN"/>
        </w:rPr>
        <w:t xml:space="preserve"> </w:t>
      </w:r>
    </w:p>
    <w:p w14:paraId="51D9390D">
      <w:pPr>
        <w:pStyle w:val="3"/>
        <w:numPr>
          <w:ilvl w:val="0"/>
          <w:numId w:val="0"/>
        </w:numPr>
        <w:tabs>
          <w:tab w:val="left" w:pos="284"/>
          <w:tab w:val="left" w:pos="567"/>
        </w:tabs>
        <w:adjustRightInd w:val="0"/>
        <w:snapToGrid w:val="0"/>
        <w:spacing w:line="440" w:lineRule="exact"/>
        <w:ind w:leftChars="0"/>
        <w:rPr>
          <w:rFonts w:ascii="宋体" w:hAnsi="宋体" w:eastAsia="宋体"/>
          <w:b/>
          <w:bCs/>
          <w:sz w:val="21"/>
          <w:szCs w:val="21"/>
          <w:lang w:eastAsia="zh-CN"/>
        </w:rPr>
      </w:pPr>
      <w:bookmarkStart w:id="18" w:name="_Toc28340"/>
      <w:bookmarkStart w:id="19" w:name="_Toc443895846"/>
      <w:bookmarkStart w:id="20" w:name="_Toc9705"/>
      <w:r>
        <w:rPr>
          <w:rFonts w:hint="eastAsia" w:ascii="宋体" w:hAnsi="宋体" w:eastAsia="宋体"/>
          <w:b/>
          <w:bCs/>
          <w:sz w:val="21"/>
          <w:szCs w:val="21"/>
          <w:lang w:val="en-US" w:eastAsia="zh-CN"/>
        </w:rPr>
        <w:t>4.</w:t>
      </w:r>
      <w:r>
        <w:rPr>
          <w:rFonts w:hint="eastAsia" w:ascii="宋体" w:hAnsi="宋体" w:eastAsia="宋体"/>
          <w:b/>
          <w:bCs/>
          <w:sz w:val="21"/>
          <w:szCs w:val="21"/>
          <w:lang w:eastAsia="zh-CN"/>
        </w:rPr>
        <w:t>加密</w:t>
      </w:r>
      <w:r>
        <w:rPr>
          <w:rFonts w:ascii="宋体" w:hAnsi="宋体" w:eastAsia="宋体"/>
          <w:b/>
          <w:bCs/>
          <w:sz w:val="21"/>
          <w:szCs w:val="21"/>
          <w:lang w:eastAsia="zh-CN"/>
        </w:rPr>
        <w:t>响应文件的递交</w:t>
      </w:r>
      <w:bookmarkEnd w:id="18"/>
      <w:bookmarkEnd w:id="19"/>
      <w:bookmarkEnd w:id="20"/>
    </w:p>
    <w:p w14:paraId="7411CAAB">
      <w:pPr>
        <w:numPr>
          <w:ilvl w:val="0"/>
          <w:numId w:val="0"/>
        </w:numPr>
        <w:tabs>
          <w:tab w:val="left" w:pos="641"/>
          <w:tab w:val="left" w:pos="851"/>
        </w:tabs>
        <w:adjustRightInd w:val="0"/>
        <w:snapToGrid w:val="0"/>
        <w:spacing w:line="440" w:lineRule="exact"/>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6CFFE358">
      <w:pPr>
        <w:numPr>
          <w:ilvl w:val="0"/>
          <w:numId w:val="0"/>
        </w:numPr>
        <w:tabs>
          <w:tab w:val="left" w:pos="641"/>
          <w:tab w:val="left" w:pos="851"/>
        </w:tabs>
        <w:adjustRightInd w:val="0"/>
        <w:snapToGrid w:val="0"/>
        <w:spacing w:line="440" w:lineRule="exact"/>
        <w:ind w:firstLine="420" w:firstLineChars="200"/>
        <w:jc w:val="both"/>
        <w:rPr>
          <w:rFonts w:hint="eastAsia" w:ascii="宋体" w:hAnsi="宋体" w:cs="Times New Roman"/>
          <w:b w:val="0"/>
          <w:bCs w:val="0"/>
          <w:sz w:val="21"/>
          <w:szCs w:val="21"/>
          <w:lang w:eastAsia="zh-CN"/>
        </w:rPr>
      </w:pPr>
      <w:r>
        <w:rPr>
          <w:rFonts w:hint="eastAsia" w:ascii="宋体" w:hAnsi="宋体" w:cs="Times New Roman"/>
          <w:b w:val="0"/>
          <w:bCs w:val="0"/>
          <w:sz w:val="21"/>
          <w:szCs w:val="21"/>
          <w:lang w:eastAsia="zh-CN"/>
        </w:rPr>
        <w:t>注：加密的电子</w:t>
      </w:r>
      <w:r>
        <w:rPr>
          <w:rFonts w:hint="eastAsia" w:ascii="宋体" w:hAnsi="宋体" w:cs="Times New Roman"/>
          <w:b w:val="0"/>
          <w:bCs w:val="0"/>
          <w:sz w:val="21"/>
          <w:szCs w:val="21"/>
          <w:lang w:val="en-US" w:eastAsia="zh-CN"/>
        </w:rPr>
        <w:t>响应</w:t>
      </w:r>
      <w:r>
        <w:rPr>
          <w:rFonts w:hint="eastAsia" w:ascii="宋体" w:hAnsi="宋体" w:cs="Times New Roman"/>
          <w:b w:val="0"/>
          <w:bCs w:val="0"/>
          <w:sz w:val="21"/>
          <w:szCs w:val="21"/>
          <w:lang w:eastAsia="zh-CN"/>
        </w:rPr>
        <w:t>文件的递交，见周口市公共资源交易中心网站下载中心版块《投标单位-电子投标文件视频制作手册》的相关规定。如未在</w:t>
      </w:r>
      <w:r>
        <w:rPr>
          <w:rFonts w:hint="eastAsia" w:ascii="宋体" w:hAnsi="宋体" w:cs="Times New Roman"/>
          <w:b w:val="0"/>
          <w:bCs w:val="0"/>
          <w:sz w:val="21"/>
          <w:szCs w:val="21"/>
          <w:lang w:val="en-US" w:eastAsia="zh-CN"/>
        </w:rPr>
        <w:t>磋商</w:t>
      </w:r>
      <w:r>
        <w:rPr>
          <w:rFonts w:hint="eastAsia" w:ascii="宋体" w:hAnsi="宋体" w:cs="Times New Roman"/>
          <w:b w:val="0"/>
          <w:bCs w:val="0"/>
          <w:sz w:val="21"/>
          <w:szCs w:val="21"/>
          <w:lang w:eastAsia="zh-CN"/>
        </w:rPr>
        <w:t>文件规定的投标时间截止前上传网上响应文件，投标无效。</w:t>
      </w:r>
    </w:p>
    <w:p w14:paraId="16830AAF">
      <w:pPr>
        <w:numPr>
          <w:ilvl w:val="0"/>
          <w:numId w:val="0"/>
        </w:numPr>
        <w:tabs>
          <w:tab w:val="left" w:pos="641"/>
          <w:tab w:val="left" w:pos="851"/>
        </w:tabs>
        <w:adjustRightInd w:val="0"/>
        <w:snapToGrid w:val="0"/>
        <w:spacing w:line="440" w:lineRule="exact"/>
        <w:ind w:firstLine="420" w:firstLineChars="200"/>
        <w:rPr>
          <w:rFonts w:ascii="宋体" w:hAnsi="宋体" w:cs="Times New Roman"/>
          <w:b w:val="0"/>
          <w:bCs w:val="0"/>
          <w:sz w:val="21"/>
          <w:szCs w:val="21"/>
          <w:lang w:eastAsia="zh-CN"/>
        </w:rPr>
      </w:pPr>
      <w:r>
        <w:rPr>
          <w:rFonts w:hint="eastAsia" w:ascii="宋体" w:hAnsi="宋体" w:cs="Times New Roman"/>
          <w:b w:val="0"/>
          <w:bCs w:val="0"/>
          <w:sz w:val="21"/>
          <w:szCs w:val="21"/>
          <w:lang w:val="en-US" w:eastAsia="zh-CN"/>
        </w:rPr>
        <w:t>响应单位</w:t>
      </w:r>
      <w:r>
        <w:rPr>
          <w:rFonts w:hint="eastAsia" w:ascii="宋体" w:hAnsi="宋体" w:cs="Times New Roman"/>
          <w:b w:val="0"/>
          <w:bCs w:val="0"/>
          <w:sz w:val="21"/>
          <w:szCs w:val="21"/>
          <w:lang w:eastAsia="zh-CN"/>
        </w:rPr>
        <w:t>须使用单位CA证书进行电子响应文件远程解密，详见周口市公共资源电子交易中心网站（网址：http://jyzx.zhoukou.gov.cn）办事指南《不见面开标远程在线解密会员端操作手册操作指南》。</w:t>
      </w:r>
    </w:p>
    <w:p w14:paraId="13AC240C">
      <w:pPr>
        <w:numPr>
          <w:ilvl w:val="0"/>
          <w:numId w:val="16"/>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ascii="宋体" w:hAnsi="宋体" w:cs="Times New Roman"/>
          <w:b/>
          <w:bCs/>
          <w:sz w:val="21"/>
          <w:szCs w:val="21"/>
          <w:lang w:eastAsia="zh-CN"/>
        </w:rPr>
        <w:t>递交截止时间</w:t>
      </w:r>
    </w:p>
    <w:p w14:paraId="15D3964E">
      <w:pPr>
        <w:tabs>
          <w:tab w:val="left" w:pos="993"/>
        </w:tabs>
        <w:adjustRightInd w:val="0"/>
        <w:snapToGrid w:val="0"/>
        <w:spacing w:line="440" w:lineRule="exact"/>
        <w:ind w:firstLine="420" w:firstLineChars="200"/>
        <w:jc w:val="both"/>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lang w:eastAsia="zh-CN"/>
        </w:rPr>
        <w:t>.1</w:t>
      </w:r>
      <w:r>
        <w:rPr>
          <w:rFonts w:hint="eastAsia" w:ascii="宋体" w:hAnsi="宋体" w:cs="Times New Roman"/>
          <w:sz w:val="21"/>
          <w:szCs w:val="21"/>
          <w:lang w:val="en-US" w:eastAsia="zh-CN"/>
        </w:rPr>
        <w:t>响应单位</w:t>
      </w:r>
      <w:r>
        <w:rPr>
          <w:rFonts w:hint="eastAsia" w:ascii="宋体" w:hAnsi="宋体" w:eastAsia="宋体" w:cs="Times New Roman"/>
          <w:sz w:val="21"/>
          <w:szCs w:val="21"/>
          <w:lang w:eastAsia="zh-CN"/>
        </w:rPr>
        <w:t>应在竞争性磋商</w:t>
      </w:r>
      <w:r>
        <w:rPr>
          <w:rFonts w:hint="eastAsia" w:ascii="宋体" w:hAnsi="宋体" w:eastAsia="宋体" w:cs="Times New Roman"/>
          <w:sz w:val="21"/>
          <w:szCs w:val="21"/>
          <w:lang w:val="en-US" w:eastAsia="zh-CN"/>
        </w:rPr>
        <w:t>公告</w:t>
      </w:r>
      <w:r>
        <w:rPr>
          <w:rFonts w:hint="eastAsia" w:ascii="宋体" w:hAnsi="宋体" w:eastAsia="宋体" w:cs="Times New Roman"/>
          <w:sz w:val="21"/>
          <w:szCs w:val="21"/>
          <w:lang w:eastAsia="zh-CN"/>
        </w:rPr>
        <w:t>中规定的截止日期和时间前，将响应性文件在会员系统成功上传，递交（接收）地点为竞争性磋商</w:t>
      </w:r>
      <w:r>
        <w:rPr>
          <w:rFonts w:hint="eastAsia" w:ascii="宋体" w:hAnsi="宋体" w:eastAsia="宋体" w:cs="Times New Roman"/>
          <w:sz w:val="21"/>
          <w:szCs w:val="21"/>
          <w:lang w:val="en-US" w:eastAsia="zh-CN"/>
        </w:rPr>
        <w:t>公告</w:t>
      </w:r>
      <w:r>
        <w:rPr>
          <w:rFonts w:hint="eastAsia" w:ascii="宋体" w:hAnsi="宋体" w:eastAsia="宋体" w:cs="Times New Roman"/>
          <w:sz w:val="21"/>
          <w:szCs w:val="21"/>
          <w:lang w:eastAsia="zh-CN"/>
        </w:rPr>
        <w:t>中规定的地址。</w:t>
      </w:r>
    </w:p>
    <w:p w14:paraId="0DD090B5">
      <w:pPr>
        <w:tabs>
          <w:tab w:val="left" w:pos="993"/>
        </w:tabs>
        <w:adjustRightInd w:val="0"/>
        <w:snapToGrid w:val="0"/>
        <w:spacing w:line="440" w:lineRule="exact"/>
        <w:ind w:firstLine="420" w:firstLineChars="200"/>
        <w:jc w:val="both"/>
        <w:rPr>
          <w:rFonts w:ascii="宋体" w:hAnsi="宋体" w:cs="Times New Roman"/>
          <w:sz w:val="21"/>
          <w:szCs w:val="21"/>
          <w:lang w:eastAsia="zh-CN"/>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lang w:eastAsia="zh-CN"/>
        </w:rPr>
        <w:t>.2若采购人推迟了响应性文件接收截止时间，采购人和</w:t>
      </w:r>
      <w:r>
        <w:rPr>
          <w:rFonts w:hint="eastAsia" w:ascii="宋体" w:hAnsi="宋体" w:cs="Times New Roman"/>
          <w:sz w:val="21"/>
          <w:szCs w:val="21"/>
          <w:lang w:val="en-US" w:eastAsia="zh-CN"/>
        </w:rPr>
        <w:t>响应单位</w:t>
      </w:r>
      <w:r>
        <w:rPr>
          <w:rFonts w:hint="eastAsia" w:ascii="宋体" w:hAnsi="宋体" w:eastAsia="宋体" w:cs="Times New Roman"/>
          <w:sz w:val="21"/>
          <w:szCs w:val="21"/>
          <w:lang w:eastAsia="zh-CN"/>
        </w:rPr>
        <w:t xml:space="preserve">受响应性文件接收截止时间制约的所有权利和义务均应以新的截止时间为准。 </w:t>
      </w:r>
    </w:p>
    <w:p w14:paraId="1B089925">
      <w:pPr>
        <w:numPr>
          <w:ilvl w:val="0"/>
          <w:numId w:val="16"/>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ascii="宋体" w:hAnsi="宋体" w:cs="Times New Roman"/>
          <w:b/>
          <w:bCs/>
          <w:sz w:val="21"/>
          <w:szCs w:val="21"/>
          <w:lang w:eastAsia="zh-CN"/>
        </w:rPr>
        <w:t>响应文件的修改与撤回</w:t>
      </w:r>
    </w:p>
    <w:p w14:paraId="4BBDD832">
      <w:pPr>
        <w:tabs>
          <w:tab w:val="left" w:pos="993"/>
        </w:tabs>
        <w:adjustRightInd w:val="0"/>
        <w:snapToGrid w:val="0"/>
        <w:spacing w:line="440" w:lineRule="exact"/>
        <w:ind w:firstLine="420" w:firstLineChars="200"/>
        <w:jc w:val="both"/>
        <w:rPr>
          <w:rFonts w:ascii="宋体" w:hAnsi="宋体" w:cs="Times New Roman"/>
          <w:sz w:val="21"/>
          <w:szCs w:val="21"/>
          <w:lang w:eastAsia="zh-CN"/>
        </w:rPr>
      </w:pPr>
      <w:bookmarkStart w:id="21" w:name="_Toc443895847"/>
      <w:r>
        <w:rPr>
          <w:rFonts w:hint="eastAsia" w:ascii="宋体" w:hAnsi="宋体" w:cs="Times New Roman"/>
          <w:sz w:val="21"/>
          <w:szCs w:val="21"/>
          <w:lang w:eastAsia="zh-CN"/>
        </w:rPr>
        <w:t>4.3.1响应单位在提交响应文件截止时间前，可以对所提交的响应文件进行补充、修改或者撤回。</w:t>
      </w:r>
    </w:p>
    <w:p w14:paraId="0314C381">
      <w:pPr>
        <w:tabs>
          <w:tab w:val="left" w:pos="993"/>
        </w:tabs>
        <w:adjustRightInd w:val="0"/>
        <w:snapToGrid w:val="0"/>
        <w:spacing w:line="440" w:lineRule="exact"/>
        <w:ind w:firstLine="420" w:firstLineChars="200"/>
        <w:jc w:val="both"/>
        <w:rPr>
          <w:rFonts w:ascii="宋体" w:hAnsi="宋体" w:cs="Times New Roman"/>
          <w:sz w:val="21"/>
          <w:szCs w:val="21"/>
          <w:lang w:eastAsia="zh-CN"/>
        </w:rPr>
      </w:pPr>
      <w:r>
        <w:rPr>
          <w:rFonts w:hint="eastAsia" w:ascii="宋体" w:hAnsi="宋体" w:cs="Times New Roman"/>
          <w:sz w:val="21"/>
          <w:szCs w:val="21"/>
          <w:lang w:eastAsia="zh-CN"/>
        </w:rPr>
        <w:t>4.3.2响应单位补充、修改的内容作为响应文件的组成部分，补充、修改的内容与响应文件不一致的，以补充、修改的内容为准。</w:t>
      </w:r>
    </w:p>
    <w:p w14:paraId="03B0BD57">
      <w:pPr>
        <w:pStyle w:val="3"/>
        <w:numPr>
          <w:ilvl w:val="0"/>
          <w:numId w:val="0"/>
        </w:numPr>
        <w:tabs>
          <w:tab w:val="left" w:pos="284"/>
        </w:tabs>
        <w:adjustRightInd w:val="0"/>
        <w:snapToGrid w:val="0"/>
        <w:spacing w:line="440" w:lineRule="exact"/>
        <w:ind w:leftChars="0"/>
        <w:rPr>
          <w:rFonts w:ascii="宋体" w:hAnsi="宋体" w:eastAsia="宋体"/>
          <w:b/>
          <w:bCs/>
          <w:sz w:val="21"/>
          <w:szCs w:val="21"/>
          <w:lang w:eastAsia="zh-CN"/>
        </w:rPr>
      </w:pPr>
      <w:bookmarkStart w:id="22" w:name="_Toc11915"/>
      <w:bookmarkStart w:id="23" w:name="_Toc26592"/>
      <w:r>
        <w:rPr>
          <w:rFonts w:hint="eastAsia" w:ascii="宋体" w:hAnsi="宋体" w:eastAsia="宋体"/>
          <w:b/>
          <w:bCs/>
          <w:sz w:val="21"/>
          <w:szCs w:val="21"/>
          <w:lang w:val="en-US" w:eastAsia="zh-CN"/>
        </w:rPr>
        <w:t>5.</w:t>
      </w:r>
      <w:r>
        <w:rPr>
          <w:rFonts w:ascii="宋体" w:hAnsi="宋体" w:eastAsia="宋体"/>
          <w:b/>
          <w:bCs/>
          <w:sz w:val="21"/>
          <w:szCs w:val="21"/>
          <w:lang w:eastAsia="zh-CN"/>
        </w:rPr>
        <w:t>开标</w:t>
      </w:r>
      <w:bookmarkEnd w:id="21"/>
      <w:bookmarkEnd w:id="22"/>
      <w:bookmarkEnd w:id="23"/>
    </w:p>
    <w:p w14:paraId="7D43F6A1">
      <w:pPr>
        <w:numPr>
          <w:ilvl w:val="0"/>
          <w:numId w:val="17"/>
        </w:numPr>
        <w:tabs>
          <w:tab w:val="left" w:pos="641"/>
          <w:tab w:val="left" w:pos="851"/>
        </w:tabs>
        <w:adjustRightInd w:val="0"/>
        <w:snapToGrid w:val="0"/>
        <w:spacing w:line="440" w:lineRule="exact"/>
        <w:ind w:left="0" w:firstLine="284"/>
        <w:rPr>
          <w:rFonts w:ascii="宋体" w:hAnsi="宋体" w:cs="Times New Roman"/>
          <w:sz w:val="21"/>
          <w:szCs w:val="21"/>
          <w:lang w:eastAsia="zh-CN"/>
        </w:rPr>
      </w:pPr>
      <w:r>
        <w:rPr>
          <w:rFonts w:hint="eastAsia" w:hAnsi="宋体"/>
          <w:b/>
          <w:sz w:val="21"/>
          <w:szCs w:val="21"/>
          <w:lang w:eastAsia="zh-CN"/>
        </w:rPr>
        <w:t>磋商</w:t>
      </w:r>
      <w:r>
        <w:rPr>
          <w:rFonts w:hint="eastAsia" w:hAnsi="宋体"/>
          <w:b/>
          <w:sz w:val="21"/>
          <w:szCs w:val="21"/>
        </w:rPr>
        <w:t>时间和地点</w:t>
      </w:r>
      <w:r>
        <w:rPr>
          <w:rFonts w:hint="eastAsia" w:hAnsi="宋体"/>
          <w:b/>
          <w:sz w:val="21"/>
          <w:szCs w:val="21"/>
          <w:lang w:eastAsia="zh-CN"/>
        </w:rPr>
        <w:t>：</w:t>
      </w:r>
    </w:p>
    <w:p w14:paraId="12BC9A0B">
      <w:pPr>
        <w:tabs>
          <w:tab w:val="left" w:pos="993"/>
        </w:tabs>
        <w:adjustRightInd w:val="0"/>
        <w:snapToGrid w:val="0"/>
        <w:spacing w:line="440" w:lineRule="exact"/>
        <w:ind w:firstLine="420" w:firstLineChars="200"/>
        <w:jc w:val="both"/>
        <w:rPr>
          <w:rFonts w:hint="eastAsia" w:ascii="宋体" w:hAnsi="宋体" w:cs="Times New Roman"/>
          <w:sz w:val="21"/>
          <w:szCs w:val="21"/>
          <w:lang w:eastAsia="zh-CN"/>
        </w:rPr>
      </w:pPr>
      <w:r>
        <w:rPr>
          <w:rFonts w:hint="eastAsia" w:ascii="宋体" w:hAnsi="宋体" w:cs="Times New Roman"/>
          <w:sz w:val="21"/>
          <w:szCs w:val="21"/>
          <w:lang w:val="en-US" w:eastAsia="zh-CN"/>
        </w:rPr>
        <w:t>5.1.1</w:t>
      </w:r>
      <w:r>
        <w:rPr>
          <w:rFonts w:hint="eastAsia" w:ascii="宋体" w:hAnsi="宋体" w:cs="Times New Roman"/>
          <w:sz w:val="21"/>
          <w:szCs w:val="21"/>
          <w:lang w:eastAsia="zh-CN"/>
        </w:rPr>
        <w:t xml:space="preserve">本项目采用不见面电子开标。响应单位应在不迟于“响应单位须知前附表”中规定的截止时间将响应文件按照“响应单位须知前附表”中载明的时间前上传至交易中心系统指定位置。 </w:t>
      </w:r>
    </w:p>
    <w:p w14:paraId="28DBEF11">
      <w:pPr>
        <w:tabs>
          <w:tab w:val="left" w:pos="993"/>
        </w:tabs>
        <w:adjustRightInd w:val="0"/>
        <w:snapToGrid w:val="0"/>
        <w:spacing w:line="440" w:lineRule="exact"/>
        <w:ind w:firstLine="420" w:firstLineChars="200"/>
        <w:jc w:val="both"/>
        <w:rPr>
          <w:rFonts w:hint="eastAsia" w:ascii="宋体" w:hAnsi="宋体" w:cs="Times New Roman"/>
          <w:sz w:val="21"/>
          <w:szCs w:val="21"/>
          <w:lang w:val="en-US" w:eastAsia="zh-CN"/>
        </w:rPr>
      </w:pPr>
      <w:r>
        <w:rPr>
          <w:rFonts w:hint="eastAsia" w:ascii="宋体" w:hAnsi="宋体" w:cs="Times New Roman"/>
          <w:sz w:val="21"/>
          <w:szCs w:val="21"/>
          <w:lang w:val="en-US" w:eastAsia="zh-CN"/>
        </w:rPr>
        <w:t>5.1.2本项目实行远程不见面开标，响应单位不必抵达开标现场，仅需通过不见面交易系统由法人或授权委托人参加开标会议。响应单位代表还需要携带加密电子响应文件的 CA 数字证书（法人章、单位公章），通过不见面开标系统完成签到、响应文件解密、确认开标及最后报价等。</w:t>
      </w:r>
    </w:p>
    <w:p w14:paraId="350F78F8">
      <w:pPr>
        <w:tabs>
          <w:tab w:val="left" w:pos="993"/>
        </w:tabs>
        <w:adjustRightInd w:val="0"/>
        <w:snapToGrid w:val="0"/>
        <w:spacing w:line="440" w:lineRule="exact"/>
        <w:ind w:firstLine="420" w:firstLineChars="200"/>
        <w:jc w:val="both"/>
        <w:rPr>
          <w:rFonts w:hint="eastAsia" w:ascii="宋体" w:hAnsi="宋体" w:cs="Times New Roman"/>
          <w:sz w:val="21"/>
          <w:szCs w:val="21"/>
          <w:lang w:val="en-US" w:eastAsia="zh-CN"/>
        </w:rPr>
      </w:pPr>
      <w:r>
        <w:rPr>
          <w:rFonts w:hint="eastAsia" w:ascii="宋体" w:hAnsi="宋体" w:cs="Times New Roman"/>
          <w:sz w:val="21"/>
          <w:szCs w:val="21"/>
          <w:lang w:val="en-US" w:eastAsia="zh-CN"/>
        </w:rPr>
        <w:t>5.1.3磋商程序：</w:t>
      </w:r>
    </w:p>
    <w:p w14:paraId="060F5BA5">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（1）磋商小组对磋商文件进行熟悉确认。 </w:t>
      </w:r>
    </w:p>
    <w:p w14:paraId="676DF3E4">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（2）磋商小组推选组长，讨论、通过磋商工作流程和磋商要点。 </w:t>
      </w:r>
    </w:p>
    <w:p w14:paraId="20564116">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（3）资格性检查和符合性检查评审：磋商开始后，磋商小组依据磋商文件规定，对响应文件进行资格性检查和符合性检查评审，以确定磋商响应单位是否具备参与磋商的资格。 </w:t>
      </w:r>
    </w:p>
    <w:p w14:paraId="6E2A685E">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（4）磋商小组对通过资格性和符合性审查的响应文件进行评估，确定与各响应单位磋商的具体内容。 </w:t>
      </w:r>
    </w:p>
    <w:p w14:paraId="425DD4C0">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（5）磋商小组所有成员应当集中与单一响应单位分别进行磋商，并给予所有参加磋商的响应单位平等的磋商机会。 </w:t>
      </w:r>
    </w:p>
    <w:p w14:paraId="633F689E">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6）磋商过程中，磋商小组可以根据磋商情况实质性变动采购需求中的技术、质量要求以及合同草案条款，但不得变动磋商文件中的其他内容。实质性变动的内容需经采购人代表确认。并以书面或电子形式通知所有参加磋商的响应单位，该变动是磋商文件的有效组成部分。响应单位应当按照磋商文件的变动情况和磋商小组的要求重新提交响应文件并由其法定代表人或其授权代表签字或盖章或者加盖公章。由授权代表签字或盖章的应当附法定代表人授权书。响应单位为自然人的应当由本人签字或盖章并附身份证。响应单位应根据磋商小组的要求，以书面或电子形式在规定时间内做出响应，未做出响应的响应文件将被视为无效处理。若磋商小组没有实质性变动采购需求中的技术、质量要求以及合同草案条款，则响应单位的最后报价不得高于首次报价，否则作无效处理。 </w:t>
      </w:r>
    </w:p>
    <w:p w14:paraId="4DD42FA7">
      <w:pPr>
        <w:tabs>
          <w:tab w:val="left" w:pos="993"/>
        </w:tabs>
        <w:adjustRightInd w:val="0"/>
        <w:snapToGrid w:val="0"/>
        <w:spacing w:line="400" w:lineRule="exact"/>
        <w:jc w:val="both"/>
        <w:rPr>
          <w:rFonts w:hint="eastAsia" w:ascii="宋体" w:hAnsi="宋体" w:cs="Times New Roman"/>
          <w:sz w:val="21"/>
          <w:szCs w:val="21"/>
          <w:lang w:eastAsia="zh-CN"/>
        </w:rPr>
      </w:pPr>
      <w:r>
        <w:rPr>
          <w:rFonts w:hint="eastAsia" w:ascii="宋体" w:hAnsi="宋体" w:cs="Times New Roman"/>
          <w:sz w:val="21"/>
          <w:szCs w:val="21"/>
          <w:lang w:val="en-US" w:eastAsia="zh-CN"/>
        </w:rPr>
        <w:t xml:space="preserve">（7）磋商小组对符合采购需求的响应单位进行最终报价；响应单位只有通过资格性和符合性审查后方可进入下一轮报价，在规定的时间内同时提交报价，最后磋商报价不得超过响应文件中磋商报价。如有价格扣除，按价格扣除后计算，不作为签订合同的依据。 </w:t>
      </w:r>
    </w:p>
    <w:p w14:paraId="0E55C442">
      <w:pPr>
        <w:tabs>
          <w:tab w:val="left" w:pos="993"/>
        </w:tabs>
        <w:adjustRightInd w:val="0"/>
        <w:snapToGrid w:val="0"/>
        <w:spacing w:line="400" w:lineRule="exact"/>
        <w:jc w:val="both"/>
        <w:rPr>
          <w:rFonts w:hint="default"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（8）经磋商确定最终采购需求，由磋商小组按照“第四章 评审办法（综合评分法）”规定的方法、评审因素、标准和程序对响应文件进行评审。</w:t>
      </w:r>
    </w:p>
    <w:p w14:paraId="13859BC7">
      <w:pPr>
        <w:pStyle w:val="3"/>
        <w:tabs>
          <w:tab w:val="left" w:pos="284"/>
        </w:tabs>
        <w:adjustRightInd w:val="0"/>
        <w:snapToGrid w:val="0"/>
        <w:spacing w:line="400" w:lineRule="exact"/>
        <w:rPr>
          <w:rFonts w:ascii="宋体" w:hAnsi="宋体" w:eastAsia="宋体"/>
          <w:b/>
          <w:bCs/>
          <w:sz w:val="21"/>
          <w:szCs w:val="21"/>
          <w:lang w:eastAsia="zh-CN"/>
        </w:rPr>
      </w:pPr>
      <w:bookmarkStart w:id="24" w:name="_Toc25325"/>
      <w:bookmarkStart w:id="25" w:name="_Toc2935"/>
      <w:bookmarkStart w:id="26" w:name="_Toc6447"/>
      <w:r>
        <w:rPr>
          <w:rFonts w:hint="eastAsia" w:ascii="宋体" w:hAnsi="宋体" w:eastAsia="宋体"/>
          <w:b/>
          <w:bCs/>
          <w:sz w:val="21"/>
          <w:szCs w:val="21"/>
          <w:lang w:eastAsia="zh-CN"/>
        </w:rPr>
        <w:t>6.</w:t>
      </w:r>
      <w:r>
        <w:rPr>
          <w:rFonts w:ascii="宋体" w:hAnsi="宋体" w:eastAsia="宋体"/>
          <w:b/>
          <w:bCs/>
          <w:sz w:val="21"/>
          <w:szCs w:val="21"/>
          <w:lang w:eastAsia="zh-CN"/>
        </w:rPr>
        <w:t>评审</w:t>
      </w:r>
      <w:bookmarkEnd w:id="24"/>
      <w:bookmarkEnd w:id="25"/>
      <w:bookmarkEnd w:id="26"/>
    </w:p>
    <w:p w14:paraId="4176FEC2">
      <w:pPr>
        <w:tabs>
          <w:tab w:val="left" w:pos="641"/>
          <w:tab w:val="left" w:pos="851"/>
        </w:tabs>
        <w:adjustRightInd w:val="0"/>
        <w:snapToGrid w:val="0"/>
        <w:spacing w:line="400" w:lineRule="exact"/>
        <w:rPr>
          <w:rFonts w:ascii="宋体" w:hAnsi="宋体" w:cs="Times New Roman"/>
          <w:sz w:val="21"/>
          <w:szCs w:val="21"/>
          <w:lang w:eastAsia="zh-CN"/>
        </w:rPr>
      </w:pPr>
      <w:r>
        <w:rPr>
          <w:rFonts w:hint="eastAsia" w:ascii="宋体" w:hAnsi="宋体" w:cs="Times New Roman"/>
          <w:b/>
          <w:bCs/>
          <w:sz w:val="21"/>
          <w:szCs w:val="21"/>
          <w:lang w:eastAsia="zh-CN"/>
        </w:rPr>
        <w:t>6.1</w:t>
      </w:r>
      <w:r>
        <w:rPr>
          <w:rFonts w:ascii="宋体" w:hAnsi="宋体" w:cs="Times New Roman"/>
          <w:b/>
          <w:bCs/>
          <w:sz w:val="21"/>
          <w:szCs w:val="21"/>
          <w:lang w:eastAsia="zh-CN"/>
        </w:rPr>
        <w:t>磋商小组和评审方法</w:t>
      </w:r>
    </w:p>
    <w:p w14:paraId="2922775F">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6.1.1</w:t>
      </w:r>
      <w:r>
        <w:rPr>
          <w:rFonts w:ascii="宋体" w:hAnsi="宋体" w:cs="Times New Roman"/>
          <w:sz w:val="21"/>
          <w:szCs w:val="21"/>
          <w:lang w:eastAsia="zh-CN"/>
        </w:rPr>
        <w:t>磋商和评审由采购人依法组建的磋商小组负责。磋商小组的组成详见</w:t>
      </w:r>
      <w:r>
        <w:rPr>
          <w:rFonts w:hint="eastAsia" w:ascii="宋体" w:hAnsi="宋体" w:cs="Times New Roman"/>
          <w:sz w:val="21"/>
          <w:szCs w:val="21"/>
          <w:lang w:eastAsia="zh-CN"/>
        </w:rPr>
        <w:t>响应单位</w:t>
      </w:r>
      <w:r>
        <w:rPr>
          <w:rFonts w:ascii="宋体" w:hAnsi="宋体" w:cs="Times New Roman"/>
          <w:sz w:val="21"/>
          <w:szCs w:val="21"/>
          <w:lang w:eastAsia="zh-CN"/>
        </w:rPr>
        <w:t>须知前附表。</w:t>
      </w:r>
    </w:p>
    <w:p w14:paraId="4E93B56C">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6.1.2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执行《政府采购竞争性磋商采购方式管理暂行办法》（财库〔2014〕214号）第十四条规定）。</w:t>
      </w:r>
    </w:p>
    <w:p w14:paraId="10A092AD">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6.1.3</w:t>
      </w:r>
      <w:r>
        <w:rPr>
          <w:rFonts w:ascii="宋体" w:hAnsi="宋体" w:cs="Times New Roman"/>
          <w:sz w:val="21"/>
          <w:szCs w:val="21"/>
          <w:lang w:eastAsia="zh-CN"/>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Times New Roman"/>
          <w:sz w:val="21"/>
          <w:szCs w:val="21"/>
          <w:lang w:eastAsia="zh-CN"/>
        </w:rPr>
        <w:t>响应单位</w:t>
      </w:r>
      <w:r>
        <w:rPr>
          <w:rFonts w:ascii="宋体" w:hAnsi="宋体" w:cs="Times New Roman"/>
          <w:sz w:val="21"/>
          <w:szCs w:val="21"/>
          <w:lang w:eastAsia="zh-CN"/>
        </w:rPr>
        <w:t>。磋商文件内容违反国家有关强制性规定的，磋商小组应当停止评审并向采购人或者采购代理机构说明情况。</w:t>
      </w:r>
    </w:p>
    <w:p w14:paraId="732768A8">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6.1.4</w:t>
      </w:r>
      <w:r>
        <w:rPr>
          <w:rFonts w:ascii="宋体" w:hAnsi="宋体" w:cs="Times New Roman"/>
          <w:sz w:val="21"/>
          <w:szCs w:val="21"/>
          <w:lang w:eastAsia="zh-CN"/>
        </w:rPr>
        <w:t>磋商小组将首先按照本须知第</w:t>
      </w:r>
      <w:r>
        <w:rPr>
          <w:rFonts w:hint="eastAsia" w:ascii="宋体" w:hAnsi="宋体" w:cs="Times New Roman"/>
          <w:sz w:val="21"/>
          <w:szCs w:val="21"/>
          <w:lang w:eastAsia="zh-CN"/>
        </w:rPr>
        <w:t>2</w:t>
      </w:r>
      <w:r>
        <w:rPr>
          <w:rFonts w:ascii="宋体" w:hAnsi="宋体" w:cs="Times New Roman"/>
          <w:sz w:val="21"/>
          <w:szCs w:val="21"/>
          <w:lang w:eastAsia="zh-CN"/>
        </w:rPr>
        <w:t>条对响应文件进行初审。对初审合格的响应文件将按照本须知第</w:t>
      </w:r>
      <w:r>
        <w:rPr>
          <w:rFonts w:hint="eastAsia" w:ascii="宋体" w:hAnsi="宋体" w:cs="Times New Roman"/>
          <w:sz w:val="21"/>
          <w:szCs w:val="21"/>
          <w:lang w:eastAsia="zh-CN"/>
        </w:rPr>
        <w:t>6.3款</w:t>
      </w:r>
      <w:r>
        <w:rPr>
          <w:rFonts w:ascii="宋体" w:hAnsi="宋体" w:cs="Times New Roman"/>
          <w:sz w:val="21"/>
          <w:szCs w:val="21"/>
          <w:lang w:eastAsia="zh-CN"/>
        </w:rPr>
        <w:t>和第</w:t>
      </w:r>
      <w:r>
        <w:rPr>
          <w:rFonts w:hint="eastAsia" w:ascii="宋体" w:hAnsi="宋体" w:cs="Times New Roman"/>
          <w:sz w:val="21"/>
          <w:szCs w:val="21"/>
          <w:lang w:eastAsia="zh-CN"/>
        </w:rPr>
        <w:t>6.4款</w:t>
      </w:r>
      <w:r>
        <w:rPr>
          <w:rFonts w:ascii="宋体" w:hAnsi="宋体" w:cs="Times New Roman"/>
          <w:sz w:val="21"/>
          <w:szCs w:val="21"/>
          <w:lang w:eastAsia="zh-CN"/>
        </w:rPr>
        <w:t>对应的磋商和评价程序进行磋商和评审。</w:t>
      </w:r>
    </w:p>
    <w:p w14:paraId="1E98EC52">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6.1.5</w:t>
      </w:r>
      <w:r>
        <w:rPr>
          <w:rFonts w:ascii="宋体" w:hAnsi="宋体" w:cs="Times New Roman"/>
          <w:sz w:val="21"/>
          <w:szCs w:val="21"/>
          <w:lang w:eastAsia="zh-CN"/>
        </w:rPr>
        <w:t>在磋商期间，磋商小组可要求</w:t>
      </w:r>
      <w:r>
        <w:rPr>
          <w:rFonts w:hint="eastAsia" w:ascii="宋体" w:hAnsi="宋体" w:cs="Times New Roman"/>
          <w:sz w:val="21"/>
          <w:szCs w:val="21"/>
          <w:lang w:eastAsia="zh-CN"/>
        </w:rPr>
        <w:t>响应单位</w:t>
      </w:r>
      <w:r>
        <w:rPr>
          <w:rFonts w:ascii="宋体" w:hAnsi="宋体" w:cs="Times New Roman"/>
          <w:sz w:val="21"/>
          <w:szCs w:val="21"/>
          <w:lang w:eastAsia="zh-CN"/>
        </w:rPr>
        <w:t>对其响应文件进行澄清，但不得寻求、提供或允许对磋商价格等实质性内容做任何更改。有关澄清的要求和答复均应</w:t>
      </w:r>
      <w:r>
        <w:rPr>
          <w:rFonts w:hint="eastAsia" w:ascii="宋体" w:hAnsi="宋体" w:cs="Times New Roman"/>
          <w:sz w:val="21"/>
          <w:szCs w:val="21"/>
          <w:lang w:eastAsia="zh-CN"/>
        </w:rPr>
        <w:t>在</w:t>
      </w:r>
      <w:r>
        <w:rPr>
          <w:rFonts w:hint="eastAsia" w:ascii="宋体" w:hAnsi="宋体" w:cs="Times New Roman"/>
          <w:sz w:val="21"/>
          <w:szCs w:val="21"/>
          <w:lang w:val="en-US" w:eastAsia="zh-CN"/>
        </w:rPr>
        <w:t>周口</w:t>
      </w:r>
      <w:r>
        <w:rPr>
          <w:rFonts w:hint="eastAsia" w:ascii="宋体" w:hAnsi="宋体" w:cs="Times New Roman"/>
          <w:sz w:val="21"/>
          <w:szCs w:val="21"/>
          <w:lang w:eastAsia="zh-CN"/>
        </w:rPr>
        <w:t>市电子招标投标交易平台</w:t>
      </w:r>
      <w:r>
        <w:rPr>
          <w:rFonts w:ascii="宋体" w:hAnsi="宋体" w:cs="Times New Roman"/>
          <w:sz w:val="21"/>
          <w:szCs w:val="21"/>
          <w:lang w:eastAsia="zh-CN"/>
        </w:rPr>
        <w:t>提交。磋商小组不接受</w:t>
      </w:r>
      <w:r>
        <w:rPr>
          <w:rFonts w:hint="eastAsia" w:ascii="宋体" w:hAnsi="宋体" w:cs="Times New Roman"/>
          <w:sz w:val="21"/>
          <w:szCs w:val="21"/>
          <w:lang w:eastAsia="zh-CN"/>
        </w:rPr>
        <w:t>响应单位</w:t>
      </w:r>
      <w:r>
        <w:rPr>
          <w:rFonts w:ascii="宋体" w:hAnsi="宋体" w:cs="Times New Roman"/>
          <w:sz w:val="21"/>
          <w:szCs w:val="21"/>
          <w:lang w:eastAsia="zh-CN"/>
        </w:rPr>
        <w:t>主动提出的澄清、说明。</w:t>
      </w:r>
    </w:p>
    <w:p w14:paraId="591017CC">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6.1.6</w:t>
      </w:r>
      <w:r>
        <w:rPr>
          <w:rFonts w:ascii="宋体" w:hAnsi="宋体" w:cs="Times New Roman"/>
          <w:sz w:val="21"/>
          <w:szCs w:val="21"/>
          <w:lang w:eastAsia="zh-CN"/>
        </w:rPr>
        <w:t>采购人、采购代理机构不得向磋商小组中的评审专家作倾向性、误导性的解释或者说明。</w:t>
      </w:r>
    </w:p>
    <w:p w14:paraId="54F28574">
      <w:pPr>
        <w:tabs>
          <w:tab w:val="left" w:pos="641"/>
          <w:tab w:val="left" w:pos="851"/>
        </w:tabs>
        <w:adjustRightInd w:val="0"/>
        <w:snapToGrid w:val="0"/>
        <w:spacing w:line="400" w:lineRule="exact"/>
        <w:rPr>
          <w:rFonts w:ascii="宋体" w:hAnsi="宋体" w:cs="Times New Roman"/>
          <w:sz w:val="21"/>
          <w:szCs w:val="21"/>
          <w:lang w:eastAsia="zh-CN"/>
        </w:rPr>
      </w:pPr>
      <w:r>
        <w:rPr>
          <w:rFonts w:hint="eastAsia" w:ascii="宋体" w:hAnsi="宋体" w:cs="Times New Roman"/>
          <w:b/>
          <w:bCs/>
          <w:sz w:val="21"/>
          <w:szCs w:val="21"/>
          <w:lang w:eastAsia="zh-CN"/>
        </w:rPr>
        <w:t>6.2</w:t>
      </w:r>
      <w:r>
        <w:rPr>
          <w:rFonts w:ascii="宋体" w:hAnsi="宋体" w:cs="Times New Roman"/>
          <w:b/>
          <w:bCs/>
          <w:sz w:val="21"/>
          <w:szCs w:val="21"/>
          <w:lang w:eastAsia="zh-CN"/>
        </w:rPr>
        <w:t>评审程序</w:t>
      </w:r>
    </w:p>
    <w:p w14:paraId="4E995902">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6.2.1</w:t>
      </w:r>
      <w:r>
        <w:rPr>
          <w:rFonts w:ascii="宋体" w:hAnsi="宋体" w:cs="Times New Roman"/>
          <w:sz w:val="21"/>
          <w:szCs w:val="21"/>
          <w:lang w:eastAsia="zh-CN"/>
        </w:rPr>
        <w:t>响应文件的初审包含资格性检查和符合性检查。</w:t>
      </w:r>
    </w:p>
    <w:p w14:paraId="318123F4">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6.2.2</w:t>
      </w:r>
      <w:r>
        <w:rPr>
          <w:rFonts w:ascii="宋体" w:hAnsi="宋体" w:cs="Times New Roman"/>
          <w:sz w:val="21"/>
          <w:szCs w:val="21"/>
          <w:lang w:eastAsia="zh-CN"/>
        </w:rPr>
        <w:t>资格性检查</w:t>
      </w:r>
    </w:p>
    <w:p w14:paraId="500B5DD4">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依据法律法规和磋商文件的规定，对响应文件中的资格证明等进行检查，以确定</w:t>
      </w:r>
      <w:r>
        <w:rPr>
          <w:rFonts w:hint="eastAsia" w:ascii="宋体" w:hAnsi="宋体" w:cs="Times New Roman"/>
          <w:sz w:val="21"/>
          <w:szCs w:val="21"/>
          <w:lang w:eastAsia="zh-CN"/>
        </w:rPr>
        <w:t>响应单位</w:t>
      </w:r>
      <w:r>
        <w:rPr>
          <w:rFonts w:ascii="宋体" w:hAnsi="宋体" w:cs="Times New Roman"/>
          <w:sz w:val="21"/>
          <w:szCs w:val="21"/>
          <w:lang w:eastAsia="zh-CN"/>
        </w:rPr>
        <w:t>是否具备磋商资格。</w:t>
      </w:r>
    </w:p>
    <w:p w14:paraId="2C21C818">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6.2.3</w:t>
      </w:r>
      <w:r>
        <w:rPr>
          <w:rFonts w:ascii="宋体" w:hAnsi="宋体" w:cs="Times New Roman"/>
          <w:sz w:val="21"/>
          <w:szCs w:val="21"/>
          <w:lang w:eastAsia="zh-CN"/>
        </w:rPr>
        <w:t>符合性检查</w:t>
      </w:r>
    </w:p>
    <w:p w14:paraId="2748D3FB">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依据磋商文件的规定，从响应文件的有效性、完整性和对磋商文件的响应程度进行检查，以确定是否对磋商文件的实质性要求作出响应。</w:t>
      </w:r>
    </w:p>
    <w:p w14:paraId="42457801">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6.2.4</w:t>
      </w:r>
      <w:r>
        <w:rPr>
          <w:rFonts w:ascii="宋体" w:hAnsi="宋体" w:cs="Times New Roman"/>
          <w:sz w:val="21"/>
          <w:szCs w:val="21"/>
          <w:lang w:eastAsia="zh-CN"/>
        </w:rPr>
        <w:t>没有实质性响应磋商文件要求的响应文件将被否决。</w:t>
      </w:r>
      <w:r>
        <w:rPr>
          <w:rFonts w:hint="eastAsia" w:ascii="宋体" w:hAnsi="宋体" w:cs="Times New Roman"/>
          <w:sz w:val="21"/>
          <w:szCs w:val="21"/>
          <w:lang w:eastAsia="zh-CN"/>
        </w:rPr>
        <w:t>响应单位</w:t>
      </w:r>
      <w:r>
        <w:rPr>
          <w:rFonts w:ascii="宋体" w:hAnsi="宋体" w:cs="Times New Roman"/>
          <w:sz w:val="21"/>
          <w:szCs w:val="21"/>
          <w:lang w:eastAsia="zh-CN"/>
        </w:rPr>
        <w:t>不得通过修正、补充或撤销不合要求的偏离或保留从而使其响应文件成为实质上响应的磋商文件。有下列情形之一者视为未实质性响应磋商文件，其响应文件将被否决：</w:t>
      </w:r>
    </w:p>
    <w:p w14:paraId="0DD6DC4A">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1</w:t>
      </w:r>
      <w:r>
        <w:rPr>
          <w:rFonts w:ascii="宋体" w:hAnsi="宋体" w:cs="Times New Roman"/>
          <w:sz w:val="21"/>
          <w:szCs w:val="21"/>
          <w:lang w:eastAsia="zh-CN"/>
        </w:rPr>
        <w:t>）不同</w:t>
      </w:r>
      <w:r>
        <w:rPr>
          <w:rFonts w:hint="eastAsia" w:ascii="宋体" w:hAnsi="宋体" w:cs="Times New Roman"/>
          <w:sz w:val="21"/>
          <w:szCs w:val="21"/>
          <w:lang w:eastAsia="zh-CN"/>
        </w:rPr>
        <w:t>响应单位</w:t>
      </w:r>
      <w:r>
        <w:rPr>
          <w:rFonts w:ascii="宋体" w:hAnsi="宋体" w:cs="Times New Roman"/>
          <w:sz w:val="21"/>
          <w:szCs w:val="21"/>
          <w:lang w:eastAsia="zh-CN"/>
        </w:rPr>
        <w:t>法定代表人为同一人或者存在控股、管理关系的；</w:t>
      </w:r>
    </w:p>
    <w:p w14:paraId="69CDF437">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2</w:t>
      </w:r>
      <w:r>
        <w:rPr>
          <w:rFonts w:ascii="宋体" w:hAnsi="宋体" w:cs="Times New Roman"/>
          <w:sz w:val="21"/>
          <w:szCs w:val="21"/>
          <w:lang w:eastAsia="zh-CN"/>
        </w:rPr>
        <w:t>）响应文件未按磋商文件的要求签署的；</w:t>
      </w:r>
    </w:p>
    <w:p w14:paraId="64677AC7">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3</w:t>
      </w:r>
      <w:r>
        <w:rPr>
          <w:rFonts w:ascii="宋体" w:hAnsi="宋体" w:cs="Times New Roman"/>
          <w:sz w:val="21"/>
          <w:szCs w:val="21"/>
          <w:lang w:eastAsia="zh-CN"/>
        </w:rPr>
        <w:t>）</w:t>
      </w:r>
      <w:r>
        <w:rPr>
          <w:rFonts w:hint="eastAsia" w:ascii="宋体" w:hAnsi="宋体" w:cs="Times New Roman"/>
          <w:sz w:val="21"/>
          <w:szCs w:val="21"/>
          <w:lang w:eastAsia="zh-CN"/>
        </w:rPr>
        <w:t>响应单位</w:t>
      </w:r>
      <w:r>
        <w:rPr>
          <w:rFonts w:ascii="宋体" w:hAnsi="宋体" w:cs="Times New Roman"/>
          <w:sz w:val="21"/>
          <w:szCs w:val="21"/>
          <w:lang w:eastAsia="zh-CN"/>
        </w:rPr>
        <w:t>的磋商函、资格证明材料未提供，或不符合国家规定或者磋商文件要求的；</w:t>
      </w:r>
    </w:p>
    <w:p w14:paraId="39CE9F8E">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4</w:t>
      </w:r>
      <w:r>
        <w:rPr>
          <w:rFonts w:ascii="宋体" w:hAnsi="宋体" w:cs="Times New Roman"/>
          <w:sz w:val="21"/>
          <w:szCs w:val="21"/>
          <w:lang w:eastAsia="zh-CN"/>
        </w:rPr>
        <w:t>）同一</w:t>
      </w:r>
      <w:r>
        <w:rPr>
          <w:rFonts w:hint="eastAsia" w:ascii="宋体" w:hAnsi="宋体" w:cs="Times New Roman"/>
          <w:sz w:val="21"/>
          <w:szCs w:val="21"/>
          <w:lang w:eastAsia="zh-CN"/>
        </w:rPr>
        <w:t>响应单位首次</w:t>
      </w:r>
      <w:r>
        <w:rPr>
          <w:rFonts w:ascii="宋体" w:hAnsi="宋体" w:cs="Times New Roman"/>
          <w:sz w:val="21"/>
          <w:szCs w:val="21"/>
          <w:lang w:eastAsia="zh-CN"/>
        </w:rPr>
        <w:t>提交两个以上不同的方案或者磋商价格的，但磋商文件有要求的除外；</w:t>
      </w:r>
    </w:p>
    <w:p w14:paraId="77DEB571">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5)</w:t>
      </w:r>
      <w:r>
        <w:rPr>
          <w:rFonts w:ascii="宋体" w:hAnsi="宋体" w:cs="Times New Roman"/>
          <w:sz w:val="21"/>
          <w:szCs w:val="21"/>
          <w:lang w:eastAsia="zh-CN"/>
        </w:rPr>
        <w:t>磋商价格高于磋商文件设定的控制价</w:t>
      </w:r>
      <w:r>
        <w:rPr>
          <w:rFonts w:hint="eastAsia" w:ascii="宋体" w:hAnsi="宋体" w:cs="Times New Roman"/>
          <w:sz w:val="21"/>
          <w:szCs w:val="21"/>
          <w:lang w:eastAsia="zh-CN"/>
        </w:rPr>
        <w:t>（或最高限价）</w:t>
      </w:r>
      <w:r>
        <w:rPr>
          <w:rFonts w:ascii="宋体" w:hAnsi="宋体" w:cs="Times New Roman"/>
          <w:sz w:val="21"/>
          <w:szCs w:val="21"/>
          <w:lang w:eastAsia="zh-CN"/>
        </w:rPr>
        <w:t>的；</w:t>
      </w:r>
    </w:p>
    <w:p w14:paraId="2E249D64">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6.2.5</w:t>
      </w:r>
      <w:r>
        <w:rPr>
          <w:rFonts w:ascii="宋体" w:hAnsi="宋体" w:cs="Times New Roman"/>
          <w:sz w:val="21"/>
          <w:szCs w:val="21"/>
          <w:lang w:eastAsia="zh-CN"/>
        </w:rPr>
        <w:t>澄清有关问题</w:t>
      </w:r>
    </w:p>
    <w:p w14:paraId="09316F0B">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对响应文件中含义不明确、同类问题表述不一致或者有明显文字和计算错误的内容，磋商小组可以</w:t>
      </w:r>
      <w:r>
        <w:rPr>
          <w:rFonts w:hint="eastAsia" w:ascii="宋体" w:hAnsi="宋体"/>
          <w:kern w:val="2"/>
          <w:sz w:val="21"/>
          <w:szCs w:val="21"/>
          <w:lang w:eastAsia="zh-CN"/>
        </w:rPr>
        <w:t>在</w:t>
      </w:r>
      <w:r>
        <w:rPr>
          <w:rFonts w:hint="eastAsia" w:ascii="宋体" w:hAnsi="宋体"/>
          <w:kern w:val="2"/>
          <w:sz w:val="21"/>
          <w:szCs w:val="21"/>
          <w:lang w:val="en-US" w:eastAsia="zh-CN"/>
        </w:rPr>
        <w:t>周口</w:t>
      </w:r>
      <w:r>
        <w:rPr>
          <w:rFonts w:hint="eastAsia" w:ascii="宋体" w:hAnsi="宋体"/>
          <w:kern w:val="2"/>
          <w:sz w:val="21"/>
          <w:szCs w:val="21"/>
          <w:lang w:eastAsia="zh-CN"/>
        </w:rPr>
        <w:t>市电子招标投标交易平台</w:t>
      </w:r>
      <w:r>
        <w:rPr>
          <w:rFonts w:ascii="宋体" w:hAnsi="宋体" w:cs="Times New Roman"/>
          <w:sz w:val="21"/>
          <w:szCs w:val="21"/>
          <w:lang w:eastAsia="zh-CN"/>
        </w:rPr>
        <w:t>（应当由磋商专家签字）要求</w:t>
      </w:r>
      <w:r>
        <w:rPr>
          <w:rFonts w:hint="eastAsia" w:ascii="宋体" w:hAnsi="宋体" w:cs="Times New Roman"/>
          <w:sz w:val="21"/>
          <w:szCs w:val="21"/>
          <w:lang w:eastAsia="zh-CN"/>
        </w:rPr>
        <w:t>响应单位</w:t>
      </w:r>
      <w:r>
        <w:rPr>
          <w:rFonts w:ascii="宋体" w:hAnsi="宋体" w:cs="Times New Roman"/>
          <w:sz w:val="21"/>
          <w:szCs w:val="21"/>
          <w:lang w:eastAsia="zh-CN"/>
        </w:rPr>
        <w:t>作出必要的澄清、说明或者纠正。</w:t>
      </w:r>
      <w:r>
        <w:rPr>
          <w:rFonts w:hint="eastAsia" w:ascii="宋体" w:hAnsi="宋体" w:cs="Times New Roman"/>
          <w:sz w:val="21"/>
          <w:szCs w:val="21"/>
          <w:lang w:eastAsia="zh-CN"/>
        </w:rPr>
        <w:t>响应单位</w:t>
      </w:r>
      <w:r>
        <w:rPr>
          <w:rFonts w:ascii="宋体" w:hAnsi="宋体" w:cs="Times New Roman"/>
          <w:sz w:val="21"/>
          <w:szCs w:val="21"/>
          <w:lang w:eastAsia="zh-CN"/>
        </w:rPr>
        <w:t>的澄清、说明或者补正应当</w:t>
      </w:r>
      <w:r>
        <w:rPr>
          <w:rFonts w:hint="eastAsia" w:ascii="宋体" w:hAnsi="宋体" w:cs="Times New Roman"/>
          <w:sz w:val="21"/>
          <w:szCs w:val="21"/>
          <w:lang w:eastAsia="zh-CN"/>
        </w:rPr>
        <w:t>通过</w:t>
      </w:r>
      <w:r>
        <w:rPr>
          <w:rFonts w:hint="eastAsia" w:ascii="宋体" w:hAnsi="宋体"/>
          <w:kern w:val="2"/>
          <w:sz w:val="21"/>
          <w:szCs w:val="21"/>
          <w:lang w:val="en-US" w:eastAsia="zh-CN"/>
        </w:rPr>
        <w:t>周口</w:t>
      </w:r>
      <w:r>
        <w:rPr>
          <w:rFonts w:hint="eastAsia" w:ascii="宋体" w:hAnsi="宋体"/>
          <w:kern w:val="2"/>
          <w:sz w:val="21"/>
          <w:szCs w:val="21"/>
          <w:lang w:eastAsia="zh-CN"/>
        </w:rPr>
        <w:t>市电子招标投标交易平台</w:t>
      </w:r>
      <w:r>
        <w:rPr>
          <w:rFonts w:ascii="宋体" w:hAnsi="宋体" w:cs="Times New Roman"/>
          <w:sz w:val="21"/>
          <w:szCs w:val="21"/>
          <w:lang w:eastAsia="zh-CN"/>
        </w:rPr>
        <w:t>，由其授权的代表签字，并不得超出响应文件的范围或者改变响应文件的实质性内容。</w:t>
      </w:r>
    </w:p>
    <w:p w14:paraId="3BD648D5">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磋商小组要求</w:t>
      </w:r>
      <w:r>
        <w:rPr>
          <w:rFonts w:hint="eastAsia" w:ascii="宋体" w:hAnsi="宋体" w:cs="Times New Roman"/>
          <w:sz w:val="21"/>
          <w:szCs w:val="21"/>
          <w:lang w:eastAsia="zh-CN"/>
        </w:rPr>
        <w:t>响应单位</w:t>
      </w:r>
      <w:r>
        <w:rPr>
          <w:rFonts w:ascii="宋体" w:hAnsi="宋体" w:cs="Times New Roman"/>
          <w:sz w:val="21"/>
          <w:szCs w:val="21"/>
          <w:lang w:eastAsia="zh-CN"/>
        </w:rPr>
        <w:t>澄清、说明或者更正响应文件应当</w:t>
      </w:r>
      <w:r>
        <w:rPr>
          <w:rFonts w:hint="eastAsia" w:ascii="宋体" w:hAnsi="宋体" w:cs="Times New Roman"/>
          <w:sz w:val="21"/>
          <w:szCs w:val="21"/>
          <w:lang w:eastAsia="zh-CN"/>
        </w:rPr>
        <w:t>通过</w:t>
      </w:r>
      <w:r>
        <w:rPr>
          <w:rFonts w:hint="eastAsia" w:ascii="宋体" w:hAnsi="宋体"/>
          <w:kern w:val="2"/>
          <w:sz w:val="21"/>
          <w:szCs w:val="21"/>
          <w:lang w:eastAsia="zh-CN"/>
        </w:rPr>
        <w:t>周口市电子招标投标交易平台</w:t>
      </w:r>
      <w:r>
        <w:rPr>
          <w:rFonts w:ascii="宋体" w:hAnsi="宋体" w:cs="Times New Roman"/>
          <w:sz w:val="21"/>
          <w:szCs w:val="21"/>
          <w:lang w:eastAsia="zh-CN"/>
        </w:rPr>
        <w:t>作出。</w:t>
      </w:r>
      <w:r>
        <w:rPr>
          <w:rFonts w:hint="eastAsia" w:ascii="宋体" w:hAnsi="宋体" w:cs="Times New Roman"/>
          <w:sz w:val="21"/>
          <w:szCs w:val="21"/>
          <w:lang w:eastAsia="zh-CN"/>
        </w:rPr>
        <w:t>响应单位</w:t>
      </w:r>
      <w:r>
        <w:rPr>
          <w:rFonts w:ascii="宋体" w:hAnsi="宋体" w:cs="Times New Roman"/>
          <w:sz w:val="21"/>
          <w:szCs w:val="21"/>
          <w:lang w:eastAsia="zh-CN"/>
        </w:rPr>
        <w:t>的澄清、说明或者更正应当由法定代表人或其授权代表签字或者加盖公章。由授权代表签字的，应当附法定代表人授权书。</w:t>
      </w:r>
      <w:r>
        <w:rPr>
          <w:rFonts w:hint="eastAsia" w:ascii="宋体" w:hAnsi="宋体" w:cs="Times New Roman"/>
          <w:sz w:val="21"/>
          <w:szCs w:val="21"/>
          <w:lang w:eastAsia="zh-CN"/>
        </w:rPr>
        <w:t>响应单位</w:t>
      </w:r>
      <w:r>
        <w:rPr>
          <w:rFonts w:ascii="宋体" w:hAnsi="宋体" w:cs="Times New Roman"/>
          <w:sz w:val="21"/>
          <w:szCs w:val="21"/>
          <w:lang w:eastAsia="zh-CN"/>
        </w:rPr>
        <w:t>为自然人的，应当由本人签字并附身份证明。</w:t>
      </w:r>
    </w:p>
    <w:p w14:paraId="4513C7BD">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6.2.6</w:t>
      </w:r>
      <w:r>
        <w:rPr>
          <w:rFonts w:ascii="宋体" w:hAnsi="宋体" w:cs="Times New Roman"/>
          <w:sz w:val="21"/>
          <w:szCs w:val="21"/>
          <w:lang w:eastAsia="zh-CN"/>
        </w:rPr>
        <w:t>算术更正</w:t>
      </w:r>
      <w:r>
        <w:rPr>
          <w:rFonts w:hint="eastAsia" w:ascii="宋体" w:hAnsi="宋体" w:cs="Times New Roman"/>
          <w:sz w:val="21"/>
          <w:szCs w:val="21"/>
          <w:lang w:eastAsia="zh-CN"/>
        </w:rPr>
        <w:t>：</w:t>
      </w:r>
    </w:p>
    <w:p w14:paraId="09DE5560">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 xml:space="preserve">    </w:t>
      </w:r>
      <w:r>
        <w:rPr>
          <w:rFonts w:ascii="宋体" w:hAnsi="宋体" w:cs="Times New Roman"/>
          <w:sz w:val="21"/>
          <w:szCs w:val="21"/>
          <w:lang w:eastAsia="zh-CN"/>
        </w:rPr>
        <w:t>响应文件的大写金额和小写金额不一致的，以大写金额为准；磋商总价金额与按分项报价汇总金额不一致的，以分项报价金额计算结果为准；分项报价金额小数点有明显错位的，应以磋商总价为准，并修改分项报价。如果</w:t>
      </w:r>
      <w:r>
        <w:rPr>
          <w:rFonts w:hint="eastAsia" w:ascii="宋体" w:hAnsi="宋体" w:cs="Times New Roman"/>
          <w:sz w:val="21"/>
          <w:szCs w:val="21"/>
          <w:lang w:eastAsia="zh-CN"/>
        </w:rPr>
        <w:t>响应单位</w:t>
      </w:r>
      <w:r>
        <w:rPr>
          <w:rFonts w:ascii="宋体" w:hAnsi="宋体" w:cs="Times New Roman"/>
          <w:sz w:val="21"/>
          <w:szCs w:val="21"/>
          <w:lang w:eastAsia="zh-CN"/>
        </w:rPr>
        <w:t>不接受对其算术错误的更正，其响应文件可能被否决。</w:t>
      </w:r>
    </w:p>
    <w:p w14:paraId="6742445A">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6.2.7</w:t>
      </w:r>
      <w:r>
        <w:rPr>
          <w:rFonts w:ascii="宋体" w:hAnsi="宋体" w:cs="Times New Roman"/>
          <w:sz w:val="21"/>
          <w:szCs w:val="21"/>
          <w:lang w:eastAsia="zh-CN"/>
        </w:rPr>
        <w:t>对于响应文件中不构成实质性偏差的不正规、不一致或不规则，磋商小组可以接 受，但这种接受不能损害或影响任何</w:t>
      </w:r>
      <w:r>
        <w:rPr>
          <w:rFonts w:hint="eastAsia" w:ascii="宋体" w:hAnsi="宋体" w:cs="Times New Roman"/>
          <w:sz w:val="21"/>
          <w:szCs w:val="21"/>
          <w:lang w:eastAsia="zh-CN"/>
        </w:rPr>
        <w:t>响应单位</w:t>
      </w:r>
      <w:r>
        <w:rPr>
          <w:rFonts w:ascii="宋体" w:hAnsi="宋体" w:cs="Times New Roman"/>
          <w:sz w:val="21"/>
          <w:szCs w:val="21"/>
          <w:lang w:eastAsia="zh-CN"/>
        </w:rPr>
        <w:t>的相对排序。</w:t>
      </w:r>
    </w:p>
    <w:p w14:paraId="27B7DFFB">
      <w:pPr>
        <w:tabs>
          <w:tab w:val="left" w:pos="426"/>
          <w:tab w:val="left" w:pos="567"/>
          <w:tab w:val="left" w:pos="851"/>
        </w:tabs>
        <w:adjustRightInd w:val="0"/>
        <w:snapToGrid w:val="0"/>
        <w:spacing w:line="400" w:lineRule="exact"/>
        <w:rPr>
          <w:rFonts w:ascii="宋体" w:hAnsi="宋体" w:cs="Times New Roman"/>
          <w:b/>
          <w:bCs/>
          <w:sz w:val="21"/>
          <w:szCs w:val="21"/>
          <w:lang w:eastAsia="zh-CN"/>
        </w:rPr>
      </w:pPr>
      <w:r>
        <w:rPr>
          <w:rFonts w:hint="eastAsia" w:ascii="宋体" w:hAnsi="宋体" w:cs="Times New Roman"/>
          <w:b/>
          <w:bCs/>
          <w:sz w:val="21"/>
          <w:szCs w:val="21"/>
          <w:lang w:eastAsia="zh-CN"/>
        </w:rPr>
        <w:t>6.3</w:t>
      </w:r>
      <w:r>
        <w:rPr>
          <w:rFonts w:ascii="宋体" w:hAnsi="宋体" w:cs="Times New Roman"/>
          <w:b/>
          <w:bCs/>
          <w:sz w:val="21"/>
          <w:szCs w:val="21"/>
          <w:lang w:eastAsia="zh-CN"/>
        </w:rPr>
        <w:t>磋商</w:t>
      </w:r>
    </w:p>
    <w:p w14:paraId="642817CA">
      <w:pPr>
        <w:tabs>
          <w:tab w:val="left" w:pos="993"/>
        </w:tabs>
        <w:adjustRightInd w:val="0"/>
        <w:snapToGrid w:val="0"/>
        <w:spacing w:line="400" w:lineRule="exact"/>
        <w:jc w:val="both"/>
        <w:rPr>
          <w:rFonts w:ascii="宋体" w:hAnsi="宋体" w:cs="Times New Roman"/>
          <w:bCs/>
          <w:sz w:val="21"/>
          <w:szCs w:val="21"/>
          <w:lang w:eastAsia="zh-CN"/>
        </w:rPr>
      </w:pPr>
      <w:r>
        <w:rPr>
          <w:rFonts w:hint="eastAsia" w:ascii="宋体" w:hAnsi="宋体" w:cs="Times New Roman"/>
          <w:bCs/>
          <w:sz w:val="21"/>
          <w:szCs w:val="21"/>
          <w:lang w:eastAsia="zh-CN"/>
        </w:rPr>
        <w:t>6.3.1</w:t>
      </w:r>
      <w:r>
        <w:rPr>
          <w:rFonts w:ascii="宋体" w:hAnsi="宋体" w:cs="Times New Roman"/>
          <w:bCs/>
          <w:sz w:val="21"/>
          <w:szCs w:val="21"/>
          <w:lang w:eastAsia="zh-CN"/>
        </w:rPr>
        <w:t>磋商小组将按照通过响应文件初审的</w:t>
      </w:r>
      <w:r>
        <w:rPr>
          <w:rFonts w:hint="eastAsia" w:ascii="宋体" w:hAnsi="宋体" w:cs="Times New Roman"/>
          <w:bCs/>
          <w:sz w:val="21"/>
          <w:szCs w:val="21"/>
          <w:lang w:eastAsia="zh-CN"/>
        </w:rPr>
        <w:t>响应单位</w:t>
      </w:r>
      <w:r>
        <w:rPr>
          <w:rFonts w:ascii="宋体" w:hAnsi="宋体" w:cs="Times New Roman"/>
          <w:bCs/>
          <w:sz w:val="21"/>
          <w:szCs w:val="21"/>
          <w:lang w:eastAsia="zh-CN"/>
        </w:rPr>
        <w:t>授权代表进行磋商。磋商内容</w:t>
      </w:r>
      <w:r>
        <w:rPr>
          <w:rFonts w:hint="eastAsia" w:ascii="宋体" w:hAnsi="宋体" w:cs="Times New Roman"/>
          <w:bCs/>
          <w:sz w:val="21"/>
          <w:szCs w:val="21"/>
          <w:lang w:eastAsia="zh-CN"/>
        </w:rPr>
        <w:t>为价格</w:t>
      </w:r>
      <w:r>
        <w:rPr>
          <w:rFonts w:ascii="宋体" w:hAnsi="宋体" w:cs="Times New Roman"/>
          <w:bCs/>
          <w:sz w:val="21"/>
          <w:szCs w:val="21"/>
          <w:lang w:eastAsia="zh-CN"/>
        </w:rPr>
        <w:t>，磋商小组与</w:t>
      </w:r>
      <w:r>
        <w:rPr>
          <w:rFonts w:hint="eastAsia" w:ascii="宋体" w:hAnsi="宋体" w:cs="Times New Roman"/>
          <w:bCs/>
          <w:sz w:val="21"/>
          <w:szCs w:val="21"/>
          <w:lang w:eastAsia="zh-CN"/>
        </w:rPr>
        <w:t>响应单位</w:t>
      </w:r>
      <w:r>
        <w:rPr>
          <w:rFonts w:ascii="宋体" w:hAnsi="宋体" w:cs="Times New Roman"/>
          <w:bCs/>
          <w:sz w:val="21"/>
          <w:szCs w:val="21"/>
          <w:lang w:eastAsia="zh-CN"/>
        </w:rPr>
        <w:t>授权代表仅能针对除磋商内容和要求中不得偏离部分以外的条款进行磋商。</w:t>
      </w:r>
    </w:p>
    <w:p w14:paraId="0FCBA5E7">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6.3.2</w:t>
      </w:r>
      <w:r>
        <w:rPr>
          <w:rFonts w:ascii="宋体" w:hAnsi="宋体" w:cs="Times New Roman"/>
          <w:sz w:val="21"/>
          <w:szCs w:val="21"/>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4856FB4F">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6.3.3</w:t>
      </w:r>
      <w:r>
        <w:rPr>
          <w:rFonts w:ascii="宋体" w:hAnsi="宋体" w:cs="Times New Roman"/>
          <w:sz w:val="21"/>
          <w:szCs w:val="21"/>
          <w:lang w:eastAsia="zh-CN"/>
        </w:rPr>
        <w:t>对磋商文件作出的实质性变动是磋商文件的有效组成部分，磋商小组应当及时通知所有参加磋商的</w:t>
      </w:r>
      <w:r>
        <w:rPr>
          <w:rFonts w:hint="eastAsia" w:ascii="宋体" w:hAnsi="宋体" w:cs="Times New Roman"/>
          <w:sz w:val="21"/>
          <w:szCs w:val="21"/>
          <w:lang w:eastAsia="zh-CN"/>
        </w:rPr>
        <w:t>响应单位</w:t>
      </w:r>
      <w:r>
        <w:rPr>
          <w:rFonts w:ascii="宋体" w:hAnsi="宋体" w:cs="Times New Roman"/>
          <w:sz w:val="21"/>
          <w:szCs w:val="21"/>
          <w:lang w:eastAsia="zh-CN"/>
        </w:rPr>
        <w:t>。</w:t>
      </w:r>
    </w:p>
    <w:p w14:paraId="6B6FE9D5">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6.3.4响应单位</w:t>
      </w:r>
      <w:r>
        <w:rPr>
          <w:rFonts w:ascii="宋体" w:hAnsi="宋体" w:cs="Times New Roman"/>
          <w:sz w:val="21"/>
          <w:szCs w:val="21"/>
          <w:lang w:eastAsia="zh-CN"/>
        </w:rPr>
        <w:t>应当按照磋商文件的变动情况和磋商小组的要求重新提交响应文件，并由其法定代表人或授权代表签字或者加盖公章。由授权代表签字的，应当附法定代表人授权书。</w:t>
      </w:r>
      <w:r>
        <w:rPr>
          <w:rFonts w:hint="eastAsia" w:ascii="宋体" w:hAnsi="宋体" w:cs="Times New Roman"/>
          <w:sz w:val="21"/>
          <w:szCs w:val="21"/>
          <w:lang w:eastAsia="zh-CN"/>
        </w:rPr>
        <w:t>响应单位</w:t>
      </w:r>
      <w:r>
        <w:rPr>
          <w:rFonts w:ascii="宋体" w:hAnsi="宋体" w:cs="Times New Roman"/>
          <w:sz w:val="21"/>
          <w:szCs w:val="21"/>
          <w:lang w:eastAsia="zh-CN"/>
        </w:rPr>
        <w:t>为自然人的，应当由本人签字并附身份证明。</w:t>
      </w:r>
    </w:p>
    <w:p w14:paraId="1EFCDC52">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6.3.5</w:t>
      </w:r>
      <w:r>
        <w:rPr>
          <w:rFonts w:ascii="宋体" w:hAnsi="宋体" w:cs="Times New Roman"/>
          <w:sz w:val="21"/>
          <w:szCs w:val="21"/>
          <w:lang w:eastAsia="zh-CN"/>
        </w:rPr>
        <w:t>最终报价</w:t>
      </w:r>
    </w:p>
    <w:p w14:paraId="1702F866">
      <w:pPr>
        <w:adjustRightInd w:val="0"/>
        <w:snapToGrid w:val="0"/>
        <w:spacing w:line="400" w:lineRule="exact"/>
        <w:jc w:val="both"/>
        <w:rPr>
          <w:rFonts w:ascii="宋体" w:hAnsi="宋体" w:cs="Times New Roman"/>
          <w:bCs/>
          <w:sz w:val="21"/>
          <w:szCs w:val="21"/>
          <w:lang w:eastAsia="zh-CN"/>
        </w:rPr>
      </w:pPr>
      <w:r>
        <w:rPr>
          <w:rFonts w:hint="eastAsia" w:ascii="宋体" w:hAnsi="宋体" w:cs="Times New Roman"/>
          <w:bCs/>
          <w:sz w:val="21"/>
          <w:szCs w:val="21"/>
          <w:lang w:eastAsia="zh-CN"/>
        </w:rPr>
        <w:t>磋商文件能够详细列明采购标的的技术、服务要求的，磋商结束后，磋商小组应当要求所有实质性响应的响应单位在规定时间内按磋商判顺序提交最后报价，提交最后报价的响应单位不得少于3家。</w:t>
      </w:r>
    </w:p>
    <w:p w14:paraId="3A50046E">
      <w:pPr>
        <w:tabs>
          <w:tab w:val="left" w:pos="641"/>
          <w:tab w:val="left" w:pos="851"/>
        </w:tabs>
        <w:adjustRightInd w:val="0"/>
        <w:snapToGrid w:val="0"/>
        <w:spacing w:line="400" w:lineRule="exact"/>
        <w:rPr>
          <w:rFonts w:ascii="宋体" w:hAnsi="宋体" w:cs="Times New Roman"/>
          <w:b/>
          <w:bCs/>
          <w:sz w:val="21"/>
          <w:szCs w:val="21"/>
          <w:lang w:eastAsia="zh-CN"/>
        </w:rPr>
      </w:pPr>
      <w:r>
        <w:rPr>
          <w:rFonts w:hint="eastAsia" w:ascii="宋体" w:hAnsi="宋体" w:cs="Times New Roman"/>
          <w:b/>
          <w:bCs/>
          <w:sz w:val="21"/>
          <w:szCs w:val="21"/>
          <w:lang w:eastAsia="zh-CN"/>
        </w:rPr>
        <w:t>6.4</w:t>
      </w:r>
      <w:r>
        <w:rPr>
          <w:rFonts w:ascii="宋体" w:hAnsi="宋体" w:cs="Times New Roman"/>
          <w:b/>
          <w:bCs/>
          <w:sz w:val="21"/>
          <w:szCs w:val="21"/>
          <w:lang w:eastAsia="zh-CN"/>
        </w:rPr>
        <w:t>比较与评价</w:t>
      </w:r>
    </w:p>
    <w:p w14:paraId="1CC07665">
      <w:pPr>
        <w:adjustRightInd w:val="0"/>
        <w:snapToGrid w:val="0"/>
        <w:spacing w:line="400" w:lineRule="exact"/>
        <w:jc w:val="both"/>
        <w:rPr>
          <w:rFonts w:ascii="宋体" w:hAnsi="宋体" w:cs="Times New Roman"/>
          <w:sz w:val="21"/>
          <w:szCs w:val="21"/>
          <w:lang w:eastAsia="zh-CN"/>
        </w:rPr>
      </w:pPr>
      <w:r>
        <w:rPr>
          <w:rFonts w:ascii="宋体" w:hAnsi="宋体" w:cs="Times New Roman"/>
          <w:sz w:val="21"/>
          <w:szCs w:val="21"/>
          <w:lang w:eastAsia="zh-CN"/>
        </w:rPr>
        <w:t>经磋商确定最终采购需求和提交最后报价的</w:t>
      </w:r>
      <w:r>
        <w:rPr>
          <w:rFonts w:hint="eastAsia" w:ascii="宋体" w:hAnsi="宋体" w:cs="Times New Roman"/>
          <w:sz w:val="21"/>
          <w:szCs w:val="21"/>
          <w:lang w:eastAsia="zh-CN"/>
        </w:rPr>
        <w:t>响应单位</w:t>
      </w:r>
      <w:r>
        <w:rPr>
          <w:rFonts w:ascii="宋体" w:hAnsi="宋体" w:cs="Times New Roman"/>
          <w:sz w:val="21"/>
          <w:szCs w:val="21"/>
          <w:lang w:eastAsia="zh-CN"/>
        </w:rPr>
        <w:t>后，由磋商小组采用综合评分法对提交最后报价的</w:t>
      </w:r>
      <w:r>
        <w:rPr>
          <w:rFonts w:hint="eastAsia" w:ascii="宋体" w:hAnsi="宋体" w:cs="Times New Roman"/>
          <w:sz w:val="21"/>
          <w:szCs w:val="21"/>
          <w:lang w:eastAsia="zh-CN"/>
        </w:rPr>
        <w:t>响应单位</w:t>
      </w:r>
      <w:r>
        <w:rPr>
          <w:rFonts w:ascii="宋体" w:hAnsi="宋体" w:cs="Times New Roman"/>
          <w:sz w:val="21"/>
          <w:szCs w:val="21"/>
          <w:lang w:eastAsia="zh-CN"/>
        </w:rPr>
        <w:t>的响应文件和最后报价进行综合评分。</w:t>
      </w:r>
    </w:p>
    <w:p w14:paraId="3E0DADBD">
      <w:pPr>
        <w:tabs>
          <w:tab w:val="left" w:pos="641"/>
          <w:tab w:val="left" w:pos="851"/>
        </w:tabs>
        <w:adjustRightInd w:val="0"/>
        <w:snapToGrid w:val="0"/>
        <w:spacing w:line="400" w:lineRule="exact"/>
        <w:rPr>
          <w:rFonts w:ascii="宋体" w:hAnsi="宋体" w:cs="Times New Roman"/>
          <w:b/>
          <w:bCs/>
          <w:sz w:val="21"/>
          <w:szCs w:val="21"/>
          <w:lang w:eastAsia="zh-CN"/>
        </w:rPr>
      </w:pPr>
      <w:r>
        <w:rPr>
          <w:rFonts w:hint="eastAsia" w:ascii="宋体" w:hAnsi="宋体" w:cs="Times New Roman"/>
          <w:b/>
          <w:bCs/>
          <w:sz w:val="21"/>
          <w:szCs w:val="21"/>
          <w:lang w:eastAsia="zh-CN"/>
        </w:rPr>
        <w:t>6.5</w:t>
      </w:r>
      <w:r>
        <w:rPr>
          <w:rFonts w:ascii="宋体" w:hAnsi="宋体" w:cs="Times New Roman"/>
          <w:b/>
          <w:bCs/>
          <w:sz w:val="21"/>
          <w:szCs w:val="21"/>
          <w:lang w:eastAsia="zh-CN"/>
        </w:rPr>
        <w:t>推荐成交候选</w:t>
      </w:r>
      <w:r>
        <w:rPr>
          <w:rFonts w:hint="eastAsia" w:ascii="宋体" w:hAnsi="宋体" w:cs="Times New Roman"/>
          <w:b/>
          <w:bCs/>
          <w:sz w:val="21"/>
          <w:szCs w:val="21"/>
          <w:lang w:eastAsia="zh-CN"/>
        </w:rPr>
        <w:t>响应单位</w:t>
      </w:r>
      <w:r>
        <w:rPr>
          <w:rFonts w:ascii="宋体" w:hAnsi="宋体" w:cs="Times New Roman"/>
          <w:b/>
          <w:bCs/>
          <w:sz w:val="21"/>
          <w:szCs w:val="21"/>
          <w:lang w:eastAsia="zh-CN"/>
        </w:rPr>
        <w:t>名单</w:t>
      </w:r>
    </w:p>
    <w:p w14:paraId="246B5017">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6.5.1</w:t>
      </w:r>
      <w:r>
        <w:rPr>
          <w:rFonts w:ascii="宋体" w:hAnsi="宋体" w:cs="Times New Roman"/>
          <w:sz w:val="21"/>
          <w:szCs w:val="21"/>
          <w:lang w:eastAsia="zh-CN"/>
        </w:rPr>
        <w:t>磋商小组将根据综合评分情况，按照评审得分由高到低顺序推荐3名成交候选</w:t>
      </w:r>
      <w:r>
        <w:rPr>
          <w:rFonts w:hint="eastAsia" w:ascii="宋体" w:hAnsi="宋体" w:cs="Times New Roman"/>
          <w:sz w:val="21"/>
          <w:szCs w:val="21"/>
          <w:lang w:eastAsia="zh-CN"/>
        </w:rPr>
        <w:t>响应单位</w:t>
      </w:r>
      <w:r>
        <w:rPr>
          <w:rFonts w:ascii="宋体" w:hAnsi="宋体" w:cs="Times New Roman"/>
          <w:sz w:val="21"/>
          <w:szCs w:val="21"/>
          <w:lang w:eastAsia="zh-CN"/>
        </w:rPr>
        <w:t>，并编写评审报告。</w:t>
      </w:r>
    </w:p>
    <w:p w14:paraId="13703B70">
      <w:pPr>
        <w:tabs>
          <w:tab w:val="left" w:pos="993"/>
        </w:tabs>
        <w:adjustRightInd w:val="0"/>
        <w:snapToGrid w:val="0"/>
        <w:spacing w:line="400" w:lineRule="exact"/>
        <w:jc w:val="both"/>
        <w:rPr>
          <w:rFonts w:ascii="宋体" w:hAnsi="宋体" w:cs="Times New Roman"/>
          <w:sz w:val="21"/>
          <w:szCs w:val="21"/>
          <w:lang w:eastAsia="zh-CN"/>
        </w:rPr>
      </w:pPr>
      <w:r>
        <w:rPr>
          <w:rFonts w:hint="eastAsia" w:ascii="宋体" w:hAnsi="宋体" w:cs="Times New Roman"/>
          <w:sz w:val="21"/>
          <w:szCs w:val="21"/>
          <w:lang w:eastAsia="zh-CN"/>
        </w:rPr>
        <w:t>6.5.2</w:t>
      </w:r>
      <w:r>
        <w:rPr>
          <w:rFonts w:ascii="宋体" w:hAnsi="宋体" w:cs="Times New Roman"/>
          <w:sz w:val="21"/>
          <w:szCs w:val="21"/>
          <w:lang w:eastAsia="zh-CN"/>
        </w:rPr>
        <w:t>评审报告将由磋商小组全体人员签字认可。磋商小组成员对评审报告有异议的，磋商小组按照少数服从多数的原则推荐成交候选</w:t>
      </w:r>
      <w:r>
        <w:rPr>
          <w:rFonts w:hint="eastAsia" w:ascii="宋体" w:hAnsi="宋体" w:cs="Times New Roman"/>
          <w:sz w:val="21"/>
          <w:szCs w:val="21"/>
          <w:lang w:eastAsia="zh-CN"/>
        </w:rPr>
        <w:t>响应单位</w:t>
      </w:r>
      <w:r>
        <w:rPr>
          <w:rFonts w:ascii="宋体" w:hAnsi="宋体" w:cs="Times New Roman"/>
          <w:sz w:val="21"/>
          <w:szCs w:val="21"/>
          <w:lang w:eastAsia="zh-CN"/>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9FBFE8">
      <w:pPr>
        <w:keepNext w:val="0"/>
        <w:keepLines w:val="0"/>
        <w:pageBreakBefore w:val="0"/>
        <w:widowControl w:val="0"/>
        <w:tabs>
          <w:tab w:val="left" w:pos="641"/>
          <w:tab w:val="left" w:pos="851"/>
        </w:tabs>
        <w:kinsoku/>
        <w:wordWrap/>
        <w:overflowPunct/>
        <w:topLinePunct w:val="0"/>
        <w:autoSpaceDE/>
        <w:autoSpaceDN/>
        <w:bidi w:val="0"/>
        <w:adjustRightInd w:val="0"/>
        <w:snapToGrid w:val="0"/>
        <w:spacing w:line="400" w:lineRule="exact"/>
        <w:textAlignment w:val="auto"/>
        <w:rPr>
          <w:rFonts w:ascii="宋体" w:hAnsi="宋体" w:cs="Times New Roman"/>
          <w:b/>
          <w:bCs/>
          <w:sz w:val="21"/>
          <w:szCs w:val="21"/>
          <w:lang w:eastAsia="zh-CN"/>
        </w:rPr>
      </w:pPr>
      <w:r>
        <w:rPr>
          <w:rFonts w:hint="eastAsia" w:ascii="宋体" w:hAnsi="宋体" w:cs="Times New Roman"/>
          <w:b/>
          <w:bCs/>
          <w:sz w:val="21"/>
          <w:szCs w:val="21"/>
          <w:lang w:eastAsia="zh-CN"/>
        </w:rPr>
        <w:t>6.6</w:t>
      </w:r>
      <w:r>
        <w:rPr>
          <w:rFonts w:ascii="宋体" w:hAnsi="宋体" w:cs="Times New Roman"/>
          <w:b/>
          <w:bCs/>
          <w:sz w:val="21"/>
          <w:szCs w:val="21"/>
          <w:lang w:eastAsia="zh-CN"/>
        </w:rPr>
        <w:t>成交</w:t>
      </w:r>
      <w:r>
        <w:rPr>
          <w:rFonts w:hint="eastAsia" w:ascii="宋体" w:hAnsi="宋体" w:cs="Times New Roman"/>
          <w:b/>
          <w:bCs/>
          <w:sz w:val="21"/>
          <w:szCs w:val="21"/>
          <w:lang w:eastAsia="zh-CN"/>
        </w:rPr>
        <w:t>响应单位</w:t>
      </w:r>
    </w:p>
    <w:p w14:paraId="5FAC06D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ascii="宋体" w:hAnsi="宋体" w:cs="Times New Roman"/>
          <w:sz w:val="21"/>
          <w:szCs w:val="21"/>
          <w:lang w:eastAsia="zh-CN"/>
        </w:rPr>
      </w:pPr>
      <w:r>
        <w:rPr>
          <w:rFonts w:hint="eastAsia" w:ascii="宋体" w:hAnsi="宋体" w:cs="Times New Roman"/>
          <w:sz w:val="21"/>
          <w:szCs w:val="21"/>
          <w:lang w:eastAsia="zh-CN"/>
        </w:rPr>
        <w:t>6.6.1采购人或者采购代理机构应当在成交响应单位确定后1个工作日内，在省级以上财政部门指定的政府采购信息发布媒体上公告成交结果，同时向成交响应单位发出成交通知书，并将磋商文件随成交结果同时公告。公告期限为1个工作日。</w:t>
      </w:r>
    </w:p>
    <w:p w14:paraId="418DEE57">
      <w:pPr>
        <w:pStyle w:val="3"/>
        <w:keepNext w:val="0"/>
        <w:keepLines w:val="0"/>
        <w:pageBreakBefore w:val="0"/>
        <w:widowControl w:val="0"/>
        <w:tabs>
          <w:tab w:val="left" w:pos="284"/>
        </w:tabs>
        <w:kinsoku/>
        <w:wordWrap/>
        <w:overflowPunct/>
        <w:topLinePunct w:val="0"/>
        <w:autoSpaceDE/>
        <w:autoSpaceDN/>
        <w:bidi w:val="0"/>
        <w:adjustRightInd w:val="0"/>
        <w:snapToGrid w:val="0"/>
        <w:spacing w:line="440" w:lineRule="exact"/>
        <w:textAlignment w:val="auto"/>
        <w:rPr>
          <w:rFonts w:ascii="宋体" w:hAnsi="宋体" w:eastAsia="宋体"/>
          <w:b/>
          <w:bCs/>
          <w:sz w:val="21"/>
          <w:szCs w:val="21"/>
          <w:lang w:eastAsia="zh-CN"/>
        </w:rPr>
      </w:pPr>
      <w:bookmarkStart w:id="27" w:name="_Toc25082"/>
      <w:bookmarkStart w:id="28" w:name="_Toc5868"/>
      <w:r>
        <w:rPr>
          <w:rFonts w:hint="eastAsia" w:ascii="宋体" w:hAnsi="宋体" w:eastAsia="宋体"/>
          <w:b/>
          <w:bCs/>
          <w:sz w:val="21"/>
          <w:szCs w:val="21"/>
          <w:lang w:eastAsia="zh-CN"/>
        </w:rPr>
        <w:t>7.合同授予</w:t>
      </w:r>
      <w:bookmarkEnd w:id="27"/>
      <w:bookmarkEnd w:id="28"/>
    </w:p>
    <w:p w14:paraId="52EE029C">
      <w:pPr>
        <w:keepNext w:val="0"/>
        <w:keepLines w:val="0"/>
        <w:pageBreakBefore w:val="0"/>
        <w:widowControl w:val="0"/>
        <w:tabs>
          <w:tab w:val="left" w:pos="709"/>
        </w:tabs>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bookmarkStart w:id="29" w:name="_Toc137651730"/>
      <w:bookmarkStart w:id="30" w:name="_Toc127973031"/>
      <w:r>
        <w:rPr>
          <w:rFonts w:hint="eastAsia" w:ascii="宋体" w:hAnsi="宋体" w:cs="Times New Roman"/>
          <w:sz w:val="21"/>
          <w:szCs w:val="21"/>
          <w:lang w:eastAsia="zh-CN"/>
        </w:rPr>
        <w:t>7.1采购人与成交响应单位应当在成交通知书发出之日起1个工作日内，按照磋商文件确定的合同文本以及采购标的、工期要求、采购金额、采购数量、技术和服务要求等事项签订政府采购合同。</w:t>
      </w:r>
    </w:p>
    <w:p w14:paraId="45623D67">
      <w:pPr>
        <w:keepNext w:val="0"/>
        <w:keepLines w:val="0"/>
        <w:pageBreakBefore w:val="0"/>
        <w:widowControl w:val="0"/>
        <w:tabs>
          <w:tab w:val="left" w:pos="709"/>
        </w:tabs>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hint="eastAsia" w:ascii="宋体" w:hAnsi="宋体" w:cs="Times New Roman"/>
          <w:sz w:val="21"/>
          <w:szCs w:val="21"/>
          <w:lang w:eastAsia="zh-CN"/>
        </w:rPr>
        <w:t>7.2采购人不得向成交响应单位提出超出磋商文件以外的任何要求作为签订合同的条件，不得与成交响应单位订立背离磋商文件确定的合同文本以及采购标的、工期要求、采购金额、采购数量、技术和服务要求等实质性内容的协议。</w:t>
      </w:r>
    </w:p>
    <w:p w14:paraId="73E18585">
      <w:pPr>
        <w:keepNext w:val="0"/>
        <w:keepLines w:val="0"/>
        <w:pageBreakBefore w:val="0"/>
        <w:widowControl w:val="0"/>
        <w:tabs>
          <w:tab w:val="left" w:pos="709"/>
        </w:tabs>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hint="eastAsia" w:ascii="宋体" w:hAnsi="宋体" w:cs="Times New Roman"/>
          <w:sz w:val="21"/>
          <w:szCs w:val="21"/>
          <w:lang w:eastAsia="zh-CN"/>
        </w:rPr>
        <w:t>7.3</w:t>
      </w:r>
      <w:r>
        <w:rPr>
          <w:rFonts w:ascii="宋体" w:hAnsi="宋体" w:cs="Times New Roman"/>
          <w:sz w:val="21"/>
          <w:szCs w:val="21"/>
          <w:lang w:eastAsia="zh-CN"/>
        </w:rPr>
        <w:t>成交</w:t>
      </w:r>
      <w:r>
        <w:rPr>
          <w:rFonts w:hint="eastAsia" w:ascii="宋体" w:hAnsi="宋体" w:cs="Times New Roman"/>
          <w:sz w:val="21"/>
          <w:szCs w:val="21"/>
          <w:lang w:eastAsia="zh-CN"/>
        </w:rPr>
        <w:t>响应单位</w:t>
      </w:r>
      <w:r>
        <w:rPr>
          <w:rFonts w:ascii="宋体" w:hAnsi="宋体" w:cs="Times New Roman"/>
          <w:sz w:val="21"/>
          <w:szCs w:val="21"/>
          <w:lang w:eastAsia="zh-CN"/>
        </w:rPr>
        <w:t>拒绝签订政府采购合同的，采购人可以按照</w:t>
      </w:r>
      <w:r>
        <w:rPr>
          <w:rFonts w:hint="eastAsia" w:ascii="宋体" w:hAnsi="宋体" w:cs="Times New Roman"/>
          <w:sz w:val="21"/>
          <w:szCs w:val="21"/>
          <w:lang w:eastAsia="zh-CN"/>
        </w:rPr>
        <w:t>相关法律法规</w:t>
      </w:r>
      <w:r>
        <w:rPr>
          <w:rFonts w:ascii="宋体" w:hAnsi="宋体" w:cs="Times New Roman"/>
          <w:sz w:val="21"/>
          <w:szCs w:val="21"/>
          <w:lang w:eastAsia="zh-CN"/>
        </w:rPr>
        <w:t>规定的原则确定其他</w:t>
      </w:r>
      <w:r>
        <w:rPr>
          <w:rFonts w:hint="eastAsia" w:ascii="宋体" w:hAnsi="宋体" w:cs="Times New Roman"/>
          <w:sz w:val="21"/>
          <w:szCs w:val="21"/>
          <w:lang w:eastAsia="zh-CN"/>
        </w:rPr>
        <w:t>响应单位</w:t>
      </w:r>
      <w:r>
        <w:rPr>
          <w:rFonts w:ascii="宋体" w:hAnsi="宋体" w:cs="Times New Roman"/>
          <w:sz w:val="21"/>
          <w:szCs w:val="21"/>
          <w:lang w:eastAsia="zh-CN"/>
        </w:rPr>
        <w:t>作为成交</w:t>
      </w:r>
      <w:r>
        <w:rPr>
          <w:rFonts w:hint="eastAsia" w:ascii="宋体" w:hAnsi="宋体" w:cs="Times New Roman"/>
          <w:sz w:val="21"/>
          <w:szCs w:val="21"/>
          <w:lang w:eastAsia="zh-CN"/>
        </w:rPr>
        <w:t>响应单位</w:t>
      </w:r>
      <w:r>
        <w:rPr>
          <w:rFonts w:ascii="宋体" w:hAnsi="宋体" w:cs="Times New Roman"/>
          <w:sz w:val="21"/>
          <w:szCs w:val="21"/>
          <w:lang w:eastAsia="zh-CN"/>
        </w:rPr>
        <w:t>并签订政府采购合同，也可以重新开展采购活动。拒绝签订政府采购合同的成交</w:t>
      </w:r>
      <w:r>
        <w:rPr>
          <w:rFonts w:hint="eastAsia" w:ascii="宋体" w:hAnsi="宋体" w:cs="Times New Roman"/>
          <w:sz w:val="21"/>
          <w:szCs w:val="21"/>
          <w:lang w:eastAsia="zh-CN"/>
        </w:rPr>
        <w:t>响应单位</w:t>
      </w:r>
      <w:r>
        <w:rPr>
          <w:rFonts w:ascii="宋体" w:hAnsi="宋体" w:cs="Times New Roman"/>
          <w:sz w:val="21"/>
          <w:szCs w:val="21"/>
          <w:lang w:eastAsia="zh-CN"/>
        </w:rPr>
        <w:t>不得参加对该项目重新开展的采购活动。</w:t>
      </w:r>
    </w:p>
    <w:p w14:paraId="70A78AB0">
      <w:pPr>
        <w:keepNext w:val="0"/>
        <w:keepLines w:val="0"/>
        <w:pageBreakBefore w:val="0"/>
        <w:widowControl w:val="0"/>
        <w:tabs>
          <w:tab w:val="left" w:pos="709"/>
        </w:tabs>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hint="eastAsia" w:ascii="宋体" w:hAnsi="宋体" w:cs="Times New Roman"/>
          <w:sz w:val="21"/>
          <w:szCs w:val="21"/>
          <w:lang w:eastAsia="zh-CN"/>
        </w:rPr>
        <w:t>7.4</w:t>
      </w:r>
      <w:r>
        <w:rPr>
          <w:rFonts w:ascii="宋体" w:hAnsi="宋体" w:cs="Times New Roman"/>
          <w:sz w:val="21"/>
          <w:szCs w:val="21"/>
          <w:lang w:eastAsia="zh-CN"/>
        </w:rPr>
        <w:t>出现下列情形之一的，采购人或者采购代理机构应当终止竞争性磋商采购活动，发布项目终止公告并说明原因，重新开展采购活动：</w:t>
      </w:r>
    </w:p>
    <w:p w14:paraId="33F196D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ascii="宋体" w:hAnsi="宋体" w:cs="Times New Roman"/>
          <w:sz w:val="21"/>
          <w:szCs w:val="21"/>
          <w:lang w:eastAsia="zh-CN"/>
        </w:rPr>
        <w:t>（1）因情况变化，不再符合规定的竞争性磋商采购方式适用情形的；</w:t>
      </w:r>
    </w:p>
    <w:p w14:paraId="4C797F4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ascii="宋体" w:hAnsi="宋体" w:cs="Times New Roman"/>
          <w:sz w:val="21"/>
          <w:szCs w:val="21"/>
          <w:lang w:eastAsia="zh-CN"/>
        </w:rPr>
        <w:t>（2）出现影响采购公正的违法、违规行为的；</w:t>
      </w:r>
    </w:p>
    <w:p w14:paraId="64AAB26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hint="eastAsia" w:ascii="宋体" w:hAnsi="宋体" w:cs="Times New Roman"/>
          <w:sz w:val="21"/>
          <w:szCs w:val="21"/>
          <w:lang w:eastAsia="zh-CN"/>
        </w:rPr>
        <w:t>（3）除本符合《政府采购竞争性磋商采购方式管理暂行办法》第三条（四）市场竞争不充分的科研项目以及需要扶持的科技成果转化项目和《财政部关于政府采购竞争性磋商采购方式管理暂行办法有关问题的补充通知》财库〔2015〕124号规定的情形外，在采购过程中符合要求的响应单位或者报价未超过采购预算的响应单位不足3家的。</w:t>
      </w:r>
    </w:p>
    <w:p w14:paraId="1FDB5E25">
      <w:pPr>
        <w:keepNext w:val="0"/>
        <w:keepLines w:val="0"/>
        <w:pageBreakBefore w:val="0"/>
        <w:widowControl w:val="0"/>
        <w:tabs>
          <w:tab w:val="left" w:pos="709"/>
        </w:tabs>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hint="eastAsia" w:ascii="宋体" w:hAnsi="宋体" w:cs="Times New Roman"/>
          <w:sz w:val="21"/>
          <w:szCs w:val="21"/>
          <w:lang w:eastAsia="zh-CN"/>
        </w:rPr>
        <w:t>7.5</w:t>
      </w:r>
      <w:r>
        <w:rPr>
          <w:rFonts w:ascii="宋体" w:hAnsi="宋体" w:cs="Times New Roman"/>
          <w:sz w:val="21"/>
          <w:szCs w:val="21"/>
          <w:lang w:eastAsia="zh-CN"/>
        </w:rPr>
        <w:t>在采购活动中因重大变故，采购任务取消的，采购人或者采购代理机构应当终止采购活动，通知所有参加采购活动的</w:t>
      </w:r>
      <w:r>
        <w:rPr>
          <w:rFonts w:hint="eastAsia" w:ascii="宋体" w:hAnsi="宋体" w:cs="Times New Roman"/>
          <w:sz w:val="21"/>
          <w:szCs w:val="21"/>
          <w:lang w:eastAsia="zh-CN"/>
        </w:rPr>
        <w:t>响应单位</w:t>
      </w:r>
      <w:r>
        <w:rPr>
          <w:rFonts w:ascii="宋体" w:hAnsi="宋体" w:cs="Times New Roman"/>
          <w:sz w:val="21"/>
          <w:szCs w:val="21"/>
          <w:lang w:eastAsia="zh-CN"/>
        </w:rPr>
        <w:t>，并将项目实施情况和采购任务取消原因报送本级财政部门。</w:t>
      </w:r>
    </w:p>
    <w:p w14:paraId="7563A8A6">
      <w:pPr>
        <w:keepNext w:val="0"/>
        <w:keepLines w:val="0"/>
        <w:pageBreakBefore w:val="0"/>
        <w:widowControl w:val="0"/>
        <w:tabs>
          <w:tab w:val="left" w:pos="709"/>
        </w:tabs>
        <w:kinsoku/>
        <w:wordWrap/>
        <w:overflowPunct/>
        <w:topLinePunct w:val="0"/>
        <w:autoSpaceDE/>
        <w:autoSpaceDN/>
        <w:bidi w:val="0"/>
        <w:adjustRightInd w:val="0"/>
        <w:snapToGrid w:val="0"/>
        <w:spacing w:line="400" w:lineRule="exact"/>
        <w:jc w:val="both"/>
        <w:textAlignment w:val="auto"/>
        <w:rPr>
          <w:rFonts w:ascii="宋体" w:hAnsi="宋体" w:cs="Times New Roman"/>
          <w:sz w:val="21"/>
          <w:szCs w:val="21"/>
          <w:lang w:eastAsia="zh-CN"/>
        </w:rPr>
      </w:pPr>
      <w:r>
        <w:rPr>
          <w:rFonts w:hint="eastAsia" w:ascii="宋体" w:hAnsi="宋体" w:cs="Times New Roman"/>
          <w:sz w:val="21"/>
          <w:szCs w:val="21"/>
          <w:lang w:eastAsia="zh-CN"/>
        </w:rPr>
        <w:t>7.6履约保证金（不要求）</w:t>
      </w:r>
    </w:p>
    <w:p w14:paraId="50552922">
      <w:pPr>
        <w:pStyle w:val="3"/>
        <w:keepNext w:val="0"/>
        <w:keepLines w:val="0"/>
        <w:pageBreakBefore w:val="0"/>
        <w:widowControl w:val="0"/>
        <w:tabs>
          <w:tab w:val="left" w:pos="284"/>
        </w:tabs>
        <w:kinsoku/>
        <w:wordWrap/>
        <w:overflowPunct/>
        <w:topLinePunct w:val="0"/>
        <w:autoSpaceDE/>
        <w:autoSpaceDN/>
        <w:bidi w:val="0"/>
        <w:adjustRightInd w:val="0"/>
        <w:snapToGrid w:val="0"/>
        <w:spacing w:line="440" w:lineRule="exact"/>
        <w:jc w:val="both"/>
        <w:textAlignment w:val="auto"/>
        <w:rPr>
          <w:rFonts w:ascii="宋体" w:hAnsi="宋体" w:eastAsia="宋体"/>
          <w:b/>
          <w:bCs/>
          <w:sz w:val="21"/>
          <w:szCs w:val="21"/>
          <w:lang w:eastAsia="zh-CN"/>
        </w:rPr>
      </w:pPr>
      <w:bookmarkStart w:id="31" w:name="_Toc14799"/>
      <w:bookmarkStart w:id="32" w:name="_Toc6117"/>
      <w:r>
        <w:rPr>
          <w:rFonts w:hint="eastAsia" w:ascii="宋体" w:hAnsi="宋体" w:eastAsia="宋体"/>
          <w:b/>
          <w:bCs/>
          <w:sz w:val="21"/>
          <w:szCs w:val="21"/>
          <w:lang w:eastAsia="zh-CN"/>
        </w:rPr>
        <w:t>8.纪律和监督</w:t>
      </w:r>
      <w:bookmarkEnd w:id="31"/>
      <w:bookmarkEnd w:id="32"/>
    </w:p>
    <w:p w14:paraId="4C672FC9">
      <w:pPr>
        <w:pStyle w:val="18"/>
        <w:keepNext w:val="0"/>
        <w:keepLines w:val="0"/>
        <w:pageBreakBefore w:val="0"/>
        <w:widowControl w:val="0"/>
        <w:tabs>
          <w:tab w:val="left" w:pos="709"/>
        </w:tabs>
        <w:kinsoku/>
        <w:wordWrap/>
        <w:overflowPunct/>
        <w:topLinePunct w:val="0"/>
        <w:autoSpaceDE/>
        <w:autoSpaceDN/>
        <w:bidi w:val="0"/>
        <w:adjustRightInd w:val="0"/>
        <w:snapToGrid w:val="0"/>
        <w:spacing w:before="0" w:beforeAutospacing="0" w:after="0" w:afterAutospacing="0" w:line="440" w:lineRule="exact"/>
        <w:ind w:firstLine="420" w:firstLineChars="200"/>
        <w:jc w:val="both"/>
        <w:textAlignment w:val="auto"/>
        <w:rPr>
          <w:rFonts w:cs="Times New Roman"/>
          <w:sz w:val="21"/>
          <w:szCs w:val="21"/>
        </w:rPr>
      </w:pPr>
      <w:r>
        <w:rPr>
          <w:rFonts w:hint="eastAsia" w:cs="Times New Roman"/>
          <w:sz w:val="21"/>
          <w:szCs w:val="21"/>
        </w:rPr>
        <w:t>8.1采购人、采购代理机构应当按照政府采购法和本办法的规定组织开展竞争性磋商，并采取必要措施，保证磋商在严格保密的情况下进行。任何单位和个人不得非法干预、影响磋商过程和结果。</w:t>
      </w:r>
    </w:p>
    <w:p w14:paraId="7AAFF666">
      <w:pPr>
        <w:pStyle w:val="18"/>
        <w:keepNext w:val="0"/>
        <w:keepLines w:val="0"/>
        <w:pageBreakBefore w:val="0"/>
        <w:widowControl w:val="0"/>
        <w:tabs>
          <w:tab w:val="left" w:pos="709"/>
        </w:tabs>
        <w:kinsoku/>
        <w:wordWrap/>
        <w:overflowPunct/>
        <w:topLinePunct w:val="0"/>
        <w:autoSpaceDE/>
        <w:autoSpaceDN/>
        <w:bidi w:val="0"/>
        <w:adjustRightInd w:val="0"/>
        <w:snapToGrid w:val="0"/>
        <w:spacing w:before="0" w:beforeAutospacing="0" w:after="0" w:afterAutospacing="0" w:line="440" w:lineRule="exact"/>
        <w:ind w:firstLine="420" w:firstLineChars="200"/>
        <w:jc w:val="both"/>
        <w:textAlignment w:val="auto"/>
        <w:rPr>
          <w:rFonts w:cs="Times New Roman"/>
          <w:sz w:val="21"/>
          <w:szCs w:val="21"/>
        </w:rPr>
      </w:pPr>
      <w:r>
        <w:rPr>
          <w:rFonts w:hint="eastAsia" w:cs="Times New Roman"/>
          <w:sz w:val="21"/>
          <w:szCs w:val="21"/>
        </w:rPr>
        <w:t>8.2</w:t>
      </w:r>
      <w:r>
        <w:rPr>
          <w:rFonts w:cs="Times New Roman"/>
          <w:sz w:val="21"/>
          <w:szCs w:val="21"/>
        </w:rPr>
        <w:t>参与磋商活动的</w:t>
      </w:r>
      <w:r>
        <w:rPr>
          <w:rFonts w:hint="eastAsia" w:cs="Times New Roman"/>
          <w:sz w:val="21"/>
          <w:szCs w:val="21"/>
          <w:lang w:eastAsia="zh-CN"/>
        </w:rPr>
        <w:t>响应单位</w:t>
      </w:r>
      <w:r>
        <w:rPr>
          <w:rFonts w:cs="Times New Roman"/>
          <w:sz w:val="21"/>
          <w:szCs w:val="21"/>
        </w:rPr>
        <w:t>应对磋商文件和响应文件中的涉及国家秘密和商业秘密进行保密，未经采购人书面同意不得扩散，否则承担相关法律责任。</w:t>
      </w:r>
    </w:p>
    <w:p w14:paraId="47F5B92A">
      <w:pPr>
        <w:pStyle w:val="18"/>
        <w:keepNext w:val="0"/>
        <w:keepLines w:val="0"/>
        <w:pageBreakBefore w:val="0"/>
        <w:widowControl w:val="0"/>
        <w:tabs>
          <w:tab w:val="left" w:pos="709"/>
        </w:tabs>
        <w:kinsoku/>
        <w:wordWrap/>
        <w:overflowPunct/>
        <w:topLinePunct w:val="0"/>
        <w:autoSpaceDE/>
        <w:autoSpaceDN/>
        <w:bidi w:val="0"/>
        <w:adjustRightInd w:val="0"/>
        <w:snapToGrid w:val="0"/>
        <w:spacing w:before="0" w:beforeAutospacing="0" w:after="0" w:afterAutospacing="0" w:line="440" w:lineRule="exact"/>
        <w:ind w:firstLine="420" w:firstLineChars="200"/>
        <w:jc w:val="both"/>
        <w:textAlignment w:val="auto"/>
        <w:rPr>
          <w:rFonts w:cs="Times New Roman"/>
          <w:sz w:val="21"/>
          <w:szCs w:val="21"/>
        </w:rPr>
      </w:pPr>
      <w:r>
        <w:rPr>
          <w:rFonts w:hint="eastAsia" w:cs="Times New Roman"/>
          <w:sz w:val="21"/>
          <w:szCs w:val="21"/>
        </w:rPr>
        <w:t>8.3评审专家应当遵守评审工作纪律，不得泄露评审情况和评审中获悉的商业秘密。磋商小组在评审过程中发现</w:t>
      </w:r>
      <w:r>
        <w:rPr>
          <w:rFonts w:hint="eastAsia" w:cs="Times New Roman"/>
          <w:sz w:val="21"/>
          <w:szCs w:val="21"/>
          <w:lang w:eastAsia="zh-CN"/>
        </w:rPr>
        <w:t>响应单位</w:t>
      </w:r>
      <w:r>
        <w:rPr>
          <w:rFonts w:hint="eastAsia" w:cs="Times New Roman"/>
          <w:sz w:val="21"/>
          <w:szCs w:val="21"/>
        </w:rPr>
        <w:t>有行贿、提供虚假材料或者串通等违法行为的，应当及时向财政部门报告。评审专家在评审过程中受到非法干涉的，应当及时向财政、监察等部门举报。</w:t>
      </w:r>
    </w:p>
    <w:p w14:paraId="235983C6">
      <w:pPr>
        <w:pStyle w:val="3"/>
        <w:keepNext w:val="0"/>
        <w:keepLines w:val="0"/>
        <w:pageBreakBefore w:val="0"/>
        <w:widowControl w:val="0"/>
        <w:tabs>
          <w:tab w:val="left" w:pos="284"/>
        </w:tabs>
        <w:kinsoku/>
        <w:wordWrap/>
        <w:overflowPunct/>
        <w:topLinePunct w:val="0"/>
        <w:autoSpaceDE/>
        <w:autoSpaceDN/>
        <w:bidi w:val="0"/>
        <w:adjustRightInd w:val="0"/>
        <w:snapToGrid w:val="0"/>
        <w:spacing w:line="440" w:lineRule="exact"/>
        <w:jc w:val="both"/>
        <w:textAlignment w:val="auto"/>
        <w:rPr>
          <w:rFonts w:ascii="宋体" w:hAnsi="宋体" w:eastAsia="宋体"/>
          <w:b/>
          <w:bCs/>
          <w:sz w:val="21"/>
          <w:szCs w:val="21"/>
          <w:lang w:eastAsia="zh-CN"/>
        </w:rPr>
      </w:pPr>
      <w:bookmarkStart w:id="33" w:name="_Toc15763"/>
      <w:bookmarkStart w:id="34" w:name="_Toc4594"/>
      <w:r>
        <w:rPr>
          <w:rFonts w:hint="eastAsia" w:ascii="宋体" w:hAnsi="宋体" w:eastAsia="宋体"/>
          <w:b/>
          <w:bCs/>
          <w:sz w:val="21"/>
          <w:szCs w:val="21"/>
          <w:lang w:eastAsia="zh-CN"/>
        </w:rPr>
        <w:t>9.</w:t>
      </w:r>
      <w:r>
        <w:rPr>
          <w:rFonts w:ascii="宋体" w:hAnsi="宋体" w:eastAsia="宋体"/>
          <w:b/>
          <w:bCs/>
          <w:sz w:val="21"/>
          <w:szCs w:val="21"/>
          <w:lang w:eastAsia="zh-CN"/>
        </w:rPr>
        <w:t>质疑投诉</w:t>
      </w:r>
      <w:bookmarkEnd w:id="33"/>
      <w:bookmarkEnd w:id="34"/>
    </w:p>
    <w:p w14:paraId="45B5F6B4">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ascii="宋体" w:hAnsi="宋体" w:cs="Times New Roman"/>
          <w:sz w:val="21"/>
          <w:szCs w:val="21"/>
          <w:lang w:eastAsia="zh-CN"/>
        </w:rPr>
      </w:pPr>
      <w:r>
        <w:rPr>
          <w:rFonts w:hint="eastAsia" w:ascii="宋体" w:hAnsi="宋体" w:cs="Times New Roman"/>
          <w:sz w:val="21"/>
          <w:szCs w:val="21"/>
          <w:lang w:eastAsia="zh-CN"/>
        </w:rPr>
        <w:t>9.1响应单位认为本次采购活动的竞争性磋商文件、采购过程和成交结果使自己的权益受到损害的，有权按规定的程序在知道或应知其权益受到损害之日起7个工作日内实名向采购人、采购代理机构提出书面质疑；</w:t>
      </w:r>
    </w:p>
    <w:p w14:paraId="6BF16F08">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ascii="宋体" w:hAnsi="宋体" w:cs="Times New Roman"/>
          <w:sz w:val="21"/>
          <w:szCs w:val="21"/>
          <w:lang w:eastAsia="zh-CN"/>
        </w:rPr>
      </w:pPr>
      <w:r>
        <w:rPr>
          <w:rFonts w:hint="eastAsia" w:ascii="宋体" w:hAnsi="宋体" w:cs="Times New Roman"/>
          <w:sz w:val="21"/>
          <w:szCs w:val="21"/>
          <w:lang w:eastAsia="zh-CN"/>
        </w:rPr>
        <w:t>9.2对采购人、采购代理机构的答复不满意或者采购人、采购代理机构未在规定的时间内作出答复的，可以在答复期满后15个工作日内实名向（项目所属）同级政府采购监督管理部门投诉。</w:t>
      </w:r>
    </w:p>
    <w:p w14:paraId="1A451D23">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ascii="宋体" w:hAnsi="宋体" w:cs="Times New Roman"/>
          <w:sz w:val="21"/>
          <w:szCs w:val="21"/>
          <w:lang w:eastAsia="zh-CN"/>
        </w:rPr>
      </w:pPr>
      <w:r>
        <w:rPr>
          <w:rFonts w:hint="eastAsia" w:ascii="宋体" w:hAnsi="宋体" w:cs="Times New Roman"/>
          <w:sz w:val="21"/>
          <w:szCs w:val="21"/>
          <w:lang w:eastAsia="zh-CN"/>
        </w:rPr>
        <w:t>9.3质疑和投诉应有具体的质疑（投诉）事项和必要的证明材料或事实根据，响应单位对其质疑和投诉内容的真实性及其来源的合法性承担法律责任。</w:t>
      </w:r>
    </w:p>
    <w:p w14:paraId="198EEB75">
      <w:pPr>
        <w:pStyle w:val="3"/>
        <w:keepNext w:val="0"/>
        <w:keepLines w:val="0"/>
        <w:pageBreakBefore w:val="0"/>
        <w:widowControl w:val="0"/>
        <w:tabs>
          <w:tab w:val="left" w:pos="426"/>
        </w:tabs>
        <w:kinsoku/>
        <w:wordWrap/>
        <w:overflowPunct/>
        <w:topLinePunct w:val="0"/>
        <w:autoSpaceDE/>
        <w:autoSpaceDN/>
        <w:bidi w:val="0"/>
        <w:adjustRightInd w:val="0"/>
        <w:snapToGrid w:val="0"/>
        <w:spacing w:line="440" w:lineRule="exact"/>
        <w:jc w:val="both"/>
        <w:textAlignment w:val="auto"/>
        <w:rPr>
          <w:rFonts w:ascii="宋体" w:hAnsi="宋体" w:eastAsia="宋体"/>
          <w:b/>
          <w:bCs/>
          <w:sz w:val="21"/>
          <w:szCs w:val="21"/>
          <w:lang w:eastAsia="zh-CN"/>
        </w:rPr>
      </w:pPr>
      <w:bookmarkStart w:id="35" w:name="_Toc30834"/>
      <w:bookmarkStart w:id="36" w:name="_Toc10832"/>
      <w:r>
        <w:rPr>
          <w:rFonts w:hint="eastAsia" w:ascii="宋体" w:hAnsi="宋体" w:eastAsia="宋体"/>
          <w:b/>
          <w:bCs/>
          <w:sz w:val="21"/>
          <w:szCs w:val="21"/>
          <w:lang w:eastAsia="zh-CN"/>
        </w:rPr>
        <w:t>10.需要补充的其他内容</w:t>
      </w:r>
      <w:bookmarkEnd w:id="35"/>
      <w:bookmarkEnd w:id="36"/>
    </w:p>
    <w:bookmarkEnd w:id="29"/>
    <w:bookmarkEnd w:id="30"/>
    <w:p w14:paraId="485985FD">
      <w:pPr>
        <w:keepNext w:val="0"/>
        <w:keepLines w:val="0"/>
        <w:pageBreakBefore w:val="0"/>
        <w:widowControl w:val="0"/>
        <w:tabs>
          <w:tab w:val="left" w:pos="641"/>
        </w:tabs>
        <w:kinsoku/>
        <w:wordWrap/>
        <w:overflowPunct/>
        <w:topLinePunct w:val="0"/>
        <w:autoSpaceDE/>
        <w:autoSpaceDN/>
        <w:bidi w:val="0"/>
        <w:adjustRightInd w:val="0"/>
        <w:snapToGrid w:val="0"/>
        <w:spacing w:line="440" w:lineRule="exact"/>
        <w:ind w:firstLine="450"/>
        <w:jc w:val="both"/>
        <w:textAlignment w:val="auto"/>
        <w:rPr>
          <w:rFonts w:ascii="宋体" w:hAnsi="宋体" w:cs="Times New Roman"/>
          <w:sz w:val="21"/>
          <w:szCs w:val="21"/>
          <w:lang w:eastAsia="zh-CN"/>
        </w:rPr>
      </w:pPr>
      <w:r>
        <w:rPr>
          <w:rFonts w:hint="eastAsia" w:ascii="宋体" w:hAnsi="宋体" w:cs="Times New Roman"/>
          <w:sz w:val="21"/>
          <w:szCs w:val="21"/>
          <w:lang w:eastAsia="zh-CN"/>
        </w:rPr>
        <w:t>详见响应单位须知前附表。</w:t>
      </w:r>
    </w:p>
    <w:p w14:paraId="73F70329">
      <w:pPr>
        <w:rPr>
          <w:rFonts w:hint="eastAsia" w:ascii="宋体" w:hAnsi="宋体" w:eastAsia="宋体" w:cs="宋体"/>
          <w:b/>
          <w:bCs/>
          <w:sz w:val="21"/>
          <w:szCs w:val="21"/>
          <w:highlight w:val="none"/>
          <w:lang w:val="en-US" w:eastAsia="zh-CN"/>
        </w:rPr>
      </w:pPr>
      <w:bookmarkStart w:id="37" w:name="_Toc12695"/>
    </w:p>
    <w:p w14:paraId="70148206">
      <w:pPr>
        <w:rPr>
          <w:rFonts w:hint="eastAsia" w:ascii="宋体" w:hAnsi="宋体" w:eastAsia="宋体" w:cs="宋体"/>
          <w:b/>
          <w:bCs/>
          <w:sz w:val="21"/>
          <w:szCs w:val="21"/>
          <w:highlight w:val="none"/>
          <w:lang w:val="en-US" w:eastAsia="zh-CN"/>
        </w:rPr>
      </w:pPr>
    </w:p>
    <w:p w14:paraId="2842BC6F">
      <w:pPr>
        <w:jc w:val="center"/>
        <w:rPr>
          <w:rFonts w:hint="eastAsia" w:ascii="宋体" w:hAnsi="宋体" w:eastAsia="宋体" w:cs="宋体"/>
          <w:b/>
          <w:bCs/>
          <w:sz w:val="21"/>
          <w:szCs w:val="21"/>
          <w:highlight w:val="none"/>
          <w:lang w:val="en-US" w:eastAsia="zh-CN"/>
        </w:rPr>
      </w:pPr>
    </w:p>
    <w:p w14:paraId="439B8747">
      <w:pPr>
        <w:jc w:val="center"/>
        <w:rPr>
          <w:rFonts w:hint="eastAsia" w:ascii="宋体" w:hAnsi="宋体" w:eastAsia="宋体" w:cs="宋体"/>
          <w:b/>
          <w:bCs/>
          <w:sz w:val="21"/>
          <w:szCs w:val="21"/>
          <w:highlight w:val="none"/>
          <w:lang w:val="en-US" w:eastAsia="zh-CN"/>
        </w:rPr>
      </w:pPr>
    </w:p>
    <w:p w14:paraId="7260BD72">
      <w:pPr>
        <w:jc w:val="center"/>
        <w:rPr>
          <w:rFonts w:hint="eastAsia" w:ascii="宋体" w:hAnsi="宋体" w:eastAsia="宋体" w:cs="宋体"/>
          <w:b/>
          <w:bCs/>
          <w:sz w:val="21"/>
          <w:szCs w:val="21"/>
          <w:highlight w:val="none"/>
          <w:lang w:val="en-US" w:eastAsia="zh-CN"/>
        </w:rPr>
      </w:pPr>
    </w:p>
    <w:p w14:paraId="50B5A0D7">
      <w:pPr>
        <w:jc w:val="center"/>
        <w:rPr>
          <w:rFonts w:hint="eastAsia" w:ascii="宋体" w:hAnsi="宋体" w:eastAsia="宋体" w:cs="宋体"/>
          <w:b/>
          <w:bCs/>
          <w:sz w:val="21"/>
          <w:szCs w:val="21"/>
          <w:highlight w:val="none"/>
          <w:lang w:val="en-US" w:eastAsia="zh-CN"/>
        </w:rPr>
      </w:pPr>
    </w:p>
    <w:p w14:paraId="1256416C">
      <w:pPr>
        <w:jc w:val="center"/>
        <w:rPr>
          <w:rFonts w:hint="eastAsia" w:ascii="宋体" w:hAnsi="宋体" w:eastAsia="宋体" w:cs="宋体"/>
          <w:b/>
          <w:bCs/>
          <w:sz w:val="21"/>
          <w:szCs w:val="21"/>
          <w:highlight w:val="none"/>
          <w:lang w:val="en-US" w:eastAsia="zh-CN"/>
        </w:rPr>
      </w:pPr>
    </w:p>
    <w:p w14:paraId="1B7440CB">
      <w:pPr>
        <w:jc w:val="center"/>
        <w:rPr>
          <w:rFonts w:hint="eastAsia" w:ascii="宋体" w:hAnsi="宋体" w:cs="宋体"/>
          <w:b/>
          <w:bCs/>
          <w:sz w:val="21"/>
          <w:szCs w:val="21"/>
          <w:highlight w:val="none"/>
          <w:lang w:eastAsia="zh-CN"/>
        </w:rPr>
      </w:pPr>
      <w:r>
        <w:rPr>
          <w:rFonts w:hint="eastAsia" w:ascii="宋体" w:hAnsi="宋体" w:eastAsia="宋体" w:cs="宋体"/>
          <w:b/>
          <w:bCs/>
          <w:sz w:val="21"/>
          <w:szCs w:val="21"/>
          <w:highlight w:val="none"/>
          <w:lang w:val="en-US" w:eastAsia="zh-CN"/>
        </w:rPr>
        <w:t>附件1：</w:t>
      </w:r>
      <w:bookmarkEnd w:id="37"/>
      <w:r>
        <w:rPr>
          <w:rFonts w:hint="eastAsia" w:ascii="宋体" w:hAnsi="宋体" w:cs="宋体"/>
          <w:b/>
          <w:bCs/>
          <w:sz w:val="21"/>
          <w:szCs w:val="21"/>
          <w:highlight w:val="none"/>
          <w:lang w:eastAsia="zh-CN"/>
        </w:rPr>
        <w:t>周口市政府采购合同融资政策告知函</w:t>
      </w:r>
    </w:p>
    <w:p w14:paraId="16401E0B">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各</w:t>
      </w:r>
      <w:r>
        <w:rPr>
          <w:rFonts w:hint="eastAsia" w:ascii="宋体" w:hAnsi="宋体" w:cs="Times New Roman"/>
          <w:sz w:val="21"/>
          <w:szCs w:val="21"/>
          <w:lang w:eastAsia="zh-CN"/>
        </w:rPr>
        <w:t>响应单位</w:t>
      </w:r>
      <w:r>
        <w:rPr>
          <w:rFonts w:hint="eastAsia" w:ascii="宋体" w:hAnsi="宋体" w:eastAsia="宋体" w:cs="Times New Roman"/>
          <w:sz w:val="21"/>
          <w:szCs w:val="21"/>
          <w:lang w:eastAsia="zh-CN"/>
        </w:rPr>
        <w:t>：</w:t>
      </w:r>
    </w:p>
    <w:p w14:paraId="2AB62206">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欢迎贵公司参与周口市政府采购活动！</w:t>
      </w:r>
    </w:p>
    <w:p w14:paraId="5609838A">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政府采购合同融资是河南省财政厅支持中小微企业发展，针对参与政府采购活动的</w:t>
      </w:r>
      <w:r>
        <w:rPr>
          <w:rFonts w:hint="eastAsia" w:ascii="宋体" w:hAnsi="宋体" w:cs="Times New Roman"/>
          <w:sz w:val="21"/>
          <w:szCs w:val="21"/>
          <w:lang w:eastAsia="zh-CN"/>
        </w:rPr>
        <w:t>响应单位</w:t>
      </w:r>
      <w:r>
        <w:rPr>
          <w:rFonts w:hint="eastAsia" w:ascii="宋体" w:hAnsi="宋体" w:eastAsia="宋体" w:cs="Times New Roman"/>
          <w:sz w:val="21"/>
          <w:szCs w:val="21"/>
          <w:lang w:eastAsia="zh-CN"/>
        </w:rPr>
        <w:t>融资难、融资贵问题推出的一项融资政策。贵公司若成为本次政府采购项目的中标成交</w:t>
      </w:r>
      <w:r>
        <w:rPr>
          <w:rFonts w:hint="eastAsia" w:ascii="宋体" w:hAnsi="宋体" w:cs="Times New Roman"/>
          <w:sz w:val="21"/>
          <w:szCs w:val="21"/>
          <w:lang w:eastAsia="zh-CN"/>
        </w:rPr>
        <w:t>响应单位</w:t>
      </w:r>
      <w:r>
        <w:rPr>
          <w:rFonts w:hint="eastAsia" w:ascii="宋体" w:hAnsi="宋体" w:eastAsia="宋体" w:cs="Times New Roman"/>
          <w:sz w:val="21"/>
          <w:szCs w:val="21"/>
          <w:lang w:eastAsia="zh-CN"/>
        </w:rPr>
        <w:t>，可持政府采购合同向金融机构申请贷款，无需抵押、担保，融资机构将根据《河南省政府采购合同融资工作实施方案》（豫财购〔2017〕10号），按照双方自愿的原则提供便捷、优惠的贷款服务。</w:t>
      </w:r>
    </w:p>
    <w:p w14:paraId="03CFCF75">
      <w:pPr>
        <w:keepNext w:val="0"/>
        <w:keepLines w:val="0"/>
        <w:pageBreakBefore w:val="0"/>
        <w:widowControl w:val="0"/>
        <w:tabs>
          <w:tab w:val="left" w:pos="709"/>
        </w:tabs>
        <w:kinsoku/>
        <w:wordWrap/>
        <w:overflowPunct/>
        <w:topLinePunct w:val="0"/>
        <w:autoSpaceDE/>
        <w:autoSpaceDN/>
        <w:bidi w:val="0"/>
        <w:adjustRightInd w:val="0"/>
        <w:snapToGrid w:val="0"/>
        <w:spacing w:line="440" w:lineRule="exact"/>
        <w:ind w:firstLine="420" w:firstLineChars="200"/>
        <w:jc w:val="both"/>
        <w:textAlignment w:val="auto"/>
        <w:rPr>
          <w:rFonts w:hAnsi="宋体" w:cs="宋体"/>
          <w:b/>
          <w:bCs/>
          <w:kern w:val="0"/>
          <w:lang w:eastAsia="zh-CN"/>
        </w:rPr>
      </w:pPr>
      <w:r>
        <w:rPr>
          <w:rFonts w:hint="eastAsia" w:ascii="宋体" w:hAnsi="宋体" w:eastAsia="宋体" w:cs="Times New Roman"/>
          <w:sz w:val="21"/>
          <w:szCs w:val="21"/>
          <w:lang w:eastAsia="zh-CN"/>
        </w:rPr>
        <w:t>贷款渠道和提供贷款的金融机构，可在河南省政府采购网“河南省政府采购合同融资平台”查询联系。</w:t>
      </w:r>
    </w:p>
    <w:p w14:paraId="696715D2">
      <w:pPr>
        <w:pStyle w:val="12"/>
        <w:spacing w:line="360" w:lineRule="auto"/>
        <w:jc w:val="center"/>
        <w:outlineLvl w:val="9"/>
        <w:rPr>
          <w:rFonts w:hAnsi="宋体" w:cs="宋体"/>
          <w:b/>
          <w:bCs/>
          <w:kern w:val="0"/>
          <w:lang w:eastAsia="zh-CN"/>
        </w:rPr>
      </w:pPr>
      <w:r>
        <w:rPr>
          <w:rFonts w:hint="eastAsia" w:hAnsi="宋体" w:cs="宋体"/>
          <w:b/>
          <w:bCs/>
          <w:kern w:val="0"/>
          <w:lang w:eastAsia="zh-CN"/>
        </w:rPr>
        <w:t>附件2：统计上大中小微型企业划分标准</w:t>
      </w:r>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260"/>
        <w:gridCol w:w="711"/>
        <w:gridCol w:w="1225"/>
        <w:gridCol w:w="1845"/>
        <w:gridCol w:w="1530"/>
        <w:gridCol w:w="1122"/>
      </w:tblGrid>
      <w:tr w14:paraId="56D4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16D406ED">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行业名称</w:t>
            </w:r>
          </w:p>
        </w:tc>
        <w:tc>
          <w:tcPr>
            <w:tcW w:w="1260" w:type="dxa"/>
            <w:vAlign w:val="center"/>
          </w:tcPr>
          <w:p w14:paraId="4B69DF7F">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指标名称</w:t>
            </w:r>
          </w:p>
        </w:tc>
        <w:tc>
          <w:tcPr>
            <w:tcW w:w="711" w:type="dxa"/>
            <w:vAlign w:val="center"/>
          </w:tcPr>
          <w:p w14:paraId="57D8AED8">
            <w:pPr>
              <w:widowControl/>
              <w:wordWrap w:val="0"/>
              <w:spacing w:line="360" w:lineRule="atLeast"/>
              <w:jc w:val="center"/>
              <w:textAlignment w:val="center"/>
              <w:rPr>
                <w:rFonts w:ascii="宋体" w:hAnsi="宋体" w:cs="宋体"/>
                <w:color w:val="333333"/>
                <w:sz w:val="21"/>
                <w:szCs w:val="21"/>
              </w:rPr>
            </w:pPr>
            <w:r>
              <w:rPr>
                <w:rFonts w:hint="eastAsia" w:ascii="宋体" w:hAnsi="宋体" w:cs="宋体"/>
                <w:b/>
                <w:bCs/>
                <w:color w:val="333333"/>
                <w:sz w:val="21"/>
                <w:szCs w:val="21"/>
                <w:lang w:eastAsia="zh-CN" w:bidi="ar"/>
              </w:rPr>
              <w:t>计量</w:t>
            </w:r>
          </w:p>
          <w:p w14:paraId="252EFB39">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单位</w:t>
            </w:r>
          </w:p>
        </w:tc>
        <w:tc>
          <w:tcPr>
            <w:tcW w:w="1225" w:type="dxa"/>
            <w:vAlign w:val="center"/>
          </w:tcPr>
          <w:p w14:paraId="42EFDEB8">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大型</w:t>
            </w:r>
          </w:p>
        </w:tc>
        <w:tc>
          <w:tcPr>
            <w:tcW w:w="1845" w:type="dxa"/>
            <w:vAlign w:val="center"/>
          </w:tcPr>
          <w:p w14:paraId="02942E1E">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中型</w:t>
            </w:r>
          </w:p>
        </w:tc>
        <w:tc>
          <w:tcPr>
            <w:tcW w:w="1530" w:type="dxa"/>
            <w:vAlign w:val="center"/>
          </w:tcPr>
          <w:p w14:paraId="6664BC89">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小型</w:t>
            </w:r>
          </w:p>
        </w:tc>
        <w:tc>
          <w:tcPr>
            <w:tcW w:w="1122" w:type="dxa"/>
            <w:vAlign w:val="center"/>
          </w:tcPr>
          <w:p w14:paraId="1E07DE7E">
            <w:pPr>
              <w:widowControl/>
              <w:wordWrap w:val="0"/>
              <w:spacing w:line="360" w:lineRule="atLeast"/>
              <w:jc w:val="center"/>
              <w:textAlignment w:val="center"/>
              <w:rPr>
                <w:rFonts w:ascii="宋体" w:hAnsi="宋体" w:cs="宋体"/>
                <w:sz w:val="21"/>
                <w:szCs w:val="21"/>
              </w:rPr>
            </w:pPr>
            <w:r>
              <w:rPr>
                <w:rFonts w:hint="eastAsia" w:ascii="宋体" w:hAnsi="宋体" w:cs="宋体"/>
                <w:b/>
                <w:bCs/>
                <w:color w:val="333333"/>
                <w:sz w:val="21"/>
                <w:szCs w:val="21"/>
                <w:lang w:eastAsia="zh-CN" w:bidi="ar"/>
              </w:rPr>
              <w:t>微型</w:t>
            </w:r>
          </w:p>
        </w:tc>
      </w:tr>
      <w:tr w14:paraId="2D12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276A388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农、林、牧、渔业</w:t>
            </w:r>
          </w:p>
        </w:tc>
        <w:tc>
          <w:tcPr>
            <w:tcW w:w="1260" w:type="dxa"/>
            <w:vAlign w:val="center"/>
          </w:tcPr>
          <w:p w14:paraId="59EE39E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28118FA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57A423D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Y≥20000</w:t>
            </w:r>
          </w:p>
        </w:tc>
        <w:tc>
          <w:tcPr>
            <w:tcW w:w="1845" w:type="dxa"/>
            <w:vAlign w:val="center"/>
          </w:tcPr>
          <w:p w14:paraId="6E2C9F9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500≤Y＜20000</w:t>
            </w:r>
          </w:p>
        </w:tc>
        <w:tc>
          <w:tcPr>
            <w:tcW w:w="1530" w:type="dxa"/>
            <w:vAlign w:val="center"/>
          </w:tcPr>
          <w:p w14:paraId="51AB2AC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50≤Y＜500</w:t>
            </w:r>
          </w:p>
        </w:tc>
        <w:tc>
          <w:tcPr>
            <w:tcW w:w="1122" w:type="dxa"/>
            <w:vAlign w:val="center"/>
          </w:tcPr>
          <w:p w14:paraId="473C7C5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Y＜50</w:t>
            </w:r>
          </w:p>
        </w:tc>
      </w:tr>
      <w:tr w14:paraId="67A9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12A7B9B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工业 *</w:t>
            </w:r>
          </w:p>
        </w:tc>
        <w:tc>
          <w:tcPr>
            <w:tcW w:w="1260" w:type="dxa"/>
            <w:vAlign w:val="center"/>
          </w:tcPr>
          <w:p w14:paraId="020CA65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216ECB7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08B29D1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X≥1000</w:t>
            </w:r>
          </w:p>
        </w:tc>
        <w:tc>
          <w:tcPr>
            <w:tcW w:w="1845" w:type="dxa"/>
            <w:vAlign w:val="center"/>
          </w:tcPr>
          <w:p w14:paraId="3B4E4E3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300≤X＜1000</w:t>
            </w:r>
          </w:p>
        </w:tc>
        <w:tc>
          <w:tcPr>
            <w:tcW w:w="1530" w:type="dxa"/>
            <w:vAlign w:val="center"/>
          </w:tcPr>
          <w:p w14:paraId="09D652D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20≤X＜300</w:t>
            </w:r>
          </w:p>
        </w:tc>
        <w:tc>
          <w:tcPr>
            <w:tcW w:w="1122" w:type="dxa"/>
            <w:vAlign w:val="center"/>
          </w:tcPr>
          <w:p w14:paraId="59D0999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w:t>
            </w:r>
          </w:p>
        </w:tc>
      </w:tr>
      <w:tr w14:paraId="1D8F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145CA852">
            <w:pPr>
              <w:widowControl/>
              <w:spacing w:line="330" w:lineRule="atLeast"/>
              <w:textAlignment w:val="center"/>
              <w:rPr>
                <w:rFonts w:ascii="宋体" w:hAnsi="宋体" w:cs="宋体"/>
                <w:sz w:val="21"/>
                <w:szCs w:val="21"/>
              </w:rPr>
            </w:pPr>
          </w:p>
        </w:tc>
        <w:tc>
          <w:tcPr>
            <w:tcW w:w="1260" w:type="dxa"/>
            <w:vAlign w:val="center"/>
          </w:tcPr>
          <w:p w14:paraId="6D28407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6EF424F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4F64DC7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Y≥40000</w:t>
            </w:r>
          </w:p>
        </w:tc>
        <w:tc>
          <w:tcPr>
            <w:tcW w:w="1845" w:type="dxa"/>
            <w:vAlign w:val="center"/>
          </w:tcPr>
          <w:p w14:paraId="657BE80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2000≤Y＜40000</w:t>
            </w:r>
          </w:p>
        </w:tc>
        <w:tc>
          <w:tcPr>
            <w:tcW w:w="1530" w:type="dxa"/>
            <w:vAlign w:val="center"/>
          </w:tcPr>
          <w:p w14:paraId="60E8415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300≤Y＜2000</w:t>
            </w:r>
          </w:p>
        </w:tc>
        <w:tc>
          <w:tcPr>
            <w:tcW w:w="1122" w:type="dxa"/>
            <w:vAlign w:val="center"/>
          </w:tcPr>
          <w:p w14:paraId="0E43A0D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Y＜300</w:t>
            </w:r>
          </w:p>
        </w:tc>
      </w:tr>
      <w:tr w14:paraId="2B05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4CB26E1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建筑业</w:t>
            </w:r>
          </w:p>
        </w:tc>
        <w:tc>
          <w:tcPr>
            <w:tcW w:w="1260" w:type="dxa"/>
            <w:vAlign w:val="center"/>
          </w:tcPr>
          <w:p w14:paraId="37C3339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63EDA27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78936D6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Y≥80000</w:t>
            </w:r>
          </w:p>
        </w:tc>
        <w:tc>
          <w:tcPr>
            <w:tcW w:w="1845" w:type="dxa"/>
            <w:vAlign w:val="center"/>
          </w:tcPr>
          <w:p w14:paraId="544D1F5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6000≤Y＜80000</w:t>
            </w:r>
          </w:p>
        </w:tc>
        <w:tc>
          <w:tcPr>
            <w:tcW w:w="1530" w:type="dxa"/>
            <w:vAlign w:val="center"/>
          </w:tcPr>
          <w:p w14:paraId="599F5C3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300≤Y＜6000</w:t>
            </w:r>
          </w:p>
        </w:tc>
        <w:tc>
          <w:tcPr>
            <w:tcW w:w="1122" w:type="dxa"/>
            <w:vAlign w:val="center"/>
          </w:tcPr>
          <w:p w14:paraId="2B877C9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Y＜300</w:t>
            </w:r>
          </w:p>
        </w:tc>
      </w:tr>
      <w:tr w14:paraId="366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32A77DCB">
            <w:pPr>
              <w:widowControl/>
              <w:spacing w:line="330" w:lineRule="atLeast"/>
              <w:textAlignment w:val="center"/>
              <w:rPr>
                <w:rFonts w:ascii="宋体" w:hAnsi="宋体" w:cs="宋体"/>
                <w:sz w:val="21"/>
                <w:szCs w:val="21"/>
              </w:rPr>
            </w:pPr>
          </w:p>
        </w:tc>
        <w:tc>
          <w:tcPr>
            <w:tcW w:w="1260" w:type="dxa"/>
            <w:vAlign w:val="center"/>
          </w:tcPr>
          <w:p w14:paraId="27A50AA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资产总额(Z)</w:t>
            </w:r>
          </w:p>
        </w:tc>
        <w:tc>
          <w:tcPr>
            <w:tcW w:w="711" w:type="dxa"/>
            <w:vAlign w:val="center"/>
          </w:tcPr>
          <w:p w14:paraId="0E1D0E0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339B0BB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Z≥80000</w:t>
            </w:r>
          </w:p>
        </w:tc>
        <w:tc>
          <w:tcPr>
            <w:tcW w:w="1845" w:type="dxa"/>
            <w:vAlign w:val="center"/>
          </w:tcPr>
          <w:p w14:paraId="5236FE8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5000≤Z＜80000</w:t>
            </w:r>
          </w:p>
        </w:tc>
        <w:tc>
          <w:tcPr>
            <w:tcW w:w="1530" w:type="dxa"/>
            <w:vAlign w:val="center"/>
          </w:tcPr>
          <w:p w14:paraId="667328D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300≤Z＜5000</w:t>
            </w:r>
          </w:p>
        </w:tc>
        <w:tc>
          <w:tcPr>
            <w:tcW w:w="1122" w:type="dxa"/>
            <w:vAlign w:val="center"/>
          </w:tcPr>
          <w:p w14:paraId="7478C7C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Z＜300</w:t>
            </w:r>
          </w:p>
        </w:tc>
      </w:tr>
      <w:tr w14:paraId="136D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272EE24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批发业</w:t>
            </w:r>
          </w:p>
        </w:tc>
        <w:tc>
          <w:tcPr>
            <w:tcW w:w="1260" w:type="dxa"/>
            <w:vAlign w:val="center"/>
          </w:tcPr>
          <w:p w14:paraId="62F0A4F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7518417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1930502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X≥200</w:t>
            </w:r>
          </w:p>
        </w:tc>
        <w:tc>
          <w:tcPr>
            <w:tcW w:w="1845" w:type="dxa"/>
            <w:vAlign w:val="center"/>
          </w:tcPr>
          <w:p w14:paraId="0F91C9D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20≤X＜200</w:t>
            </w:r>
          </w:p>
        </w:tc>
        <w:tc>
          <w:tcPr>
            <w:tcW w:w="1530" w:type="dxa"/>
            <w:vAlign w:val="center"/>
          </w:tcPr>
          <w:p w14:paraId="3284BFE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5≤X＜20</w:t>
            </w:r>
          </w:p>
        </w:tc>
        <w:tc>
          <w:tcPr>
            <w:tcW w:w="1122" w:type="dxa"/>
            <w:vAlign w:val="center"/>
          </w:tcPr>
          <w:p w14:paraId="2BAFAEB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X＜5</w:t>
            </w:r>
          </w:p>
        </w:tc>
      </w:tr>
      <w:tr w14:paraId="5BE8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4DFBAE6C">
            <w:pPr>
              <w:widowControl/>
              <w:spacing w:line="330" w:lineRule="atLeast"/>
              <w:textAlignment w:val="center"/>
              <w:rPr>
                <w:rFonts w:ascii="宋体" w:hAnsi="宋体" w:cs="宋体"/>
                <w:sz w:val="21"/>
                <w:szCs w:val="21"/>
              </w:rPr>
            </w:pPr>
          </w:p>
        </w:tc>
        <w:tc>
          <w:tcPr>
            <w:tcW w:w="1260" w:type="dxa"/>
            <w:vAlign w:val="center"/>
          </w:tcPr>
          <w:p w14:paraId="123B8B0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6EFC301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07774C6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Y≥40000</w:t>
            </w:r>
          </w:p>
        </w:tc>
        <w:tc>
          <w:tcPr>
            <w:tcW w:w="1845" w:type="dxa"/>
            <w:vAlign w:val="center"/>
          </w:tcPr>
          <w:p w14:paraId="781D91F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5000≤Y＜40000</w:t>
            </w:r>
          </w:p>
        </w:tc>
        <w:tc>
          <w:tcPr>
            <w:tcW w:w="1530" w:type="dxa"/>
            <w:vAlign w:val="center"/>
          </w:tcPr>
          <w:p w14:paraId="3422291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1000≤Y＜5000</w:t>
            </w:r>
          </w:p>
        </w:tc>
        <w:tc>
          <w:tcPr>
            <w:tcW w:w="1122" w:type="dxa"/>
            <w:vAlign w:val="center"/>
          </w:tcPr>
          <w:p w14:paraId="4A88A79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Y＜1000</w:t>
            </w:r>
          </w:p>
        </w:tc>
      </w:tr>
      <w:tr w14:paraId="51E2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0661A8F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零售业</w:t>
            </w:r>
          </w:p>
        </w:tc>
        <w:tc>
          <w:tcPr>
            <w:tcW w:w="1260" w:type="dxa"/>
            <w:vAlign w:val="center"/>
          </w:tcPr>
          <w:p w14:paraId="65B937C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57ED0CA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6434437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X≥300</w:t>
            </w:r>
          </w:p>
        </w:tc>
        <w:tc>
          <w:tcPr>
            <w:tcW w:w="1845" w:type="dxa"/>
            <w:vAlign w:val="center"/>
          </w:tcPr>
          <w:p w14:paraId="60000D1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50≤X＜300</w:t>
            </w:r>
          </w:p>
        </w:tc>
        <w:tc>
          <w:tcPr>
            <w:tcW w:w="1530" w:type="dxa"/>
            <w:vAlign w:val="center"/>
          </w:tcPr>
          <w:p w14:paraId="52612C9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10≤X＜50</w:t>
            </w:r>
          </w:p>
        </w:tc>
        <w:tc>
          <w:tcPr>
            <w:tcW w:w="1122" w:type="dxa"/>
            <w:vAlign w:val="center"/>
          </w:tcPr>
          <w:p w14:paraId="29B77EF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r w14:paraId="082E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6A2D2D32">
            <w:pPr>
              <w:widowControl/>
              <w:spacing w:line="330" w:lineRule="atLeast"/>
              <w:textAlignment w:val="center"/>
              <w:rPr>
                <w:rFonts w:ascii="宋体" w:hAnsi="宋体" w:cs="宋体"/>
                <w:sz w:val="21"/>
                <w:szCs w:val="21"/>
              </w:rPr>
            </w:pPr>
          </w:p>
        </w:tc>
        <w:tc>
          <w:tcPr>
            <w:tcW w:w="1260" w:type="dxa"/>
            <w:vAlign w:val="center"/>
          </w:tcPr>
          <w:p w14:paraId="7B36FFB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763D40D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5E1CD74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Y≥20000</w:t>
            </w:r>
          </w:p>
        </w:tc>
        <w:tc>
          <w:tcPr>
            <w:tcW w:w="1845" w:type="dxa"/>
            <w:vAlign w:val="center"/>
          </w:tcPr>
          <w:p w14:paraId="796BAFD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500≤Y＜20000</w:t>
            </w:r>
          </w:p>
        </w:tc>
        <w:tc>
          <w:tcPr>
            <w:tcW w:w="1530" w:type="dxa"/>
            <w:vAlign w:val="center"/>
          </w:tcPr>
          <w:p w14:paraId="191743E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100≤Y＜500</w:t>
            </w:r>
          </w:p>
        </w:tc>
        <w:tc>
          <w:tcPr>
            <w:tcW w:w="1122" w:type="dxa"/>
            <w:vAlign w:val="center"/>
          </w:tcPr>
          <w:p w14:paraId="38951C4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29B7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76FABB0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交通运输业 *</w:t>
            </w:r>
          </w:p>
        </w:tc>
        <w:tc>
          <w:tcPr>
            <w:tcW w:w="1260" w:type="dxa"/>
            <w:vAlign w:val="center"/>
          </w:tcPr>
          <w:p w14:paraId="7DB76B6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0795C6D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78E9152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X≥1000</w:t>
            </w:r>
          </w:p>
        </w:tc>
        <w:tc>
          <w:tcPr>
            <w:tcW w:w="1845" w:type="dxa"/>
            <w:vAlign w:val="center"/>
          </w:tcPr>
          <w:p w14:paraId="770249E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300≤X＜1000</w:t>
            </w:r>
          </w:p>
        </w:tc>
        <w:tc>
          <w:tcPr>
            <w:tcW w:w="1530" w:type="dxa"/>
            <w:vAlign w:val="center"/>
          </w:tcPr>
          <w:p w14:paraId="1A7DCDA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20≤X＜300</w:t>
            </w:r>
          </w:p>
        </w:tc>
        <w:tc>
          <w:tcPr>
            <w:tcW w:w="1122" w:type="dxa"/>
            <w:vAlign w:val="center"/>
          </w:tcPr>
          <w:p w14:paraId="482DBB2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w:t>
            </w:r>
          </w:p>
        </w:tc>
      </w:tr>
      <w:tr w14:paraId="1092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5C169589">
            <w:pPr>
              <w:widowControl/>
              <w:spacing w:line="330" w:lineRule="atLeast"/>
              <w:textAlignment w:val="center"/>
              <w:rPr>
                <w:rFonts w:ascii="宋体" w:hAnsi="宋体" w:cs="宋体"/>
                <w:sz w:val="21"/>
                <w:szCs w:val="21"/>
              </w:rPr>
            </w:pPr>
          </w:p>
        </w:tc>
        <w:tc>
          <w:tcPr>
            <w:tcW w:w="1260" w:type="dxa"/>
            <w:vAlign w:val="center"/>
          </w:tcPr>
          <w:p w14:paraId="50911A2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4BFCF1E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68F9E62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Y≥30000</w:t>
            </w:r>
          </w:p>
        </w:tc>
        <w:tc>
          <w:tcPr>
            <w:tcW w:w="1845" w:type="dxa"/>
            <w:vAlign w:val="center"/>
          </w:tcPr>
          <w:p w14:paraId="5FA46C6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3000≤Y＜30000</w:t>
            </w:r>
          </w:p>
        </w:tc>
        <w:tc>
          <w:tcPr>
            <w:tcW w:w="1530" w:type="dxa"/>
            <w:vAlign w:val="center"/>
          </w:tcPr>
          <w:p w14:paraId="4925629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200≤Y＜3000</w:t>
            </w:r>
          </w:p>
        </w:tc>
        <w:tc>
          <w:tcPr>
            <w:tcW w:w="1122" w:type="dxa"/>
            <w:vAlign w:val="center"/>
          </w:tcPr>
          <w:p w14:paraId="4E535E6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Y＜200</w:t>
            </w:r>
          </w:p>
        </w:tc>
      </w:tr>
      <w:tr w14:paraId="3FDC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1F55144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仓储业*</w:t>
            </w:r>
          </w:p>
        </w:tc>
        <w:tc>
          <w:tcPr>
            <w:tcW w:w="1260" w:type="dxa"/>
            <w:vAlign w:val="center"/>
          </w:tcPr>
          <w:p w14:paraId="2024267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50B94BD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148D821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X≥200</w:t>
            </w:r>
          </w:p>
        </w:tc>
        <w:tc>
          <w:tcPr>
            <w:tcW w:w="1845" w:type="dxa"/>
            <w:vAlign w:val="center"/>
          </w:tcPr>
          <w:p w14:paraId="2391553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100≤X＜200</w:t>
            </w:r>
          </w:p>
        </w:tc>
        <w:tc>
          <w:tcPr>
            <w:tcW w:w="1530" w:type="dxa"/>
            <w:vAlign w:val="center"/>
          </w:tcPr>
          <w:p w14:paraId="47CB01B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20≤X＜100</w:t>
            </w:r>
          </w:p>
        </w:tc>
        <w:tc>
          <w:tcPr>
            <w:tcW w:w="1122" w:type="dxa"/>
            <w:vAlign w:val="center"/>
          </w:tcPr>
          <w:p w14:paraId="4D17BBD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w:t>
            </w:r>
          </w:p>
        </w:tc>
      </w:tr>
      <w:tr w14:paraId="55F3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35" w:type="dxa"/>
            <w:vAlign w:val="center"/>
          </w:tcPr>
          <w:p w14:paraId="731E27BE">
            <w:pPr>
              <w:widowControl/>
              <w:spacing w:line="330" w:lineRule="atLeast"/>
              <w:textAlignment w:val="center"/>
              <w:rPr>
                <w:rFonts w:ascii="宋体" w:hAnsi="宋体" w:cs="宋体"/>
                <w:sz w:val="21"/>
                <w:szCs w:val="21"/>
              </w:rPr>
            </w:pPr>
          </w:p>
        </w:tc>
        <w:tc>
          <w:tcPr>
            <w:tcW w:w="1260" w:type="dxa"/>
            <w:vAlign w:val="center"/>
          </w:tcPr>
          <w:p w14:paraId="43C51DD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7BDADAC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5CFD4CF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Y≥30000</w:t>
            </w:r>
          </w:p>
        </w:tc>
        <w:tc>
          <w:tcPr>
            <w:tcW w:w="1845" w:type="dxa"/>
            <w:vAlign w:val="center"/>
          </w:tcPr>
          <w:p w14:paraId="5EB646E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1000≤Y＜30000</w:t>
            </w:r>
          </w:p>
        </w:tc>
        <w:tc>
          <w:tcPr>
            <w:tcW w:w="1530" w:type="dxa"/>
            <w:vAlign w:val="center"/>
          </w:tcPr>
          <w:p w14:paraId="49BFE47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100≤Y＜1000</w:t>
            </w:r>
          </w:p>
        </w:tc>
        <w:tc>
          <w:tcPr>
            <w:tcW w:w="1122" w:type="dxa"/>
            <w:vAlign w:val="center"/>
          </w:tcPr>
          <w:p w14:paraId="1E01709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1342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35" w:type="dxa"/>
            <w:vAlign w:val="center"/>
          </w:tcPr>
          <w:p w14:paraId="0753F5E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邮政业</w:t>
            </w:r>
          </w:p>
        </w:tc>
        <w:tc>
          <w:tcPr>
            <w:tcW w:w="1260" w:type="dxa"/>
            <w:vAlign w:val="center"/>
          </w:tcPr>
          <w:p w14:paraId="53C6554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1E87FC6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6F9DD18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X≥1000</w:t>
            </w:r>
          </w:p>
        </w:tc>
        <w:tc>
          <w:tcPr>
            <w:tcW w:w="1845" w:type="dxa"/>
            <w:vAlign w:val="center"/>
          </w:tcPr>
          <w:p w14:paraId="1C41634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300≤X＜1000</w:t>
            </w:r>
          </w:p>
        </w:tc>
        <w:tc>
          <w:tcPr>
            <w:tcW w:w="1530" w:type="dxa"/>
            <w:vAlign w:val="center"/>
          </w:tcPr>
          <w:p w14:paraId="1ED4785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20≤X＜300</w:t>
            </w:r>
          </w:p>
        </w:tc>
        <w:tc>
          <w:tcPr>
            <w:tcW w:w="1122" w:type="dxa"/>
            <w:vAlign w:val="center"/>
          </w:tcPr>
          <w:p w14:paraId="61793DA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w:t>
            </w:r>
          </w:p>
        </w:tc>
      </w:tr>
      <w:tr w14:paraId="2D0F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35" w:type="dxa"/>
            <w:vAlign w:val="center"/>
          </w:tcPr>
          <w:p w14:paraId="3C06918E">
            <w:pPr>
              <w:widowControl/>
              <w:spacing w:line="330" w:lineRule="atLeast"/>
              <w:textAlignment w:val="center"/>
              <w:rPr>
                <w:rFonts w:ascii="宋体" w:hAnsi="宋体" w:cs="宋体"/>
                <w:sz w:val="21"/>
                <w:szCs w:val="21"/>
              </w:rPr>
            </w:pPr>
          </w:p>
        </w:tc>
        <w:tc>
          <w:tcPr>
            <w:tcW w:w="1260" w:type="dxa"/>
            <w:vAlign w:val="center"/>
          </w:tcPr>
          <w:p w14:paraId="0DB1D8A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169B3D4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2F9B467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Y≥30000</w:t>
            </w:r>
          </w:p>
        </w:tc>
        <w:tc>
          <w:tcPr>
            <w:tcW w:w="1845" w:type="dxa"/>
            <w:vAlign w:val="center"/>
          </w:tcPr>
          <w:p w14:paraId="402823B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2000≤Y＜30000</w:t>
            </w:r>
          </w:p>
        </w:tc>
        <w:tc>
          <w:tcPr>
            <w:tcW w:w="1530" w:type="dxa"/>
            <w:vAlign w:val="center"/>
          </w:tcPr>
          <w:p w14:paraId="04F2F31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100≤Y＜2000</w:t>
            </w:r>
          </w:p>
        </w:tc>
        <w:tc>
          <w:tcPr>
            <w:tcW w:w="1122" w:type="dxa"/>
            <w:vAlign w:val="center"/>
          </w:tcPr>
          <w:p w14:paraId="015E6C6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7D54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35" w:type="dxa"/>
            <w:vAlign w:val="center"/>
          </w:tcPr>
          <w:p w14:paraId="4A780FA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住宿业</w:t>
            </w:r>
          </w:p>
        </w:tc>
        <w:tc>
          <w:tcPr>
            <w:tcW w:w="1260" w:type="dxa"/>
            <w:vAlign w:val="center"/>
          </w:tcPr>
          <w:p w14:paraId="49E0928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44938F5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49A19E0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X≥300</w:t>
            </w:r>
          </w:p>
        </w:tc>
        <w:tc>
          <w:tcPr>
            <w:tcW w:w="1845" w:type="dxa"/>
            <w:vAlign w:val="center"/>
          </w:tcPr>
          <w:p w14:paraId="44BAEA2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100≤X＜300</w:t>
            </w:r>
          </w:p>
        </w:tc>
        <w:tc>
          <w:tcPr>
            <w:tcW w:w="1530" w:type="dxa"/>
            <w:vAlign w:val="center"/>
          </w:tcPr>
          <w:p w14:paraId="7AE0AD3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10≤X＜100</w:t>
            </w:r>
          </w:p>
        </w:tc>
        <w:tc>
          <w:tcPr>
            <w:tcW w:w="1122" w:type="dxa"/>
            <w:vAlign w:val="center"/>
          </w:tcPr>
          <w:p w14:paraId="2132F28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r w14:paraId="5110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5B289EED">
            <w:pPr>
              <w:widowControl/>
              <w:spacing w:line="330" w:lineRule="atLeast"/>
              <w:textAlignment w:val="center"/>
              <w:rPr>
                <w:rFonts w:ascii="宋体" w:hAnsi="宋体" w:cs="宋体"/>
                <w:sz w:val="21"/>
                <w:szCs w:val="21"/>
              </w:rPr>
            </w:pPr>
          </w:p>
        </w:tc>
        <w:tc>
          <w:tcPr>
            <w:tcW w:w="1260" w:type="dxa"/>
            <w:vAlign w:val="center"/>
          </w:tcPr>
          <w:p w14:paraId="27403EB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3576AE0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0E19944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Y≥10000</w:t>
            </w:r>
          </w:p>
        </w:tc>
        <w:tc>
          <w:tcPr>
            <w:tcW w:w="1845" w:type="dxa"/>
            <w:vAlign w:val="center"/>
          </w:tcPr>
          <w:p w14:paraId="18EE411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2000≤Y＜10000</w:t>
            </w:r>
          </w:p>
        </w:tc>
        <w:tc>
          <w:tcPr>
            <w:tcW w:w="1530" w:type="dxa"/>
            <w:vAlign w:val="center"/>
          </w:tcPr>
          <w:p w14:paraId="2B1FA6C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100≤Y＜2000</w:t>
            </w:r>
          </w:p>
        </w:tc>
        <w:tc>
          <w:tcPr>
            <w:tcW w:w="1122" w:type="dxa"/>
            <w:vAlign w:val="center"/>
          </w:tcPr>
          <w:p w14:paraId="1C52F48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01F8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0EE355D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餐饮业</w:t>
            </w:r>
          </w:p>
        </w:tc>
        <w:tc>
          <w:tcPr>
            <w:tcW w:w="1260" w:type="dxa"/>
            <w:vAlign w:val="center"/>
          </w:tcPr>
          <w:p w14:paraId="62ACCCA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1797FBD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513DE1B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X≥300</w:t>
            </w:r>
          </w:p>
        </w:tc>
        <w:tc>
          <w:tcPr>
            <w:tcW w:w="1845" w:type="dxa"/>
            <w:vAlign w:val="center"/>
          </w:tcPr>
          <w:p w14:paraId="609C4B9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100≤X＜300</w:t>
            </w:r>
          </w:p>
        </w:tc>
        <w:tc>
          <w:tcPr>
            <w:tcW w:w="1530" w:type="dxa"/>
            <w:vAlign w:val="center"/>
          </w:tcPr>
          <w:p w14:paraId="3BBD6BF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10≤X＜100</w:t>
            </w:r>
          </w:p>
        </w:tc>
        <w:tc>
          <w:tcPr>
            <w:tcW w:w="1122" w:type="dxa"/>
            <w:vAlign w:val="center"/>
          </w:tcPr>
          <w:p w14:paraId="6C62313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r w14:paraId="1275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0FB198BE">
            <w:pPr>
              <w:widowControl/>
              <w:spacing w:line="330" w:lineRule="atLeast"/>
              <w:textAlignment w:val="center"/>
              <w:rPr>
                <w:rFonts w:ascii="宋体" w:hAnsi="宋体" w:cs="宋体"/>
                <w:sz w:val="21"/>
                <w:szCs w:val="21"/>
              </w:rPr>
            </w:pPr>
          </w:p>
        </w:tc>
        <w:tc>
          <w:tcPr>
            <w:tcW w:w="1260" w:type="dxa"/>
            <w:vAlign w:val="center"/>
          </w:tcPr>
          <w:p w14:paraId="20D377A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17BE7F2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7F77D3E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Y≥10000</w:t>
            </w:r>
          </w:p>
        </w:tc>
        <w:tc>
          <w:tcPr>
            <w:tcW w:w="1845" w:type="dxa"/>
            <w:vAlign w:val="center"/>
          </w:tcPr>
          <w:p w14:paraId="10C357D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2000≤Y＜10000</w:t>
            </w:r>
          </w:p>
        </w:tc>
        <w:tc>
          <w:tcPr>
            <w:tcW w:w="1530" w:type="dxa"/>
            <w:vAlign w:val="center"/>
          </w:tcPr>
          <w:p w14:paraId="0C80C3F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100≤Y＜2000</w:t>
            </w:r>
          </w:p>
        </w:tc>
        <w:tc>
          <w:tcPr>
            <w:tcW w:w="1122" w:type="dxa"/>
            <w:vAlign w:val="center"/>
          </w:tcPr>
          <w:p w14:paraId="4334DDF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2E66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7D94851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信息传输业 *</w:t>
            </w:r>
          </w:p>
        </w:tc>
        <w:tc>
          <w:tcPr>
            <w:tcW w:w="1260" w:type="dxa"/>
            <w:vAlign w:val="center"/>
          </w:tcPr>
          <w:p w14:paraId="16C1618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3E9A1BC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4732D4E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X≥2000</w:t>
            </w:r>
          </w:p>
        </w:tc>
        <w:tc>
          <w:tcPr>
            <w:tcW w:w="1845" w:type="dxa"/>
            <w:vAlign w:val="center"/>
          </w:tcPr>
          <w:p w14:paraId="1C2B94B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100≤X＜2000</w:t>
            </w:r>
          </w:p>
        </w:tc>
        <w:tc>
          <w:tcPr>
            <w:tcW w:w="1530" w:type="dxa"/>
            <w:vAlign w:val="center"/>
          </w:tcPr>
          <w:p w14:paraId="3F092A8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10≤X＜100</w:t>
            </w:r>
          </w:p>
        </w:tc>
        <w:tc>
          <w:tcPr>
            <w:tcW w:w="1122" w:type="dxa"/>
            <w:vAlign w:val="center"/>
          </w:tcPr>
          <w:p w14:paraId="4824A8B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r w14:paraId="7666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10D03A86">
            <w:pPr>
              <w:widowControl/>
              <w:spacing w:line="330" w:lineRule="atLeast"/>
              <w:textAlignment w:val="center"/>
              <w:rPr>
                <w:rFonts w:ascii="宋体" w:hAnsi="宋体" w:cs="宋体"/>
                <w:sz w:val="21"/>
                <w:szCs w:val="21"/>
              </w:rPr>
            </w:pPr>
          </w:p>
        </w:tc>
        <w:tc>
          <w:tcPr>
            <w:tcW w:w="1260" w:type="dxa"/>
            <w:vAlign w:val="center"/>
          </w:tcPr>
          <w:p w14:paraId="5FE1704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1DBDA08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022D08C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Y≥100000</w:t>
            </w:r>
          </w:p>
        </w:tc>
        <w:tc>
          <w:tcPr>
            <w:tcW w:w="1845" w:type="dxa"/>
            <w:vAlign w:val="center"/>
          </w:tcPr>
          <w:p w14:paraId="2E3848A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1000≤Y＜100000</w:t>
            </w:r>
          </w:p>
        </w:tc>
        <w:tc>
          <w:tcPr>
            <w:tcW w:w="1530" w:type="dxa"/>
            <w:vAlign w:val="center"/>
          </w:tcPr>
          <w:p w14:paraId="42D9ADF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100≤Y＜1000</w:t>
            </w:r>
          </w:p>
        </w:tc>
        <w:tc>
          <w:tcPr>
            <w:tcW w:w="1122" w:type="dxa"/>
            <w:vAlign w:val="center"/>
          </w:tcPr>
          <w:p w14:paraId="18EE5DD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37BD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6B88811F">
            <w:pPr>
              <w:widowControl/>
              <w:wordWrap w:val="0"/>
              <w:spacing w:line="360" w:lineRule="atLeast"/>
              <w:textAlignment w:val="center"/>
              <w:rPr>
                <w:rFonts w:ascii="宋体" w:hAnsi="宋体" w:cs="宋体"/>
                <w:sz w:val="21"/>
                <w:szCs w:val="21"/>
                <w:lang w:eastAsia="zh-CN"/>
              </w:rPr>
            </w:pPr>
            <w:r>
              <w:rPr>
                <w:rFonts w:hint="eastAsia" w:ascii="宋体" w:hAnsi="宋体" w:cs="宋体"/>
                <w:color w:val="333333"/>
                <w:sz w:val="21"/>
                <w:szCs w:val="21"/>
                <w:lang w:eastAsia="zh-CN" w:bidi="ar"/>
              </w:rPr>
              <w:t>软件和信息技术服务业</w:t>
            </w:r>
          </w:p>
        </w:tc>
        <w:tc>
          <w:tcPr>
            <w:tcW w:w="1260" w:type="dxa"/>
            <w:vAlign w:val="center"/>
          </w:tcPr>
          <w:p w14:paraId="449544B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10968DC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128582D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X≥300</w:t>
            </w:r>
          </w:p>
        </w:tc>
        <w:tc>
          <w:tcPr>
            <w:tcW w:w="1845" w:type="dxa"/>
            <w:vAlign w:val="center"/>
          </w:tcPr>
          <w:p w14:paraId="73CB0E1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100≤X＜300</w:t>
            </w:r>
          </w:p>
        </w:tc>
        <w:tc>
          <w:tcPr>
            <w:tcW w:w="1530" w:type="dxa"/>
            <w:vAlign w:val="center"/>
          </w:tcPr>
          <w:p w14:paraId="32E7D8B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10≤X＜100</w:t>
            </w:r>
          </w:p>
        </w:tc>
        <w:tc>
          <w:tcPr>
            <w:tcW w:w="1122" w:type="dxa"/>
            <w:vAlign w:val="center"/>
          </w:tcPr>
          <w:p w14:paraId="7673E20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r w14:paraId="47D9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0C860411">
            <w:pPr>
              <w:widowControl/>
              <w:spacing w:line="330" w:lineRule="atLeast"/>
              <w:textAlignment w:val="center"/>
              <w:rPr>
                <w:rFonts w:ascii="宋体" w:hAnsi="宋体" w:cs="宋体"/>
                <w:sz w:val="21"/>
                <w:szCs w:val="21"/>
              </w:rPr>
            </w:pPr>
          </w:p>
        </w:tc>
        <w:tc>
          <w:tcPr>
            <w:tcW w:w="1260" w:type="dxa"/>
            <w:vAlign w:val="center"/>
          </w:tcPr>
          <w:p w14:paraId="160A75A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4B275B2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6B7DB60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Y≥10000</w:t>
            </w:r>
          </w:p>
        </w:tc>
        <w:tc>
          <w:tcPr>
            <w:tcW w:w="1845" w:type="dxa"/>
            <w:vAlign w:val="center"/>
          </w:tcPr>
          <w:p w14:paraId="48BCFFD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1000≤Y＜10000</w:t>
            </w:r>
          </w:p>
        </w:tc>
        <w:tc>
          <w:tcPr>
            <w:tcW w:w="1530" w:type="dxa"/>
            <w:vAlign w:val="center"/>
          </w:tcPr>
          <w:p w14:paraId="5C71E51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50≤Y＜1000</w:t>
            </w:r>
          </w:p>
        </w:tc>
        <w:tc>
          <w:tcPr>
            <w:tcW w:w="1122" w:type="dxa"/>
            <w:vAlign w:val="center"/>
          </w:tcPr>
          <w:p w14:paraId="5EC05C9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Y＜50</w:t>
            </w:r>
          </w:p>
        </w:tc>
      </w:tr>
      <w:tr w14:paraId="2211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2E23B8D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房地产开发经营</w:t>
            </w:r>
          </w:p>
        </w:tc>
        <w:tc>
          <w:tcPr>
            <w:tcW w:w="1260" w:type="dxa"/>
            <w:vAlign w:val="center"/>
          </w:tcPr>
          <w:p w14:paraId="1FEF65A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0110D1C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581A2F1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Y≥200000</w:t>
            </w:r>
          </w:p>
        </w:tc>
        <w:tc>
          <w:tcPr>
            <w:tcW w:w="1845" w:type="dxa"/>
            <w:vAlign w:val="center"/>
          </w:tcPr>
          <w:p w14:paraId="2C1E92B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1000≤Y＜200000</w:t>
            </w:r>
          </w:p>
        </w:tc>
        <w:tc>
          <w:tcPr>
            <w:tcW w:w="1530" w:type="dxa"/>
            <w:vAlign w:val="center"/>
          </w:tcPr>
          <w:p w14:paraId="0F83A190">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100≤Y＜1000</w:t>
            </w:r>
          </w:p>
        </w:tc>
        <w:tc>
          <w:tcPr>
            <w:tcW w:w="1122" w:type="dxa"/>
            <w:vAlign w:val="center"/>
          </w:tcPr>
          <w:p w14:paraId="2DAE076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Y＜100</w:t>
            </w:r>
          </w:p>
        </w:tc>
      </w:tr>
      <w:tr w14:paraId="6A4B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3525C045">
            <w:pPr>
              <w:widowControl/>
              <w:spacing w:line="330" w:lineRule="atLeast"/>
              <w:textAlignment w:val="center"/>
              <w:rPr>
                <w:rFonts w:ascii="宋体" w:hAnsi="宋体" w:cs="宋体"/>
                <w:sz w:val="21"/>
                <w:szCs w:val="21"/>
              </w:rPr>
            </w:pPr>
          </w:p>
        </w:tc>
        <w:tc>
          <w:tcPr>
            <w:tcW w:w="1260" w:type="dxa"/>
            <w:vAlign w:val="center"/>
          </w:tcPr>
          <w:p w14:paraId="5E1499D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资产总额(Z)</w:t>
            </w:r>
          </w:p>
        </w:tc>
        <w:tc>
          <w:tcPr>
            <w:tcW w:w="711" w:type="dxa"/>
            <w:vAlign w:val="center"/>
          </w:tcPr>
          <w:p w14:paraId="03393CE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34EB444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Z≥10000</w:t>
            </w:r>
          </w:p>
        </w:tc>
        <w:tc>
          <w:tcPr>
            <w:tcW w:w="1845" w:type="dxa"/>
            <w:vAlign w:val="center"/>
          </w:tcPr>
          <w:p w14:paraId="2376775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5000≤Z＜10000</w:t>
            </w:r>
          </w:p>
        </w:tc>
        <w:tc>
          <w:tcPr>
            <w:tcW w:w="1530" w:type="dxa"/>
            <w:vAlign w:val="center"/>
          </w:tcPr>
          <w:p w14:paraId="0930F00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2000≤Z＜5000</w:t>
            </w:r>
          </w:p>
        </w:tc>
        <w:tc>
          <w:tcPr>
            <w:tcW w:w="1122" w:type="dxa"/>
            <w:vAlign w:val="center"/>
          </w:tcPr>
          <w:p w14:paraId="2B2CAF6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Z＜2000</w:t>
            </w:r>
          </w:p>
        </w:tc>
      </w:tr>
      <w:tr w14:paraId="4ED2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097B4D1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物业管理</w:t>
            </w:r>
          </w:p>
        </w:tc>
        <w:tc>
          <w:tcPr>
            <w:tcW w:w="1260" w:type="dxa"/>
            <w:vAlign w:val="center"/>
          </w:tcPr>
          <w:p w14:paraId="6B82636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3C00BD5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77A7556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X≥1000</w:t>
            </w:r>
          </w:p>
        </w:tc>
        <w:tc>
          <w:tcPr>
            <w:tcW w:w="1845" w:type="dxa"/>
            <w:vAlign w:val="center"/>
          </w:tcPr>
          <w:p w14:paraId="3A3DFF7F">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300≤X＜1000</w:t>
            </w:r>
          </w:p>
        </w:tc>
        <w:tc>
          <w:tcPr>
            <w:tcW w:w="1530" w:type="dxa"/>
            <w:vAlign w:val="center"/>
          </w:tcPr>
          <w:p w14:paraId="57E040B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100≤X＜300</w:t>
            </w:r>
          </w:p>
        </w:tc>
        <w:tc>
          <w:tcPr>
            <w:tcW w:w="1122" w:type="dxa"/>
            <w:vAlign w:val="center"/>
          </w:tcPr>
          <w:p w14:paraId="1FE03035">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X＜100</w:t>
            </w:r>
          </w:p>
        </w:tc>
      </w:tr>
      <w:tr w14:paraId="0B3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3BCEC9E8">
            <w:pPr>
              <w:widowControl/>
              <w:spacing w:line="330" w:lineRule="atLeast"/>
              <w:textAlignment w:val="center"/>
              <w:rPr>
                <w:rFonts w:ascii="宋体" w:hAnsi="宋体" w:cs="宋体"/>
                <w:sz w:val="21"/>
                <w:szCs w:val="21"/>
              </w:rPr>
            </w:pPr>
          </w:p>
        </w:tc>
        <w:tc>
          <w:tcPr>
            <w:tcW w:w="1260" w:type="dxa"/>
            <w:vAlign w:val="center"/>
          </w:tcPr>
          <w:p w14:paraId="5E35D0D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营业收入(Y)</w:t>
            </w:r>
          </w:p>
        </w:tc>
        <w:tc>
          <w:tcPr>
            <w:tcW w:w="711" w:type="dxa"/>
            <w:vAlign w:val="center"/>
          </w:tcPr>
          <w:p w14:paraId="18EC4A6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71BAD1B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Y≥5000</w:t>
            </w:r>
          </w:p>
        </w:tc>
        <w:tc>
          <w:tcPr>
            <w:tcW w:w="1845" w:type="dxa"/>
            <w:vAlign w:val="center"/>
          </w:tcPr>
          <w:p w14:paraId="7BA8F68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1000≤Y＜5000</w:t>
            </w:r>
          </w:p>
        </w:tc>
        <w:tc>
          <w:tcPr>
            <w:tcW w:w="1530" w:type="dxa"/>
            <w:vAlign w:val="center"/>
          </w:tcPr>
          <w:p w14:paraId="03EFA57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500≤Y＜1000</w:t>
            </w:r>
          </w:p>
        </w:tc>
        <w:tc>
          <w:tcPr>
            <w:tcW w:w="1122" w:type="dxa"/>
            <w:vAlign w:val="center"/>
          </w:tcPr>
          <w:p w14:paraId="619084A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Y＜500</w:t>
            </w:r>
          </w:p>
        </w:tc>
      </w:tr>
      <w:tr w14:paraId="609A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3441E9E4">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租赁和商务服务业</w:t>
            </w:r>
          </w:p>
        </w:tc>
        <w:tc>
          <w:tcPr>
            <w:tcW w:w="1260" w:type="dxa"/>
            <w:vAlign w:val="center"/>
          </w:tcPr>
          <w:p w14:paraId="5E7D857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2A01132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53F7FF3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X≥300</w:t>
            </w:r>
          </w:p>
        </w:tc>
        <w:tc>
          <w:tcPr>
            <w:tcW w:w="1845" w:type="dxa"/>
            <w:vAlign w:val="center"/>
          </w:tcPr>
          <w:p w14:paraId="0E9ECD2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100≤X＜300</w:t>
            </w:r>
          </w:p>
        </w:tc>
        <w:tc>
          <w:tcPr>
            <w:tcW w:w="1530" w:type="dxa"/>
            <w:vAlign w:val="center"/>
          </w:tcPr>
          <w:p w14:paraId="4966EB0C">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10≤X＜100</w:t>
            </w:r>
          </w:p>
        </w:tc>
        <w:tc>
          <w:tcPr>
            <w:tcW w:w="1122" w:type="dxa"/>
            <w:vAlign w:val="center"/>
          </w:tcPr>
          <w:p w14:paraId="6A2697F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r w14:paraId="7FC2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104D7410">
            <w:pPr>
              <w:widowControl/>
              <w:spacing w:line="330" w:lineRule="atLeast"/>
              <w:textAlignment w:val="center"/>
              <w:rPr>
                <w:rFonts w:ascii="宋体" w:hAnsi="宋体" w:cs="宋体"/>
                <w:sz w:val="21"/>
                <w:szCs w:val="21"/>
              </w:rPr>
            </w:pPr>
          </w:p>
        </w:tc>
        <w:tc>
          <w:tcPr>
            <w:tcW w:w="1260" w:type="dxa"/>
            <w:vAlign w:val="center"/>
          </w:tcPr>
          <w:p w14:paraId="2BDF1A41">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资产总额(Z)</w:t>
            </w:r>
          </w:p>
        </w:tc>
        <w:tc>
          <w:tcPr>
            <w:tcW w:w="711" w:type="dxa"/>
            <w:vAlign w:val="center"/>
          </w:tcPr>
          <w:p w14:paraId="30E232F2">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万元</w:t>
            </w:r>
          </w:p>
        </w:tc>
        <w:tc>
          <w:tcPr>
            <w:tcW w:w="1225" w:type="dxa"/>
            <w:vAlign w:val="center"/>
          </w:tcPr>
          <w:p w14:paraId="0B228607">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Z≥120000</w:t>
            </w:r>
          </w:p>
        </w:tc>
        <w:tc>
          <w:tcPr>
            <w:tcW w:w="1845" w:type="dxa"/>
            <w:vAlign w:val="center"/>
          </w:tcPr>
          <w:p w14:paraId="396122CE">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8000≤Z＜120000</w:t>
            </w:r>
          </w:p>
        </w:tc>
        <w:tc>
          <w:tcPr>
            <w:tcW w:w="1530" w:type="dxa"/>
            <w:vAlign w:val="center"/>
          </w:tcPr>
          <w:p w14:paraId="01EE61E8">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100≤Z＜8000</w:t>
            </w:r>
          </w:p>
        </w:tc>
        <w:tc>
          <w:tcPr>
            <w:tcW w:w="1122" w:type="dxa"/>
            <w:vAlign w:val="center"/>
          </w:tcPr>
          <w:p w14:paraId="369E22B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Z＜100</w:t>
            </w:r>
          </w:p>
        </w:tc>
      </w:tr>
      <w:tr w14:paraId="612B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06DBC2B6">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其他未列明行业 *</w:t>
            </w:r>
          </w:p>
        </w:tc>
        <w:tc>
          <w:tcPr>
            <w:tcW w:w="1260" w:type="dxa"/>
            <w:vAlign w:val="center"/>
          </w:tcPr>
          <w:p w14:paraId="0AE50433">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从业人员(X)</w:t>
            </w:r>
          </w:p>
        </w:tc>
        <w:tc>
          <w:tcPr>
            <w:tcW w:w="711" w:type="dxa"/>
            <w:vAlign w:val="center"/>
          </w:tcPr>
          <w:p w14:paraId="0168511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人</w:t>
            </w:r>
          </w:p>
        </w:tc>
        <w:tc>
          <w:tcPr>
            <w:tcW w:w="1225" w:type="dxa"/>
            <w:vAlign w:val="center"/>
          </w:tcPr>
          <w:p w14:paraId="1452877A">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X≥300</w:t>
            </w:r>
          </w:p>
        </w:tc>
        <w:tc>
          <w:tcPr>
            <w:tcW w:w="1845" w:type="dxa"/>
            <w:vAlign w:val="center"/>
          </w:tcPr>
          <w:p w14:paraId="4BB7E879">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100≤X＜300</w:t>
            </w:r>
          </w:p>
        </w:tc>
        <w:tc>
          <w:tcPr>
            <w:tcW w:w="1530" w:type="dxa"/>
            <w:vAlign w:val="center"/>
          </w:tcPr>
          <w:p w14:paraId="11BB599B">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10≤X＜100</w:t>
            </w:r>
          </w:p>
        </w:tc>
        <w:tc>
          <w:tcPr>
            <w:tcW w:w="1122" w:type="dxa"/>
            <w:vAlign w:val="center"/>
          </w:tcPr>
          <w:p w14:paraId="0061DFDD">
            <w:pPr>
              <w:widowControl/>
              <w:wordWrap w:val="0"/>
              <w:spacing w:line="360" w:lineRule="atLeast"/>
              <w:textAlignment w:val="center"/>
              <w:rPr>
                <w:rFonts w:ascii="宋体" w:hAnsi="宋体" w:cs="宋体"/>
                <w:sz w:val="21"/>
                <w:szCs w:val="21"/>
              </w:rPr>
            </w:pPr>
            <w:r>
              <w:rPr>
                <w:rFonts w:hint="eastAsia" w:ascii="宋体" w:hAnsi="宋体" w:cs="宋体"/>
                <w:color w:val="333333"/>
                <w:sz w:val="21"/>
                <w:szCs w:val="21"/>
                <w:lang w:eastAsia="zh-CN" w:bidi="ar"/>
              </w:rPr>
              <w:t>X＜10</w:t>
            </w:r>
          </w:p>
        </w:tc>
      </w:tr>
    </w:tbl>
    <w:p w14:paraId="022E9FEB">
      <w:pPr>
        <w:widowControl/>
        <w:shd w:val="clear" w:color="auto" w:fill="FFFFFF"/>
        <w:spacing w:line="400" w:lineRule="exact"/>
        <w:rPr>
          <w:rFonts w:ascii="宋体" w:hAnsi="宋体" w:cs="宋体"/>
          <w:color w:val="333333"/>
          <w:sz w:val="21"/>
          <w:szCs w:val="21"/>
        </w:rPr>
      </w:pPr>
      <w:r>
        <w:rPr>
          <w:rFonts w:hint="eastAsia" w:ascii="宋体" w:hAnsi="宋体" w:cs="宋体"/>
          <w:color w:val="333333"/>
          <w:sz w:val="21"/>
          <w:szCs w:val="21"/>
          <w:shd w:val="clear" w:color="auto" w:fill="FFFFFF"/>
          <w:lang w:eastAsia="zh-CN" w:bidi="ar"/>
        </w:rPr>
        <w:t>说明：</w:t>
      </w:r>
    </w:p>
    <w:p w14:paraId="21FD922C">
      <w:pPr>
        <w:widowControl/>
        <w:shd w:val="clear" w:color="auto" w:fill="FFFFFF"/>
        <w:spacing w:line="400" w:lineRule="exact"/>
        <w:jc w:val="both"/>
        <w:rPr>
          <w:rFonts w:ascii="宋体" w:hAnsi="宋体" w:cs="宋体"/>
          <w:color w:val="333333"/>
          <w:sz w:val="21"/>
          <w:szCs w:val="21"/>
          <w:lang w:eastAsia="zh-CN"/>
        </w:rPr>
      </w:pPr>
      <w:r>
        <w:rPr>
          <w:rFonts w:hint="eastAsia" w:ascii="宋体" w:hAnsi="宋体" w:cs="宋体"/>
          <w:color w:val="333333"/>
          <w:sz w:val="21"/>
          <w:szCs w:val="21"/>
          <w:shd w:val="clear" w:color="auto" w:fill="FFFFFF"/>
          <w:lang w:eastAsia="zh-CN" w:bidi="ar"/>
        </w:rPr>
        <w:t>1.大型、中型和小型企业须同时满足所列指标的下限，否则下划一档；微型企业只须满足所列指标中的一项即可。</w:t>
      </w:r>
    </w:p>
    <w:p w14:paraId="153D96DF">
      <w:pPr>
        <w:widowControl/>
        <w:shd w:val="clear" w:color="auto" w:fill="FFFFFF"/>
        <w:spacing w:line="400" w:lineRule="exact"/>
        <w:jc w:val="both"/>
        <w:rPr>
          <w:rFonts w:ascii="宋体" w:hAnsi="宋体" w:cs="宋体"/>
          <w:color w:val="333333"/>
          <w:sz w:val="21"/>
          <w:szCs w:val="21"/>
          <w:lang w:eastAsia="zh-CN"/>
        </w:rPr>
      </w:pPr>
      <w:r>
        <w:rPr>
          <w:rFonts w:hint="eastAsia" w:ascii="宋体" w:hAnsi="宋体" w:cs="宋体"/>
          <w:color w:val="333333"/>
          <w:sz w:val="21"/>
          <w:szCs w:val="21"/>
          <w:shd w:val="clear" w:color="auto" w:fill="FFFFFF"/>
          <w:lang w:eastAsia="zh-CN" w:bidi="ar"/>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C272DB">
      <w:pPr>
        <w:widowControl/>
        <w:shd w:val="clear" w:color="auto" w:fill="FFFFFF"/>
        <w:spacing w:line="400" w:lineRule="exact"/>
        <w:rPr>
          <w:rFonts w:ascii="宋体" w:hAnsi="宋体" w:cs="宋体"/>
          <w:color w:val="333333"/>
          <w:sz w:val="21"/>
          <w:szCs w:val="21"/>
          <w:shd w:val="clear" w:color="auto" w:fill="FFFFFF"/>
          <w:lang w:eastAsia="zh-CN" w:bidi="ar"/>
        </w:rPr>
      </w:pPr>
      <w:r>
        <w:rPr>
          <w:rFonts w:hint="eastAsia" w:ascii="宋体" w:hAnsi="宋体" w:cs="宋体"/>
          <w:color w:val="333333"/>
          <w:sz w:val="21"/>
          <w:szCs w:val="21"/>
          <w:shd w:val="clear" w:color="auto" w:fill="FFFFFF"/>
          <w:lang w:eastAsia="zh-CN" w:bidi="ar"/>
        </w:rPr>
        <w:t>3.企业划分指标以现行统计制度为准。</w:t>
      </w:r>
    </w:p>
    <w:p w14:paraId="7E67CAE8">
      <w:pPr>
        <w:widowControl/>
        <w:shd w:val="clear" w:color="auto" w:fill="FFFFFF"/>
        <w:spacing w:line="400" w:lineRule="exact"/>
        <w:jc w:val="both"/>
        <w:rPr>
          <w:rFonts w:hint="eastAsia" w:ascii="宋体" w:hAnsi="宋体" w:cs="宋体"/>
          <w:color w:val="333333"/>
          <w:sz w:val="21"/>
          <w:szCs w:val="21"/>
          <w:shd w:val="clear" w:color="auto" w:fill="FFFFFF"/>
          <w:lang w:eastAsia="zh-CN" w:bidi="ar"/>
        </w:rPr>
      </w:pPr>
      <w:r>
        <w:rPr>
          <w:rFonts w:hint="eastAsia" w:ascii="宋体" w:hAnsi="宋体" w:cs="宋体"/>
          <w:color w:val="333333"/>
          <w:sz w:val="21"/>
          <w:szCs w:val="21"/>
          <w:shd w:val="clear" w:color="auto" w:fill="FFFFFF"/>
          <w:lang w:eastAsia="zh-CN" w:bidi="ar"/>
        </w:rPr>
        <w:t>（1）从业人员，是指期末从业人员数，没有期末从业人员数的，采用全年平均人员数代替。</w:t>
      </w:r>
    </w:p>
    <w:p w14:paraId="6C24B356">
      <w:pPr>
        <w:widowControl/>
        <w:shd w:val="clear" w:color="auto" w:fill="FFFFFF"/>
        <w:spacing w:line="400" w:lineRule="exact"/>
        <w:jc w:val="both"/>
        <w:rPr>
          <w:rFonts w:ascii="宋体" w:hAnsi="宋体" w:cs="宋体"/>
          <w:color w:val="333333"/>
          <w:sz w:val="21"/>
          <w:szCs w:val="21"/>
          <w:shd w:val="clear" w:color="auto" w:fill="FFFFFF"/>
          <w:lang w:eastAsia="zh-CN" w:bidi="ar"/>
        </w:rPr>
      </w:pPr>
      <w:r>
        <w:rPr>
          <w:rFonts w:hint="eastAsia" w:ascii="宋体" w:hAnsi="宋体" w:cs="宋体"/>
          <w:color w:val="333333"/>
          <w:sz w:val="21"/>
          <w:szCs w:val="21"/>
          <w:shd w:val="clear" w:color="auto" w:fill="FFFFFF"/>
          <w:lang w:eastAsia="zh-CN" w:bidi="ar"/>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8C59BFE">
      <w:pPr>
        <w:widowControl/>
        <w:shd w:val="clear" w:color="auto" w:fill="FFFFFF"/>
        <w:spacing w:line="400" w:lineRule="exact"/>
        <w:rPr>
          <w:rFonts w:ascii="宋体" w:hAnsi="宋体" w:cs="宋体"/>
          <w:color w:val="333333"/>
          <w:sz w:val="21"/>
          <w:szCs w:val="21"/>
          <w:lang w:eastAsia="zh-CN"/>
        </w:rPr>
      </w:pPr>
      <w:r>
        <w:rPr>
          <w:rFonts w:hint="eastAsia" w:ascii="宋体" w:hAnsi="宋体" w:cs="宋体"/>
          <w:color w:val="333333"/>
          <w:sz w:val="21"/>
          <w:szCs w:val="21"/>
          <w:shd w:val="clear" w:color="auto" w:fill="FFFFFF"/>
          <w:lang w:eastAsia="zh-CN" w:bidi="ar"/>
        </w:rPr>
        <w:t>（3）资产总额，采用资产总计代替。</w:t>
      </w:r>
    </w:p>
    <w:p w14:paraId="28CF3278">
      <w:pPr>
        <w:spacing w:line="240" w:lineRule="atLeast"/>
        <w:jc w:val="both"/>
        <w:rPr>
          <w:rFonts w:ascii="宋体" w:hAnsi="宋体" w:cs="Times New Roman"/>
          <w:sz w:val="20"/>
          <w:szCs w:val="20"/>
          <w:lang w:eastAsia="zh-CN"/>
        </w:rPr>
      </w:pPr>
      <w:r>
        <w:rPr>
          <w:rFonts w:ascii="宋体" w:hAnsi="宋体" w:cs="Times New Roman"/>
          <w:lang w:eastAsia="zh-CN"/>
        </w:rPr>
        <w:br w:type="page"/>
      </w:r>
    </w:p>
    <w:p w14:paraId="34572FA3">
      <w:pPr>
        <w:spacing w:line="100" w:lineRule="exact"/>
        <w:rPr>
          <w:rFonts w:ascii="宋体" w:hAnsi="宋体"/>
          <w:lang w:eastAsia="zh-CN"/>
        </w:rPr>
      </w:pPr>
      <w:bookmarkStart w:id="38" w:name="_Toc443895872"/>
    </w:p>
    <w:p w14:paraId="23B7B2FB">
      <w:pPr>
        <w:spacing w:line="480" w:lineRule="exact"/>
        <w:jc w:val="center"/>
        <w:outlineLvl w:val="0"/>
        <w:rPr>
          <w:rFonts w:ascii="宋体" w:hAnsi="宋体" w:cs="宋体"/>
          <w:lang w:eastAsia="zh-CN"/>
        </w:rPr>
      </w:pPr>
      <w:bookmarkStart w:id="39" w:name="_Toc14236"/>
      <w:bookmarkStart w:id="40" w:name="_Toc4867"/>
      <w:bookmarkStart w:id="41" w:name="_Toc12035"/>
      <w:bookmarkStart w:id="42" w:name="_Toc32721"/>
      <w:bookmarkStart w:id="43" w:name="_Toc2446"/>
      <w:r>
        <w:rPr>
          <w:rFonts w:hint="eastAsia" w:ascii="宋体" w:hAnsi="宋体"/>
          <w:b/>
          <w:sz w:val="32"/>
          <w:szCs w:val="32"/>
          <w:lang w:eastAsia="zh-CN"/>
        </w:rPr>
        <w:t>第三章 合同条款及格式</w:t>
      </w:r>
      <w:bookmarkEnd w:id="39"/>
      <w:bookmarkEnd w:id="40"/>
      <w:bookmarkEnd w:id="41"/>
      <w:bookmarkEnd w:id="42"/>
      <w:bookmarkEnd w:id="43"/>
    </w:p>
    <w:p w14:paraId="352ACE1E">
      <w:pPr>
        <w:spacing w:before="65" w:line="228" w:lineRule="auto"/>
        <w:rPr>
          <w:rFonts w:ascii="宋体" w:hAnsi="宋体" w:cs="宋体"/>
          <w:spacing w:val="14"/>
          <w:sz w:val="21"/>
          <w:szCs w:val="21"/>
          <w:lang w:eastAsia="zh-CN"/>
        </w:rPr>
      </w:pPr>
    </w:p>
    <w:p w14:paraId="412C4ECC">
      <w:pPr>
        <w:pStyle w:val="3"/>
        <w:spacing w:line="360" w:lineRule="auto"/>
        <w:ind w:firstLine="0"/>
        <w:rPr>
          <w:rFonts w:hint="eastAsia" w:ascii="宋体" w:hAnsi="宋体" w:eastAsia="宋体" w:cs="宋体"/>
        </w:rPr>
      </w:pPr>
      <w:bookmarkStart w:id="44" w:name="_Toc152758260"/>
      <w:bookmarkStart w:id="45" w:name="_Toc19693"/>
    </w:p>
    <w:p w14:paraId="15341568">
      <w:pPr>
        <w:pStyle w:val="3"/>
        <w:spacing w:line="360" w:lineRule="auto"/>
        <w:ind w:firstLine="0"/>
        <w:rPr>
          <w:rFonts w:hint="eastAsia" w:ascii="宋体" w:hAnsi="宋体" w:eastAsia="宋体" w:cs="宋体"/>
        </w:rPr>
      </w:pPr>
    </w:p>
    <w:p w14:paraId="0CC4845F">
      <w:pPr>
        <w:pStyle w:val="3"/>
        <w:spacing w:line="360" w:lineRule="auto"/>
        <w:ind w:firstLine="0"/>
        <w:rPr>
          <w:rFonts w:hint="eastAsia" w:ascii="宋体" w:hAnsi="宋体" w:eastAsia="宋体" w:cs="宋体"/>
        </w:rPr>
      </w:pPr>
    </w:p>
    <w:p w14:paraId="076EB915">
      <w:pPr>
        <w:pStyle w:val="3"/>
        <w:spacing w:line="360" w:lineRule="auto"/>
        <w:ind w:firstLine="0"/>
        <w:rPr>
          <w:rFonts w:hint="eastAsia" w:ascii="宋体" w:hAnsi="宋体" w:eastAsia="宋体" w:cs="宋体"/>
        </w:rPr>
      </w:pPr>
    </w:p>
    <w:p w14:paraId="7D483F1E">
      <w:pPr>
        <w:spacing w:line="360" w:lineRule="auto"/>
        <w:ind w:firstLine="0"/>
        <w:jc w:val="center"/>
        <w:outlineLvl w:val="9"/>
        <w:rPr>
          <w:rFonts w:hint="eastAsia" w:ascii="宋体" w:hAnsi="宋体" w:eastAsia="宋体" w:cs="宋体"/>
          <w:b/>
          <w:bCs/>
          <w:sz w:val="44"/>
          <w:szCs w:val="44"/>
        </w:rPr>
      </w:pPr>
      <w:r>
        <w:rPr>
          <w:rFonts w:hint="eastAsia" w:ascii="宋体" w:hAnsi="宋体" w:eastAsia="宋体" w:cs="宋体"/>
          <w:b/>
          <w:bCs/>
          <w:sz w:val="44"/>
          <w:szCs w:val="44"/>
        </w:rPr>
        <w:t>周口市政府采购合同（服务类）标准文本</w:t>
      </w:r>
      <w:bookmarkEnd w:id="44"/>
    </w:p>
    <w:p w14:paraId="42CBCD42">
      <w:pPr>
        <w:ind w:firstLine="640" w:firstLineChars="200"/>
        <w:rPr>
          <w:rFonts w:hint="eastAsia" w:ascii="宋体" w:hAnsi="宋体" w:cs="宋体"/>
          <w:sz w:val="32"/>
          <w:szCs w:val="32"/>
        </w:rPr>
      </w:pPr>
    </w:p>
    <w:p w14:paraId="257199C7">
      <w:pPr>
        <w:pStyle w:val="43"/>
        <w:spacing w:beforeLines="0" w:afterLines="0"/>
        <w:ind w:left="0" w:firstLine="640" w:firstLineChars="200"/>
        <w:rPr>
          <w:rFonts w:hint="eastAsia" w:ascii="宋体" w:hAnsi="宋体" w:cs="宋体"/>
          <w:sz w:val="32"/>
          <w:szCs w:val="32"/>
        </w:rPr>
      </w:pPr>
    </w:p>
    <w:p w14:paraId="42F53C1A">
      <w:pPr>
        <w:pStyle w:val="43"/>
        <w:spacing w:beforeLines="0" w:afterLines="0"/>
        <w:ind w:left="0" w:firstLine="640" w:firstLineChars="200"/>
        <w:rPr>
          <w:rFonts w:hint="eastAsia" w:ascii="宋体" w:hAnsi="宋体" w:cs="宋体"/>
          <w:sz w:val="32"/>
          <w:szCs w:val="32"/>
        </w:rPr>
      </w:pPr>
    </w:p>
    <w:p w14:paraId="23A5BB6B">
      <w:pPr>
        <w:pStyle w:val="43"/>
        <w:spacing w:beforeLines="0" w:afterLines="0"/>
        <w:ind w:left="0" w:firstLine="600" w:firstLineChars="200"/>
        <w:rPr>
          <w:rFonts w:hint="eastAsia" w:ascii="宋体" w:hAnsi="宋体" w:cs="宋体"/>
          <w:sz w:val="30"/>
          <w:szCs w:val="30"/>
        </w:rPr>
      </w:pPr>
    </w:p>
    <w:p w14:paraId="133107D1">
      <w:pPr>
        <w:pStyle w:val="43"/>
        <w:spacing w:beforeLines="0" w:afterLines="0"/>
        <w:ind w:left="0" w:firstLine="600" w:firstLineChars="200"/>
        <w:rPr>
          <w:rFonts w:hint="eastAsia" w:ascii="宋体" w:hAnsi="宋体" w:cs="宋体"/>
          <w:sz w:val="30"/>
          <w:szCs w:val="30"/>
        </w:rPr>
      </w:pPr>
    </w:p>
    <w:p w14:paraId="150006B4">
      <w:pPr>
        <w:pStyle w:val="43"/>
        <w:spacing w:beforeLines="0" w:afterLines="0"/>
        <w:ind w:left="0" w:firstLine="600" w:firstLineChars="200"/>
        <w:rPr>
          <w:rFonts w:hint="eastAsia" w:ascii="宋体" w:hAnsi="宋体" w:cs="宋体"/>
          <w:sz w:val="30"/>
          <w:szCs w:val="30"/>
        </w:rPr>
      </w:pPr>
    </w:p>
    <w:p w14:paraId="4A779542">
      <w:pPr>
        <w:pStyle w:val="43"/>
        <w:spacing w:beforeLines="0" w:afterLines="0"/>
        <w:ind w:left="0" w:firstLine="600" w:firstLineChars="200"/>
        <w:rPr>
          <w:rFonts w:hint="eastAsia" w:ascii="宋体" w:hAnsi="宋体" w:cs="宋体"/>
          <w:sz w:val="30"/>
          <w:szCs w:val="30"/>
        </w:rPr>
      </w:pPr>
    </w:p>
    <w:p w14:paraId="78B0706F">
      <w:pPr>
        <w:pStyle w:val="43"/>
        <w:spacing w:beforeLines="0" w:afterLines="0"/>
        <w:ind w:left="0" w:leftChars="0" w:firstLine="0" w:firstLineChars="0"/>
        <w:rPr>
          <w:rFonts w:hint="eastAsia" w:ascii="宋体" w:hAnsi="宋体" w:cs="宋体"/>
          <w:sz w:val="24"/>
        </w:rPr>
      </w:pPr>
    </w:p>
    <w:p w14:paraId="7E05280B">
      <w:pPr>
        <w:pStyle w:val="43"/>
        <w:spacing w:beforeLines="0" w:afterLines="0"/>
        <w:ind w:left="0" w:firstLine="420" w:firstLineChars="200"/>
        <w:rPr>
          <w:rFonts w:hint="default" w:ascii="宋体" w:hAnsi="宋体" w:eastAsia="宋体" w:cs="宋体"/>
          <w:sz w:val="21"/>
          <w:szCs w:val="21"/>
          <w:u w:val="single"/>
          <w:lang w:val="en-US" w:eastAsia="zh-CN"/>
        </w:rPr>
      </w:pPr>
      <w:r>
        <w:rPr>
          <w:rFonts w:hint="eastAsia" w:ascii="宋体" w:hAnsi="宋体" w:cs="宋体"/>
          <w:sz w:val="21"/>
          <w:szCs w:val="21"/>
        </w:rPr>
        <w:t>政府采购项目名称：</w:t>
      </w:r>
      <w:r>
        <w:rPr>
          <w:rFonts w:hint="eastAsia" w:ascii="宋体" w:hAnsi="宋体" w:cs="宋体"/>
          <w:sz w:val="21"/>
          <w:szCs w:val="21"/>
          <w:u w:val="single"/>
          <w:lang w:val="en-US" w:eastAsia="zh-CN"/>
        </w:rPr>
        <w:t xml:space="preserve">                            </w:t>
      </w:r>
    </w:p>
    <w:p w14:paraId="553D2BCD">
      <w:pPr>
        <w:pStyle w:val="43"/>
        <w:spacing w:beforeLines="0" w:afterLines="0"/>
        <w:ind w:left="0" w:firstLine="420" w:firstLineChars="200"/>
        <w:rPr>
          <w:rFonts w:hint="default" w:ascii="宋体" w:hAnsi="宋体" w:eastAsia="宋体" w:cs="宋体"/>
          <w:sz w:val="21"/>
          <w:szCs w:val="21"/>
          <w:u w:val="single"/>
          <w:lang w:val="en-US" w:eastAsia="zh-CN"/>
        </w:rPr>
      </w:pPr>
      <w:r>
        <w:rPr>
          <w:rFonts w:hint="eastAsia" w:ascii="宋体" w:hAnsi="宋体" w:cs="宋体"/>
          <w:sz w:val="21"/>
          <w:szCs w:val="21"/>
        </w:rPr>
        <w:t>政府采购项目编号：</w:t>
      </w:r>
      <w:r>
        <w:rPr>
          <w:rFonts w:hint="eastAsia" w:ascii="宋体" w:hAnsi="宋体" w:cs="宋体"/>
          <w:sz w:val="21"/>
          <w:szCs w:val="21"/>
          <w:u w:val="single"/>
          <w:lang w:val="en-US" w:eastAsia="zh-CN"/>
        </w:rPr>
        <w:t xml:space="preserve">                           </w:t>
      </w:r>
    </w:p>
    <w:p w14:paraId="09951688">
      <w:pPr>
        <w:pStyle w:val="43"/>
        <w:spacing w:beforeLines="0" w:afterLines="0"/>
        <w:ind w:left="0" w:firstLine="420" w:firstLineChars="200"/>
        <w:rPr>
          <w:rFonts w:hint="default" w:ascii="宋体" w:hAnsi="宋体" w:eastAsia="宋体" w:cs="宋体"/>
          <w:sz w:val="21"/>
          <w:szCs w:val="21"/>
          <w:u w:val="single"/>
          <w:lang w:val="en-US" w:eastAsia="zh-CN"/>
        </w:rPr>
      </w:pPr>
      <w:r>
        <w:rPr>
          <w:rFonts w:hint="eastAsia" w:ascii="宋体" w:hAnsi="宋体" w:cs="宋体"/>
          <w:sz w:val="21"/>
          <w:szCs w:val="21"/>
        </w:rPr>
        <w:t>采      购    人：</w:t>
      </w:r>
      <w:r>
        <w:rPr>
          <w:rFonts w:hint="eastAsia" w:ascii="宋体" w:hAnsi="宋体" w:cs="宋体"/>
          <w:sz w:val="21"/>
          <w:szCs w:val="21"/>
          <w:u w:val="single"/>
          <w:lang w:val="en-US" w:eastAsia="zh-CN"/>
        </w:rPr>
        <w:t xml:space="preserve">                            </w:t>
      </w:r>
    </w:p>
    <w:p w14:paraId="68DF3F1A">
      <w:pPr>
        <w:pStyle w:val="43"/>
        <w:spacing w:beforeLines="0" w:afterLines="0"/>
        <w:ind w:left="0" w:firstLine="420" w:firstLineChars="200"/>
        <w:rPr>
          <w:rFonts w:hint="default" w:ascii="宋体" w:hAnsi="宋体" w:eastAsia="宋体" w:cs="宋体"/>
          <w:sz w:val="21"/>
          <w:szCs w:val="21"/>
          <w:u w:val="single"/>
          <w:lang w:val="en-US" w:eastAsia="zh-CN"/>
        </w:rPr>
      </w:pPr>
      <w:r>
        <w:rPr>
          <w:rFonts w:hint="eastAsia" w:ascii="宋体" w:hAnsi="宋体" w:cs="宋体"/>
          <w:sz w:val="21"/>
          <w:szCs w:val="21"/>
        </w:rPr>
        <w:t>供      应    商：</w:t>
      </w:r>
      <w:r>
        <w:rPr>
          <w:rFonts w:hint="eastAsia" w:ascii="宋体" w:hAnsi="宋体" w:cs="宋体"/>
          <w:sz w:val="21"/>
          <w:szCs w:val="21"/>
          <w:u w:val="single"/>
          <w:lang w:val="en-US" w:eastAsia="zh-CN"/>
        </w:rPr>
        <w:t xml:space="preserve">                            </w:t>
      </w:r>
    </w:p>
    <w:p w14:paraId="21309228">
      <w:pPr>
        <w:pStyle w:val="43"/>
        <w:spacing w:beforeLines="0" w:afterLines="0"/>
        <w:ind w:left="0" w:firstLine="420" w:firstLineChars="200"/>
        <w:rPr>
          <w:rFonts w:hint="default" w:ascii="宋体" w:hAnsi="宋体" w:eastAsia="宋体" w:cs="宋体"/>
          <w:sz w:val="21"/>
          <w:szCs w:val="21"/>
          <w:u w:val="single"/>
          <w:lang w:val="en-US" w:eastAsia="zh-CN"/>
        </w:rPr>
      </w:pPr>
      <w:r>
        <w:rPr>
          <w:rFonts w:hint="eastAsia" w:ascii="宋体" w:hAnsi="宋体" w:cs="宋体"/>
          <w:sz w:val="21"/>
          <w:szCs w:val="21"/>
        </w:rPr>
        <w:t>合  同  签 订 地：</w:t>
      </w:r>
      <w:r>
        <w:rPr>
          <w:rFonts w:hint="eastAsia" w:ascii="宋体" w:hAnsi="宋体" w:cs="宋体"/>
          <w:sz w:val="21"/>
          <w:szCs w:val="21"/>
          <w:u w:val="single"/>
          <w:lang w:val="en-US" w:eastAsia="zh-CN"/>
        </w:rPr>
        <w:t xml:space="preserve">                            </w:t>
      </w:r>
    </w:p>
    <w:p w14:paraId="07C604C6">
      <w:pPr>
        <w:pStyle w:val="43"/>
        <w:spacing w:beforeLines="0" w:afterLines="0"/>
        <w:ind w:left="0" w:firstLine="420" w:firstLineChars="200"/>
        <w:rPr>
          <w:rFonts w:hint="default" w:ascii="宋体" w:hAnsi="宋体" w:eastAsia="宋体" w:cs="宋体"/>
          <w:sz w:val="21"/>
          <w:szCs w:val="21"/>
          <w:u w:val="single"/>
          <w:lang w:val="en-US" w:eastAsia="zh-CN"/>
        </w:rPr>
      </w:pPr>
      <w:r>
        <w:rPr>
          <w:rFonts w:hint="eastAsia" w:ascii="宋体" w:hAnsi="宋体" w:cs="宋体"/>
          <w:sz w:val="21"/>
          <w:szCs w:val="21"/>
        </w:rPr>
        <w:t>合 同 签订 时 间：</w:t>
      </w:r>
      <w:r>
        <w:rPr>
          <w:rFonts w:hint="eastAsia" w:ascii="宋体" w:hAnsi="宋体" w:cs="宋体"/>
          <w:sz w:val="21"/>
          <w:szCs w:val="21"/>
          <w:u w:val="single"/>
          <w:lang w:val="en-US" w:eastAsia="zh-CN"/>
        </w:rPr>
        <w:t xml:space="preserve">                            </w:t>
      </w:r>
    </w:p>
    <w:p w14:paraId="25C7A865">
      <w:pPr>
        <w:pStyle w:val="43"/>
        <w:spacing w:before="0" w:beforeLines="0" w:after="0" w:afterLines="0" w:line="360" w:lineRule="auto"/>
        <w:ind w:left="0"/>
        <w:jc w:val="center"/>
        <w:rPr>
          <w:rFonts w:hint="eastAsia" w:asciiTheme="minorEastAsia" w:hAnsiTheme="minorEastAsia" w:eastAsiaTheme="minorEastAsia" w:cstheme="minorEastAsia"/>
          <w:b/>
          <w:bCs/>
          <w:sz w:val="21"/>
          <w:szCs w:val="21"/>
        </w:rPr>
      </w:pPr>
      <w:r>
        <w:rPr>
          <w:rFonts w:hint="eastAsia" w:ascii="宋体" w:hAnsi="宋体" w:cs="宋体"/>
          <w:b/>
          <w:bCs/>
          <w:sz w:val="24"/>
        </w:rPr>
        <w:br w:type="page"/>
      </w:r>
      <w:r>
        <w:rPr>
          <w:rFonts w:hint="eastAsia" w:asciiTheme="minorEastAsia" w:hAnsiTheme="minorEastAsia" w:eastAsiaTheme="minorEastAsia" w:cstheme="minorEastAsia"/>
          <w:b/>
          <w:bCs/>
          <w:sz w:val="21"/>
          <w:szCs w:val="21"/>
        </w:rPr>
        <w:t>合同签订指引</w:t>
      </w:r>
    </w:p>
    <w:p w14:paraId="70E27A1C">
      <w:pPr>
        <w:pStyle w:val="43"/>
        <w:spacing w:before="0" w:beforeLines="0" w:after="0" w:afterLines="0" w:line="360" w:lineRule="auto"/>
        <w:ind w:left="0"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一、采购人在签订合同时应提供的资料：</w:t>
      </w:r>
    </w:p>
    <w:p w14:paraId="5E15A14B">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1、该政府采购项目的招标采购文件（以网上发布内容为准）；</w:t>
      </w:r>
    </w:p>
    <w:p w14:paraId="5CC8C2C1">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2、该政府采购项目招标文件的澄清和修改内容（公告内容）；</w:t>
      </w:r>
    </w:p>
    <w:p w14:paraId="054FE9B7">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3、该政府采购项目评审报告；</w:t>
      </w:r>
    </w:p>
    <w:p w14:paraId="5CBC65F2">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4、采购单位法人授权委托书（法人到场并签字的除外）；</w:t>
      </w:r>
    </w:p>
    <w:p w14:paraId="00D5DA6E">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5、采购单位被授权人身份证件（法人到场并签字的除外）；</w:t>
      </w:r>
    </w:p>
    <w:p w14:paraId="742231AD">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6、采购人和中标投标人（或服务商，下同）约定的其它内容（不得超出招标采购文件实质性内容）。</w:t>
      </w:r>
    </w:p>
    <w:p w14:paraId="1E206A7A">
      <w:pPr>
        <w:pStyle w:val="43"/>
        <w:spacing w:before="0" w:beforeLines="0" w:after="0" w:afterLines="0" w:line="360" w:lineRule="auto"/>
        <w:ind w:left="0"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二、投标人在签订合同时应提供的资料：</w:t>
      </w:r>
    </w:p>
    <w:p w14:paraId="3DE43302">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1、该政府采购项目的投标文件（纸质或DPF格式的电子投标文件）；</w:t>
      </w:r>
    </w:p>
    <w:p w14:paraId="76F74B67">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2、针对该项目评审时评审委员会提出的质询答复（纸质并签章）；</w:t>
      </w:r>
    </w:p>
    <w:p w14:paraId="4FA62455">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3、该政府采购项目中标通知书；</w:t>
      </w:r>
    </w:p>
    <w:p w14:paraId="58E357A9">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4、投标人法人授权委托书（法人到场并签字的除外）；</w:t>
      </w:r>
    </w:p>
    <w:p w14:paraId="56A3A396">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5、投标人被授权人身份证件（法人到场并签字的除外）；</w:t>
      </w:r>
    </w:p>
    <w:p w14:paraId="3045292A">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6、投标人和采购人约定的其它内容（不得超出招标采购文件实质性内容）。</w:t>
      </w:r>
    </w:p>
    <w:p w14:paraId="214B51A8">
      <w:pPr>
        <w:pStyle w:val="43"/>
        <w:spacing w:before="0" w:beforeLines="0" w:after="0" w:afterLines="0" w:line="360" w:lineRule="auto"/>
        <w:ind w:left="0"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三、本合同签订后二个工作日内采购人在“周口市政府采购网”上进行合同公示。</w:t>
      </w:r>
    </w:p>
    <w:p w14:paraId="7284D121">
      <w:pPr>
        <w:pStyle w:val="43"/>
        <w:spacing w:before="0" w:beforeLines="0" w:after="0" w:afterLines="0" w:line="360" w:lineRule="auto"/>
        <w:ind w:lef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投标人履约验收指引</w:t>
      </w:r>
    </w:p>
    <w:p w14:paraId="346AB4BD">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1、投标人不得擅自变更合同标的服务内容；</w:t>
      </w:r>
    </w:p>
    <w:p w14:paraId="5CC1E780">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2、不得以次充优，随意降低服务标准和水平；</w:t>
      </w:r>
    </w:p>
    <w:p w14:paraId="255C7367">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3、对因客观上采购人采购需求发生变化造成的，应提供采、供双方的纸质备忘录材料；</w:t>
      </w:r>
    </w:p>
    <w:p w14:paraId="40B5EE9C">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4、在满足验收条件5个工作日内通知采购人组织验收；</w:t>
      </w:r>
    </w:p>
    <w:p w14:paraId="5E830CD2">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5、投标人应提供需验收服务的清单、标准、达到的水平等量化资料；</w:t>
      </w:r>
    </w:p>
    <w:p w14:paraId="368768A0">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6、采、供双方约定的验收机构及相关人员组成情况。</w:t>
      </w:r>
    </w:p>
    <w:p w14:paraId="01311CAC">
      <w:pPr>
        <w:pStyle w:val="43"/>
        <w:spacing w:before="0" w:beforeLines="0" w:after="0" w:afterLines="0" w:line="360" w:lineRule="auto"/>
        <w:ind w:lef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7、督促采购人在项目验收结束并达到相关要求后一个工作日内，在“周口市政府采购网”上进行“履约验收”公示。</w:t>
      </w:r>
    </w:p>
    <w:p w14:paraId="54DDCC15">
      <w:pPr>
        <w:spacing w:before="0" w:after="0" w:line="360" w:lineRule="auto"/>
        <w:ind w:firstLine="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sz w:val="21"/>
          <w:szCs w:val="21"/>
        </w:rPr>
        <w:br w:type="page"/>
      </w:r>
      <w:bookmarkStart w:id="46" w:name="_Toc152758261"/>
      <w:r>
        <w:rPr>
          <w:rFonts w:hint="eastAsia" w:asciiTheme="minorEastAsia" w:hAnsiTheme="minorEastAsia" w:eastAsiaTheme="minorEastAsia" w:cstheme="minorEastAsia"/>
          <w:b/>
          <w:bCs/>
          <w:sz w:val="21"/>
          <w:szCs w:val="21"/>
        </w:rPr>
        <w:t>服务合同内容</w:t>
      </w:r>
      <w:bookmarkEnd w:id="46"/>
    </w:p>
    <w:p w14:paraId="4EAF438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采购人（甲方）：</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p>
    <w:p w14:paraId="727D7A30">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lang w:val="en-US" w:eastAsia="zh-CN"/>
        </w:rPr>
        <w:t xml:space="preserve">                        </w:t>
      </w:r>
    </w:p>
    <w:p w14:paraId="1E5AD81E">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lang w:val="en-US" w:eastAsia="zh-CN"/>
        </w:rPr>
        <w:t xml:space="preserve">                              </w:t>
      </w:r>
    </w:p>
    <w:p w14:paraId="54841EE4">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u w:val="single"/>
          <w:lang w:val="en-US" w:eastAsia="zh-CN"/>
        </w:rPr>
        <w:t xml:space="preserve">                              </w:t>
      </w:r>
    </w:p>
    <w:p w14:paraId="23B2E09D">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u w:val="single"/>
          <w:lang w:val="en-US" w:eastAsia="zh-CN"/>
        </w:rPr>
        <w:t xml:space="preserve">                              </w:t>
      </w:r>
    </w:p>
    <w:p w14:paraId="01AF70B7">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财政委托号：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(财政资金项目必须填写)</w:t>
      </w:r>
    </w:p>
    <w:p w14:paraId="2FAB5742">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本项目经批准采用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采购方式，经本项目评审委员会认真评审，决定将采购合同授予乙方。为进一步明确双方的责任，确保合同的顺利履行，根据《中华人民共和国政府采购法》、《中华人民共和国民法典》之规定，经甲乙双方充分协商，特订立本合同，以便共同遵守。</w:t>
      </w:r>
    </w:p>
    <w:p w14:paraId="205C9034">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
          <w:bCs/>
          <w:sz w:val="21"/>
          <w:szCs w:val="21"/>
        </w:rPr>
        <w:t>第一条</w:t>
      </w:r>
      <w:r>
        <w:rPr>
          <w:rFonts w:hint="eastAsia" w:asciiTheme="minorEastAsia" w:hAnsiTheme="minorEastAsia" w:eastAsiaTheme="minorEastAsia" w:cstheme="minorEastAsia"/>
          <w:sz w:val="21"/>
          <w:szCs w:val="21"/>
        </w:rPr>
        <w:t> 服务的内容、标准、数量和价格：（若服务项目过多则见附表，如有附表则必须加盖印章）</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676"/>
        <w:gridCol w:w="810"/>
        <w:gridCol w:w="1375"/>
        <w:gridCol w:w="1459"/>
        <w:gridCol w:w="1263"/>
      </w:tblGrid>
      <w:tr w14:paraId="131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19" w:type="pct"/>
            <w:noWrap w:val="0"/>
            <w:vAlign w:val="center"/>
          </w:tcPr>
          <w:p w14:paraId="5241C201">
            <w:pPr>
              <w:keepNext w:val="0"/>
              <w:keepLines w:val="0"/>
              <w:pageBreakBefore w:val="0"/>
              <w:wordWrap/>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服务项目名称</w:t>
            </w:r>
          </w:p>
        </w:tc>
        <w:tc>
          <w:tcPr>
            <w:tcW w:w="373" w:type="pct"/>
            <w:noWrap w:val="0"/>
            <w:vAlign w:val="center"/>
          </w:tcPr>
          <w:p w14:paraId="2634B0E0">
            <w:pPr>
              <w:keepNext w:val="0"/>
              <w:keepLines w:val="0"/>
              <w:pageBreakBefore w:val="0"/>
              <w:wordWrap/>
              <w:autoSpaceDE/>
              <w:autoSpaceDN/>
              <w:bidi w:val="0"/>
              <w:adjustRightInd/>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447" w:type="pct"/>
            <w:noWrap w:val="0"/>
            <w:vAlign w:val="center"/>
          </w:tcPr>
          <w:p w14:paraId="4468D079">
            <w:pPr>
              <w:keepNext w:val="0"/>
              <w:keepLines w:val="0"/>
              <w:pageBreakBefore w:val="0"/>
              <w:wordWrap/>
              <w:autoSpaceDE/>
              <w:autoSpaceDN/>
              <w:bidi w:val="0"/>
              <w:adjustRightInd/>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759" w:type="pct"/>
            <w:noWrap w:val="0"/>
            <w:vAlign w:val="center"/>
          </w:tcPr>
          <w:p w14:paraId="25C06522">
            <w:pPr>
              <w:keepNext w:val="0"/>
              <w:keepLines w:val="0"/>
              <w:pageBreakBefore w:val="0"/>
              <w:wordWrap/>
              <w:autoSpaceDE/>
              <w:autoSpaceDN/>
              <w:bidi w:val="0"/>
              <w:adjustRightInd/>
              <w:snapToGrid/>
              <w:spacing w:line="440" w:lineRule="exact"/>
              <w:ind w:lef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单价</w:t>
            </w:r>
          </w:p>
        </w:tc>
        <w:tc>
          <w:tcPr>
            <w:tcW w:w="805" w:type="pct"/>
            <w:noWrap w:val="0"/>
            <w:vAlign w:val="center"/>
          </w:tcPr>
          <w:p w14:paraId="5B19D8F8">
            <w:pPr>
              <w:keepNext w:val="0"/>
              <w:keepLines w:val="0"/>
              <w:pageBreakBefore w:val="0"/>
              <w:wordWrap/>
              <w:autoSpaceDE/>
              <w:autoSpaceDN/>
              <w:bidi w:val="0"/>
              <w:adjustRightInd/>
              <w:snapToGrid/>
              <w:spacing w:line="440" w:lineRule="exact"/>
              <w:ind w:lef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小计</w:t>
            </w:r>
          </w:p>
        </w:tc>
        <w:tc>
          <w:tcPr>
            <w:tcW w:w="697" w:type="pct"/>
            <w:noWrap w:val="0"/>
            <w:vAlign w:val="center"/>
          </w:tcPr>
          <w:p w14:paraId="3376A959">
            <w:pPr>
              <w:keepNext w:val="0"/>
              <w:keepLines w:val="0"/>
              <w:pageBreakBefore w:val="0"/>
              <w:wordWrap/>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F27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9" w:type="pct"/>
            <w:noWrap w:val="0"/>
            <w:vAlign w:val="center"/>
          </w:tcPr>
          <w:p w14:paraId="14D209BA">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373" w:type="pct"/>
            <w:noWrap w:val="0"/>
            <w:vAlign w:val="center"/>
          </w:tcPr>
          <w:p w14:paraId="585854C2">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447" w:type="pct"/>
            <w:noWrap w:val="0"/>
            <w:vAlign w:val="center"/>
          </w:tcPr>
          <w:p w14:paraId="546EC69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759" w:type="pct"/>
            <w:noWrap w:val="0"/>
            <w:vAlign w:val="center"/>
          </w:tcPr>
          <w:p w14:paraId="50FC217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805" w:type="pct"/>
            <w:noWrap w:val="0"/>
            <w:vAlign w:val="center"/>
          </w:tcPr>
          <w:p w14:paraId="3FC2BA66">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697" w:type="pct"/>
            <w:noWrap w:val="0"/>
            <w:vAlign w:val="center"/>
          </w:tcPr>
          <w:p w14:paraId="30A8D118">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r>
      <w:tr w14:paraId="64DD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9" w:type="pct"/>
            <w:noWrap w:val="0"/>
            <w:vAlign w:val="center"/>
          </w:tcPr>
          <w:p w14:paraId="66C915D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373" w:type="pct"/>
            <w:noWrap w:val="0"/>
            <w:vAlign w:val="center"/>
          </w:tcPr>
          <w:p w14:paraId="738C6978">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447" w:type="pct"/>
            <w:noWrap w:val="0"/>
            <w:vAlign w:val="center"/>
          </w:tcPr>
          <w:p w14:paraId="3CA44A5F">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759" w:type="pct"/>
            <w:noWrap w:val="0"/>
            <w:vAlign w:val="center"/>
          </w:tcPr>
          <w:p w14:paraId="6219D56D">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805" w:type="pct"/>
            <w:noWrap w:val="0"/>
            <w:vAlign w:val="center"/>
          </w:tcPr>
          <w:p w14:paraId="0B969B3E">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697" w:type="pct"/>
            <w:noWrap w:val="0"/>
            <w:vAlign w:val="center"/>
          </w:tcPr>
          <w:p w14:paraId="7A066537">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r>
      <w:tr w14:paraId="1A3E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9" w:type="pct"/>
            <w:noWrap w:val="0"/>
            <w:vAlign w:val="center"/>
          </w:tcPr>
          <w:p w14:paraId="04A12F7E">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373" w:type="pct"/>
            <w:noWrap w:val="0"/>
            <w:vAlign w:val="center"/>
          </w:tcPr>
          <w:p w14:paraId="0B628C6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447" w:type="pct"/>
            <w:noWrap w:val="0"/>
            <w:vAlign w:val="center"/>
          </w:tcPr>
          <w:p w14:paraId="2F89455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759" w:type="pct"/>
            <w:noWrap w:val="0"/>
            <w:vAlign w:val="center"/>
          </w:tcPr>
          <w:p w14:paraId="19BBC23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805" w:type="pct"/>
            <w:noWrap w:val="0"/>
            <w:vAlign w:val="center"/>
          </w:tcPr>
          <w:p w14:paraId="214189EB">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c>
          <w:tcPr>
            <w:tcW w:w="697" w:type="pct"/>
            <w:noWrap w:val="0"/>
            <w:vAlign w:val="center"/>
          </w:tcPr>
          <w:p w14:paraId="74B638B2">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tc>
      </w:tr>
      <w:tr w14:paraId="5E54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6"/>
            <w:noWrap w:val="0"/>
            <w:vAlign w:val="top"/>
          </w:tcPr>
          <w:p w14:paraId="1B3EFD13">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合同总价款（大小写）：</w:t>
            </w:r>
          </w:p>
          <w:p w14:paraId="45E2E638">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备注：上述服务包含相关设备购置、人员工资及售后服务、税金、劳保基金、人员培训等费用。</w:t>
            </w:r>
          </w:p>
        </w:tc>
      </w:tr>
    </w:tbl>
    <w:p w14:paraId="3167253D">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第二条  </w:t>
      </w:r>
      <w:r>
        <w:rPr>
          <w:rFonts w:hint="eastAsia" w:asciiTheme="minorEastAsia" w:hAnsiTheme="minorEastAsia" w:eastAsiaTheme="minorEastAsia" w:cstheme="minorEastAsia"/>
          <w:sz w:val="21"/>
          <w:szCs w:val="21"/>
        </w:rPr>
        <w:t>服务标准（包括达到的水平要求），按下列第（ ）项执行：</w:t>
      </w:r>
    </w:p>
    <w:p w14:paraId="0934BFE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①按国家标准执行；②按部颁标准执行；③若无以上标准，则应不低于同行业服务标准；④有特殊要求的，按甲乙双方在合同中商定的要求执行；</w:t>
      </w:r>
    </w:p>
    <w:p w14:paraId="53ECF3B1">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乙方应在投标文件中声明提供的服务标准和水平应与招标采购文件规定的标准和水平相一致。</w:t>
      </w:r>
    </w:p>
    <w:p w14:paraId="0EFC5B65">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第三条  </w:t>
      </w:r>
      <w:r>
        <w:rPr>
          <w:rFonts w:hint="eastAsia" w:asciiTheme="minorEastAsia" w:hAnsiTheme="minorEastAsia" w:eastAsiaTheme="minorEastAsia" w:cstheme="minorEastAsia"/>
          <w:sz w:val="21"/>
          <w:szCs w:val="21"/>
        </w:rPr>
        <w:t>服务的方式、方法、地点和期限</w:t>
      </w:r>
    </w:p>
    <w:p w14:paraId="48FA9A66">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1、服务方式：</w:t>
      </w:r>
      <w:r>
        <w:rPr>
          <w:rFonts w:hint="eastAsia" w:asciiTheme="minorEastAsia" w:hAnsiTheme="minorEastAsia" w:eastAsiaTheme="minorEastAsia" w:cstheme="minorEastAsia"/>
          <w:sz w:val="21"/>
          <w:szCs w:val="21"/>
          <w:u w:val="single"/>
          <w:lang w:val="en-US" w:eastAsia="zh-CN"/>
        </w:rPr>
        <w:t xml:space="preserve">                       </w:t>
      </w:r>
    </w:p>
    <w:p w14:paraId="480FDEDB">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2、服务方法：</w:t>
      </w:r>
      <w:r>
        <w:rPr>
          <w:rFonts w:hint="eastAsia" w:asciiTheme="minorEastAsia" w:hAnsiTheme="minorEastAsia" w:eastAsiaTheme="minorEastAsia" w:cstheme="minorEastAsia"/>
          <w:sz w:val="21"/>
          <w:szCs w:val="21"/>
          <w:u w:val="single"/>
          <w:lang w:val="en-US" w:eastAsia="zh-CN"/>
        </w:rPr>
        <w:t xml:space="preserve">                       </w:t>
      </w:r>
    </w:p>
    <w:p w14:paraId="08D216E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3、服务地点：</w:t>
      </w:r>
      <w:r>
        <w:rPr>
          <w:rFonts w:hint="eastAsia" w:asciiTheme="minorEastAsia" w:hAnsiTheme="minorEastAsia" w:eastAsiaTheme="minorEastAsia" w:cstheme="minorEastAsia"/>
          <w:sz w:val="21"/>
          <w:szCs w:val="21"/>
          <w:u w:val="single"/>
          <w:lang w:val="en-US" w:eastAsia="zh-CN"/>
        </w:rPr>
        <w:t xml:space="preserve">                        </w:t>
      </w:r>
    </w:p>
    <w:p w14:paraId="459078CE">
      <w:pPr>
        <w:keepNext w:val="0"/>
        <w:keepLines w:val="0"/>
        <w:pageBreakBefore w:val="0"/>
        <w:wordWrap/>
        <w:autoSpaceDE/>
        <w:autoSpaceDN/>
        <w:bidi w:val="0"/>
        <w:adjustRightInd/>
        <w:snapToGrid/>
        <w:spacing w:line="440" w:lineRule="exact"/>
        <w:ind w:left="0"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4、服务期：</w:t>
      </w:r>
      <w:r>
        <w:rPr>
          <w:rFonts w:hint="eastAsia" w:asciiTheme="minorEastAsia" w:hAnsiTheme="minorEastAsia" w:eastAsiaTheme="minorEastAsia" w:cstheme="minorEastAsia"/>
          <w:sz w:val="21"/>
          <w:szCs w:val="21"/>
          <w:u w:val="single"/>
          <w:lang w:val="en-US" w:eastAsia="zh-CN"/>
        </w:rPr>
        <w:t xml:space="preserve">                         </w:t>
      </w:r>
    </w:p>
    <w:p w14:paraId="25AE22EC">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第四条  </w:t>
      </w:r>
      <w:r>
        <w:rPr>
          <w:rFonts w:hint="eastAsia" w:asciiTheme="minorEastAsia" w:hAnsiTheme="minorEastAsia" w:eastAsiaTheme="minorEastAsia" w:cstheme="minorEastAsia"/>
          <w:sz w:val="21"/>
          <w:szCs w:val="21"/>
        </w:rPr>
        <w:t>费用及支付方式</w:t>
      </w:r>
    </w:p>
    <w:p w14:paraId="1AAD5148">
      <w:pPr>
        <w:pStyle w:val="6"/>
        <w:keepNext w:val="0"/>
        <w:keepLines w:val="0"/>
        <w:pageBreakBefore w:val="0"/>
        <w:kinsoku w:val="0"/>
        <w:wordWrap/>
        <w:overflow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(一)本项目费用有以下组成：</w:t>
      </w:r>
    </w:p>
    <w:p w14:paraId="7D873C6A">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1、XX 万元；</w:t>
      </w:r>
    </w:p>
    <w:p w14:paraId="5B1B05AD">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2、XX 万元；</w:t>
      </w:r>
    </w:p>
    <w:p w14:paraId="7B6C02CA">
      <w:pPr>
        <w:pStyle w:val="6"/>
        <w:keepNext w:val="0"/>
        <w:keepLines w:val="0"/>
        <w:pageBreakBefore w:val="0"/>
        <w:kinsoku w:val="0"/>
        <w:wordWrap/>
        <w:overflow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(二)费用支付方式：</w:t>
      </w:r>
    </w:p>
    <w:p w14:paraId="508DD085">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1、XXXX；</w:t>
      </w:r>
    </w:p>
    <w:p w14:paraId="4295DDC9">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2、XXXX；</w:t>
      </w:r>
    </w:p>
    <w:p w14:paraId="432A1A59">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3、在支付前甲方对乙方的服务进行考核或验收，合格的支付相应款项。乙方须向甲方出具合法有效完整的完税发票及凭证资料进行支付结算。</w:t>
      </w:r>
    </w:p>
    <w:p w14:paraId="3B9F9D1A">
      <w:pPr>
        <w:pStyle w:val="6"/>
        <w:keepNext w:val="0"/>
        <w:keepLines w:val="0"/>
        <w:pageBreakBefore w:val="0"/>
        <w:kinsoku w:val="0"/>
        <w:wordWrap/>
        <w:overflow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第五条  付款条件   </w:t>
      </w:r>
      <w:r>
        <w:rPr>
          <w:rFonts w:hint="eastAsia" w:asciiTheme="minorEastAsia" w:hAnsiTheme="minorEastAsia" w:eastAsiaTheme="minorEastAsia" w:cstheme="minorEastAsia"/>
          <w:sz w:val="21"/>
          <w:szCs w:val="21"/>
        </w:rPr>
        <w:t xml:space="preserve">               </w:t>
      </w:r>
    </w:p>
    <w:p w14:paraId="45869D05">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本合同以人民币付款。</w:t>
      </w:r>
    </w:p>
    <w:p w14:paraId="6AEFD1FE">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该项目是否实行预付款：</w:t>
      </w:r>
    </w:p>
    <w:p w14:paraId="1F72F77F">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实行预付款的条件和比例：</w:t>
      </w:r>
    </w:p>
    <w:p w14:paraId="07CDD438">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合同款项结算方式和支付比例：   </w:t>
      </w:r>
    </w:p>
    <w:p w14:paraId="2ED1BBBB">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(具体付款方式</w:t>
      </w:r>
      <w:r>
        <w:rPr>
          <w:rFonts w:hint="eastAsia" w:asciiTheme="minorEastAsia" w:hAnsiTheme="minorEastAsia" w:eastAsiaTheme="minorEastAsia" w:cstheme="minorEastAsia"/>
          <w:sz w:val="21"/>
          <w:szCs w:val="21"/>
          <w:u w:val="single"/>
        </w:rPr>
        <w:t>按投标人须知前附表以及采、购双方的具体约定</w:t>
      </w:r>
    </w:p>
    <w:p w14:paraId="35E78BBA">
      <w:pPr>
        <w:pStyle w:val="43"/>
        <w:keepNext w:val="0"/>
        <w:keepLines w:val="0"/>
        <w:pageBreakBefore w:val="0"/>
        <w:wordWrap/>
        <w:autoSpaceDE/>
        <w:autoSpaceDN/>
        <w:bidi w:val="0"/>
        <w:adjustRightInd/>
        <w:snapToGrid/>
        <w:spacing w:before="0" w:beforeLines="0" w:after="0" w:afterLines="0" w:line="440" w:lineRule="exact"/>
        <w:ind w:lef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第六条  验收方法</w:t>
      </w:r>
    </w:p>
    <w:p w14:paraId="62001A83">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1.甲、乙双方应严格履行合同有关条款，如果验收过程中发现乙方在没有征得采购人同意的情况下擅自变更合同服务内容，将拒绝通过验收，由此引起的一切后果及损失由乙方承担。</w:t>
      </w:r>
    </w:p>
    <w:p w14:paraId="43BF55F0">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5B0FF1E">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3、甲方视情况可以邀请参加本项目的其他投标人或者第三方机构参与验收，参与验收的投标人或者第三方机构的意见作为验收书的参考资料一并存档。</w:t>
      </w:r>
    </w:p>
    <w:p w14:paraId="0994F511">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4、涉及安全、消防、环保等其他需要由质检或行业主管部门进行验收的项目，必须邀请相关部门或相关专家参与验收。涉及社会化服务的项目，甲方将要求社会公众人员参与验收。</w:t>
      </w:r>
    </w:p>
    <w:p w14:paraId="4BF11FE8">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检测、验收费用承担方式：</w:t>
      </w:r>
    </w:p>
    <w:p w14:paraId="455A6F17">
      <w:pPr>
        <w:pStyle w:val="6"/>
        <w:keepNext w:val="0"/>
        <w:keepLines w:val="0"/>
        <w:pageBreakBefore w:val="0"/>
        <w:kinsoku w:val="0"/>
        <w:wordWrap/>
        <w:overflow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第七条 知识产权</w:t>
      </w:r>
    </w:p>
    <w:p w14:paraId="33A04F12">
      <w:pPr>
        <w:pStyle w:val="6"/>
        <w:keepNext w:val="0"/>
        <w:keepLines w:val="0"/>
        <w:pageBreakBefore w:val="0"/>
        <w:kinsoku w:val="0"/>
        <w:wordWrap/>
        <w:overflow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乙方应保证所提供的服务或其任何一部分均不会侵犯任何第三方的专利权、商标权或著作权。</w:t>
      </w:r>
      <w:bookmarkStart w:id="47" w:name="_Toc152758262"/>
    </w:p>
    <w:p w14:paraId="2FD28F1C">
      <w:pPr>
        <w:pStyle w:val="6"/>
        <w:keepNext w:val="0"/>
        <w:keepLines w:val="0"/>
        <w:pageBreakBefore w:val="0"/>
        <w:kinsoku w:val="0"/>
        <w:wordWrap/>
        <w:overflow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第八条 无产权瑕疵条款</w:t>
      </w:r>
      <w:bookmarkEnd w:id="47"/>
    </w:p>
    <w:p w14:paraId="2183F69E">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乙方保证所提供的服务的所有权完全属于乙方且无任何抵押、查封等产权瑕疵。如有产权瑕疵的，视为乙方违约。乙方应负担由此而产生的一切损失。</w:t>
      </w:r>
    </w:p>
    <w:p w14:paraId="75DD9C79">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第九条  履约（或质量）保证金</w:t>
      </w:r>
    </w:p>
    <w:p w14:paraId="780A5D15">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1.本项目不收取履约保证金。确需收取履约保证金的，甲方不得要求乙方以现款的形式提供。乙方提供的履约保证金按规定格式以银行保函形式提供，与此有关的费用由服务方承担。</w:t>
      </w:r>
    </w:p>
    <w:p w14:paraId="2EE0929D">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2.若确需质量保证金的，质量保证金不得超过合同总价款的5%</w:t>
      </w:r>
    </w:p>
    <w:p w14:paraId="49640A1E">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3.如乙方未能履行其合同规定的任何义务，甲方有权从履约保证金中取得补偿。</w:t>
      </w:r>
    </w:p>
    <w:p w14:paraId="6EEB4137">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bCs/>
          <w:sz w:val="21"/>
          <w:szCs w:val="21"/>
        </w:rPr>
      </w:pPr>
      <w:bookmarkStart w:id="48" w:name="_Toc152758263"/>
      <w:r>
        <w:rPr>
          <w:rFonts w:hint="eastAsia" w:asciiTheme="minorEastAsia" w:hAnsiTheme="minorEastAsia" w:eastAsiaTheme="minorEastAsia" w:cstheme="minorEastAsia"/>
          <w:b/>
          <w:bCs/>
          <w:sz w:val="21"/>
          <w:szCs w:val="21"/>
        </w:rPr>
        <w:t>第十条 甲方的权利和义务</w:t>
      </w:r>
      <w:bookmarkEnd w:id="48"/>
    </w:p>
    <w:p w14:paraId="03430996">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1、甲方有权对合同规定范围内乙方的行为进行监督和检查，拥有监管权。有权定期核对乙方提供服务所配备的人员数量。对甲方认为不合理的部分有权下达整改通知书，并要求乙方限期整改。</w:t>
      </w:r>
    </w:p>
    <w:p w14:paraId="1D550A46">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2、甲方有权依据双方签订的考评办法对乙方提供的服务进行定期考评。当考评结果未达到标准时，有权依据考评办法约定的数额扣除履约保证金。</w:t>
      </w:r>
    </w:p>
    <w:p w14:paraId="20306F98">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3、负责检查监督乙方管理工作的实施及制度的执行情况。</w:t>
      </w:r>
    </w:p>
    <w:p w14:paraId="49EB5F2B">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4、根据本合同规定，按时向乙方支付应付服务费用。</w:t>
      </w:r>
    </w:p>
    <w:p w14:paraId="1462FB2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5、国家法律、法规所规定由甲方承担的其他责任               </w:t>
      </w:r>
    </w:p>
    <w:p w14:paraId="4F24F3F6">
      <w:pPr>
        <w:pStyle w:val="6"/>
        <w:keepNext w:val="0"/>
        <w:keepLines w:val="0"/>
        <w:pageBreakBefore w:val="0"/>
        <w:kinsoku w:val="0"/>
        <w:wordWrap/>
        <w:overflow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第十一条 乙方的权利和义务</w:t>
      </w:r>
    </w:p>
    <w:p w14:paraId="2A133BB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1、对本合同规定的委托服务范围内的项目享有管理权及服务义务。</w:t>
      </w:r>
    </w:p>
    <w:p w14:paraId="762D84CA">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2、根据本合同的规定向甲方收取相关服务费用，并有权在本项目管理范围内管理及合理使用。</w:t>
      </w:r>
    </w:p>
    <w:p w14:paraId="24A0C692">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3、及时向甲方通告本项目服务范围内有关服务的重大事项，及时配合处理投诉。</w:t>
      </w:r>
    </w:p>
    <w:p w14:paraId="25C6AD23">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4、接受项目行业管理部门及政府有关部门的指导，接受甲方的监督。</w:t>
      </w:r>
    </w:p>
    <w:p w14:paraId="6E48BB51">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5、国家法律、法规所规定由乙方承担的其它责任。</w:t>
      </w:r>
    </w:p>
    <w:p w14:paraId="6520813D">
      <w:pPr>
        <w:pStyle w:val="6"/>
        <w:keepNext w:val="0"/>
        <w:keepLines w:val="0"/>
        <w:pageBreakBefore w:val="0"/>
        <w:kinsoku w:val="0"/>
        <w:wordWrap/>
        <w:overflow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第十二条 违约责任</w:t>
      </w:r>
    </w:p>
    <w:p w14:paraId="04A9FD9B">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1、甲乙双方必须遵守本合同并执行合同中的各项规定，保证本合同的正常履行。</w:t>
      </w:r>
    </w:p>
    <w:p w14:paraId="03A0B2C5">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2、甲方逾期付款的，除应及时付足款项外，应向乙方偿付欠款总额万分之</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/天的违约金；逾期付款超过天的，乙方有权终止合同。</w:t>
      </w:r>
    </w:p>
    <w:p w14:paraId="73122011">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3C67951">
      <w:pPr>
        <w:pStyle w:val="6"/>
        <w:keepNext w:val="0"/>
        <w:keepLines w:val="0"/>
        <w:pageBreakBefore w:val="0"/>
        <w:kinsoku w:val="0"/>
        <w:wordWrap/>
        <w:overflow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4、变更、中止或者终止合同，有过错的一方应当承担赔偿责任，双方都有过错的，各自承担相应的责任。</w:t>
      </w:r>
    </w:p>
    <w:p w14:paraId="1CD551DA">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 xml:space="preserve">第十三条 </w:t>
      </w:r>
      <w:r>
        <w:rPr>
          <w:rFonts w:hint="eastAsia" w:asciiTheme="minorEastAsia" w:hAnsiTheme="minorEastAsia" w:eastAsiaTheme="minorEastAsia" w:cstheme="minorEastAsia"/>
          <w:b/>
          <w:sz w:val="21"/>
          <w:szCs w:val="21"/>
        </w:rPr>
        <w:t>转让与分包</w:t>
      </w:r>
    </w:p>
    <w:p w14:paraId="35D9BDDF">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1.除甲方事先书面同意外，乙方不得部分转让或全部转让其应履行的合同义务。</w:t>
      </w:r>
    </w:p>
    <w:p w14:paraId="44EF4B2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2.乙方应在投标文件中对甲方确认本合同项下所授予的所有分包合同。但该确认不解除乙方承担的本合同下的任何责任或义务。意即在本合同项下，乙方对甲方负总责。</w:t>
      </w:r>
    </w:p>
    <w:p w14:paraId="218BBC54">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 xml:space="preserve">第十四条 </w:t>
      </w:r>
      <w:r>
        <w:rPr>
          <w:rFonts w:hint="eastAsia" w:asciiTheme="minorEastAsia" w:hAnsiTheme="minorEastAsia" w:eastAsiaTheme="minorEastAsia" w:cstheme="minorEastAsia"/>
          <w:b/>
          <w:sz w:val="21"/>
          <w:szCs w:val="21"/>
        </w:rPr>
        <w:t>合同文件及资料的使用</w:t>
      </w:r>
    </w:p>
    <w:p w14:paraId="6E1A1880">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1.乙方在未经甲方同意的情况下，不得将合同、合同中的规定、有关计划、图纸、样本或甲方为上述内容向乙方提供的资料透露给任何人。</w:t>
      </w:r>
    </w:p>
    <w:p w14:paraId="518C98BB">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2.除非执行合同需要，在事先未得到甲方同意的情况下，乙方不得使用前款所列的任何文件和资料。</w:t>
      </w:r>
    </w:p>
    <w:p w14:paraId="20ED6DE1">
      <w:pPr>
        <w:keepNext w:val="0"/>
        <w:keepLines w:val="0"/>
        <w:pageBreakBefore w:val="0"/>
        <w:kinsoku w:val="0"/>
        <w:wordWrap/>
        <w:overflowPunct w:val="0"/>
        <w:autoSpaceDE/>
        <w:autoSpaceDN/>
        <w:bidi w:val="0"/>
        <w:adjustRightInd/>
        <w:snapToGrid/>
        <w:spacing w:line="440" w:lineRule="exact"/>
        <w:ind w:left="0" w:firstLine="422" w:firstLineChars="200"/>
        <w:jc w:val="both"/>
        <w:textAlignment w:val="auto"/>
        <w:outlineLvl w:val="9"/>
        <w:rPr>
          <w:rFonts w:hint="eastAsia" w:asciiTheme="minorEastAsia" w:hAnsiTheme="minorEastAsia" w:eastAsiaTheme="minorEastAsia" w:cstheme="minorEastAsia"/>
          <w:b/>
          <w:bCs/>
          <w:sz w:val="21"/>
          <w:szCs w:val="21"/>
        </w:rPr>
      </w:pPr>
      <w:bookmarkStart w:id="49" w:name="_Toc152758264"/>
      <w:r>
        <w:rPr>
          <w:rFonts w:hint="eastAsia" w:asciiTheme="minorEastAsia" w:hAnsiTheme="minorEastAsia" w:eastAsiaTheme="minorEastAsia" w:cstheme="minorEastAsia"/>
          <w:b/>
          <w:bCs/>
          <w:sz w:val="21"/>
          <w:szCs w:val="21"/>
        </w:rPr>
        <w:t>第十五条 不可抗力事件处理</w:t>
      </w:r>
      <w:bookmarkEnd w:id="49"/>
    </w:p>
    <w:p w14:paraId="071AB939">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18F0F54">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FB46909">
      <w:pPr>
        <w:keepNext w:val="0"/>
        <w:keepLines w:val="0"/>
        <w:pageBreakBefore w:val="0"/>
        <w:kinsoku w:val="0"/>
        <w:wordWrap/>
        <w:overflowPunct w:val="0"/>
        <w:autoSpaceDE/>
        <w:autoSpaceDN/>
        <w:bidi w:val="0"/>
        <w:adjustRightInd/>
        <w:snapToGrid/>
        <w:spacing w:line="440" w:lineRule="exact"/>
        <w:ind w:left="0" w:firstLine="422" w:firstLineChars="200"/>
        <w:jc w:val="both"/>
        <w:textAlignment w:val="auto"/>
        <w:outlineLvl w:val="9"/>
        <w:rPr>
          <w:rFonts w:hint="eastAsia" w:asciiTheme="minorEastAsia" w:hAnsiTheme="minorEastAsia" w:eastAsiaTheme="minorEastAsia" w:cstheme="minorEastAsia"/>
          <w:b/>
          <w:bCs/>
          <w:sz w:val="21"/>
          <w:szCs w:val="21"/>
        </w:rPr>
      </w:pPr>
      <w:bookmarkStart w:id="50" w:name="_Toc152758265"/>
      <w:r>
        <w:rPr>
          <w:rFonts w:hint="eastAsia" w:asciiTheme="minorEastAsia" w:hAnsiTheme="minorEastAsia" w:eastAsiaTheme="minorEastAsia" w:cstheme="minorEastAsia"/>
          <w:b/>
          <w:bCs/>
          <w:sz w:val="21"/>
          <w:szCs w:val="21"/>
        </w:rPr>
        <w:t>第十六条 合同纠纷调处</w:t>
      </w:r>
      <w:bookmarkEnd w:id="50"/>
    </w:p>
    <w:p w14:paraId="5DCB758A">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1.按本合同规定应该偿付的违约金、赔偿金、保管保养费和各种经济损失，应当在明确责任后10天内，按银行规定的结算办法付清，否则按逾期付款处理。</w:t>
      </w:r>
    </w:p>
    <w:p w14:paraId="6C59C8E7">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2.本合同如发生纠纷，当事人双方应当及时协商解决，协商不成时，任何一方均可请本项目政府采购监督管理部门调解，调解不成，按以下第（ ）项方式处理：①根据《中华人民共和国仲裁法》的规定向</w:t>
      </w:r>
      <w:r>
        <w:rPr>
          <w:rFonts w:hint="eastAsia" w:asciiTheme="minorEastAsia" w:hAnsiTheme="minorEastAsia" w:eastAsiaTheme="minorEastAsia" w:cstheme="minorEastAsia"/>
          <w:b/>
          <w:bCs/>
          <w:sz w:val="21"/>
          <w:szCs w:val="21"/>
          <w:u w:val="single"/>
        </w:rPr>
        <w:t>周口仲裁委员会</w:t>
      </w:r>
      <w:r>
        <w:rPr>
          <w:rFonts w:hint="eastAsia" w:asciiTheme="minorEastAsia" w:hAnsiTheme="minorEastAsia" w:eastAsiaTheme="minorEastAsia" w:cstheme="minorEastAsia"/>
          <w:sz w:val="21"/>
          <w:szCs w:val="21"/>
        </w:rPr>
        <w:t>申请仲裁。②向合同签订地有级别管辖权的人民法院起诉。</w:t>
      </w:r>
    </w:p>
    <w:p w14:paraId="50EF8FD6">
      <w:pPr>
        <w:keepNext w:val="0"/>
        <w:keepLines w:val="0"/>
        <w:pageBreakBefore w:val="0"/>
        <w:kinsoku w:val="0"/>
        <w:wordWrap/>
        <w:overflowPunct w:val="0"/>
        <w:autoSpaceDE/>
        <w:autoSpaceDN/>
        <w:bidi w:val="0"/>
        <w:adjustRightInd/>
        <w:snapToGrid/>
        <w:spacing w:line="440" w:lineRule="exact"/>
        <w:ind w:left="0" w:firstLine="420" w:firstLineChars="200"/>
        <w:jc w:val="both"/>
        <w:textAlignment w:val="auto"/>
        <w:outlineLvl w:val="9"/>
        <w:rPr>
          <w:rFonts w:hint="eastAsia" w:asciiTheme="minorEastAsia" w:hAnsiTheme="minorEastAsia" w:eastAsiaTheme="minorEastAsia" w:cstheme="minorEastAsia"/>
          <w:sz w:val="21"/>
          <w:szCs w:val="21"/>
        </w:rPr>
      </w:pPr>
      <w:bookmarkStart w:id="51" w:name="_Toc152758266"/>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 w:val="0"/>
          <w:bCs w:val="0"/>
          <w:kern w:val="2"/>
          <w:sz w:val="21"/>
          <w:szCs w:val="21"/>
        </w:rPr>
        <w:t>甲、乙双方均有权利向本项目具有监管职能的政府采购监督管理部门举报反映对方在合同履约中的违法违纪行为。</w:t>
      </w:r>
      <w:bookmarkEnd w:id="51"/>
    </w:p>
    <w:p w14:paraId="3555386F">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第十七条 其他</w:t>
      </w:r>
    </w:p>
    <w:p w14:paraId="6AE49535">
      <w:pPr>
        <w:keepNext w:val="0"/>
        <w:keepLines w:val="0"/>
        <w:pageBreakBefore w:val="0"/>
        <w:wordWrap/>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sz w:val="21"/>
          <w:szCs w:val="21"/>
          <w:highlight w:val="none"/>
        </w:rPr>
        <w:t>下列关于</w:t>
      </w:r>
      <w:r>
        <w:rPr>
          <w:rFonts w:hint="eastAsia" w:asciiTheme="minorEastAsia" w:hAnsiTheme="minorEastAsia" w:eastAsiaTheme="minorEastAsia" w:cstheme="minorEastAsia"/>
          <w:sz w:val="21"/>
          <w:szCs w:val="21"/>
          <w:highlight w:val="none"/>
          <w:u w:val="single"/>
          <w:lang w:val="en-US" w:eastAsia="zh-CN"/>
        </w:rPr>
        <w:t>某项目</w:t>
      </w:r>
      <w:r>
        <w:rPr>
          <w:rFonts w:hint="eastAsia" w:asciiTheme="minorEastAsia" w:hAnsiTheme="minorEastAsia" w:eastAsiaTheme="minorEastAsia" w:cstheme="minorEastAsia"/>
          <w:sz w:val="21"/>
          <w:szCs w:val="21"/>
          <w:highlight w:val="none"/>
          <w:u w:val="single"/>
        </w:rPr>
        <w:t>（项目编号：</w:t>
      </w:r>
      <w:r>
        <w:rPr>
          <w:rFonts w:hint="eastAsia" w:asciiTheme="minorEastAsia" w:hAnsiTheme="minorEastAsia" w:eastAsiaTheme="minorEastAsia" w:cstheme="minorEastAsia"/>
          <w:sz w:val="21"/>
          <w:szCs w:val="21"/>
          <w:highlight w:val="none"/>
          <w:u w:val="single"/>
          <w:lang w:val="en-US" w:eastAsia="zh-CN"/>
        </w:rPr>
        <w:t>某编号</w:t>
      </w:r>
      <w:r>
        <w:rPr>
          <w:rFonts w:hint="eastAsia" w:asciiTheme="minorEastAsia" w:hAnsiTheme="minorEastAsia" w:eastAsiaTheme="minorEastAsia" w:cstheme="minorEastAsia"/>
          <w:sz w:val="21"/>
          <w:szCs w:val="21"/>
          <w:highlight w:val="none"/>
        </w:rPr>
        <w:t>的采</w:t>
      </w:r>
      <w:r>
        <w:rPr>
          <w:rFonts w:hint="eastAsia" w:asciiTheme="minorEastAsia" w:hAnsiTheme="minorEastAsia" w:eastAsiaTheme="minorEastAsia" w:cstheme="minorEastAsia"/>
          <w:sz w:val="21"/>
          <w:szCs w:val="21"/>
        </w:rPr>
        <w:t>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0919600">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本合同一式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份，甲乙双方各执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份，自双方当事人签字盖章之日起生效。</w:t>
      </w:r>
    </w:p>
    <w:p w14:paraId="632217E1">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p>
    <w:p w14:paraId="7FBAFB29">
      <w:pPr>
        <w:pStyle w:val="41"/>
        <w:keepNext w:val="0"/>
        <w:keepLines w:val="0"/>
        <w:pageBreakBefore w:val="0"/>
        <w:wordWrap/>
        <w:autoSpaceDE/>
        <w:autoSpaceDN/>
        <w:bidi w:val="0"/>
        <w:adjustRightInd/>
        <w:snapToGrid/>
        <w:spacing w:after="0" w:line="440" w:lineRule="exact"/>
        <w:ind w:left="0" w:firstLine="420" w:firstLineChars="200"/>
        <w:textAlignment w:val="auto"/>
        <w:rPr>
          <w:rFonts w:hint="eastAsia" w:asciiTheme="minorEastAsia" w:hAnsiTheme="minorEastAsia" w:eastAsiaTheme="minorEastAsia" w:cstheme="minorEastAsia"/>
          <w:sz w:val="21"/>
          <w:szCs w:val="21"/>
        </w:rPr>
      </w:pPr>
    </w:p>
    <w:p w14:paraId="3EB3576B">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采购人（甲方）：    （公章）         供货人（乙方）：     （公章）  </w:t>
      </w:r>
    </w:p>
    <w:p w14:paraId="3561C75D">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460B5566">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177DF51F">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6A77656D">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491C5B0F">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72226D76">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38AEB38B">
      <w:pPr>
        <w:keepNext w:val="0"/>
        <w:keepLines w:val="0"/>
        <w:pageBreakBefore w:val="0"/>
        <w:wordWrap/>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sz w:val="21"/>
          <w:szCs w:val="21"/>
          <w:u w:val="single"/>
        </w:rPr>
      </w:pPr>
    </w:p>
    <w:p w14:paraId="610DBBB8">
      <w:pPr>
        <w:keepNext w:val="0"/>
        <w:keepLines w:val="0"/>
        <w:pageBreakBefore w:val="0"/>
        <w:wordWrap/>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日     </w:t>
      </w:r>
    </w:p>
    <w:p w14:paraId="53229A39">
      <w:pPr>
        <w:pStyle w:val="41"/>
        <w:ind w:firstLine="210"/>
        <w:rPr>
          <w:rFonts w:hint="eastAsia" w:ascii="宋体" w:hAnsi="宋体" w:cs="宋体"/>
          <w:szCs w:val="27"/>
        </w:rPr>
      </w:pPr>
    </w:p>
    <w:p w14:paraId="29E950B6">
      <w:pPr>
        <w:outlineLvl w:val="9"/>
        <w:rPr>
          <w:rFonts w:hint="eastAsia" w:ascii="宋体" w:hAnsi="宋体" w:eastAsia="宋体"/>
          <w:b/>
          <w:sz w:val="32"/>
          <w:szCs w:val="32"/>
          <w:lang w:eastAsia="zh-CN"/>
        </w:rPr>
      </w:pPr>
      <w:r>
        <w:rPr>
          <w:rFonts w:hint="eastAsia" w:ascii="宋体" w:hAnsi="宋体" w:eastAsia="宋体"/>
          <w:b/>
          <w:sz w:val="32"/>
          <w:szCs w:val="32"/>
          <w:lang w:eastAsia="zh-CN"/>
        </w:rPr>
        <w:br w:type="page"/>
      </w:r>
    </w:p>
    <w:p w14:paraId="7E163EEA">
      <w:pPr>
        <w:pStyle w:val="2"/>
        <w:ind w:left="0"/>
        <w:jc w:val="center"/>
        <w:rPr>
          <w:rFonts w:ascii="宋体" w:hAnsi="宋体" w:eastAsia="宋体"/>
          <w:b/>
          <w:sz w:val="52"/>
          <w:szCs w:val="52"/>
          <w:lang w:eastAsia="zh-CN"/>
        </w:rPr>
      </w:pPr>
      <w:bookmarkStart w:id="52" w:name="_Toc18616"/>
      <w:r>
        <w:rPr>
          <w:rFonts w:hint="eastAsia" w:ascii="宋体" w:hAnsi="宋体" w:eastAsia="宋体"/>
          <w:b/>
          <w:sz w:val="32"/>
          <w:szCs w:val="32"/>
          <w:lang w:eastAsia="zh-CN"/>
        </w:rPr>
        <w:t xml:space="preserve">第四章  </w:t>
      </w:r>
      <w:r>
        <w:rPr>
          <w:rFonts w:ascii="宋体" w:hAnsi="宋体" w:eastAsia="宋体"/>
          <w:b/>
          <w:sz w:val="32"/>
          <w:szCs w:val="32"/>
          <w:lang w:eastAsia="zh-CN"/>
        </w:rPr>
        <w:t>评审</w:t>
      </w:r>
      <w:r>
        <w:rPr>
          <w:rFonts w:hint="eastAsia" w:ascii="宋体" w:hAnsi="宋体" w:eastAsia="宋体"/>
          <w:b/>
          <w:sz w:val="32"/>
          <w:szCs w:val="32"/>
          <w:lang w:eastAsia="zh-CN"/>
        </w:rPr>
        <w:t>方</w:t>
      </w:r>
      <w:r>
        <w:rPr>
          <w:rFonts w:ascii="宋体" w:hAnsi="宋体" w:eastAsia="宋体"/>
          <w:b/>
          <w:sz w:val="32"/>
          <w:szCs w:val="32"/>
          <w:lang w:eastAsia="zh-CN"/>
        </w:rPr>
        <w:t>法</w:t>
      </w:r>
      <w:bookmarkEnd w:id="38"/>
      <w:bookmarkEnd w:id="45"/>
      <w:bookmarkEnd w:id="52"/>
    </w:p>
    <w:tbl>
      <w:tblPr>
        <w:tblStyle w:val="21"/>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4"/>
        <w:gridCol w:w="980"/>
        <w:gridCol w:w="1820"/>
        <w:gridCol w:w="5144"/>
      </w:tblGrid>
      <w:tr w14:paraId="650CC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974" w:type="dxa"/>
            <w:vAlign w:val="center"/>
          </w:tcPr>
          <w:p w14:paraId="2E19CEC1">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b/>
                <w:kern w:val="2"/>
                <w:sz w:val="24"/>
                <w:szCs w:val="24"/>
                <w:lang w:eastAsia="zh-CN"/>
              </w:rPr>
            </w:pPr>
            <w:bookmarkStart w:id="53" w:name="_Toc144974567"/>
            <w:bookmarkStart w:id="54" w:name="_Toc152045600"/>
            <w:bookmarkStart w:id="55" w:name="_Toc152042377"/>
            <w:bookmarkStart w:id="56" w:name="_Toc414277163"/>
            <w:bookmarkStart w:id="57" w:name="_Toc414112651"/>
            <w:bookmarkStart w:id="58" w:name="_Toc443895874"/>
            <w:bookmarkStart w:id="59" w:name="_Toc415575790"/>
            <w:r>
              <w:rPr>
                <w:rFonts w:hint="eastAsia" w:ascii="宋体" w:hAnsi="宋体" w:cs="Times New Roman"/>
                <w:b/>
                <w:kern w:val="2"/>
                <w:sz w:val="24"/>
                <w:szCs w:val="24"/>
                <w:lang w:eastAsia="zh-CN"/>
              </w:rPr>
              <w:t>条款号</w:t>
            </w:r>
          </w:p>
        </w:tc>
        <w:tc>
          <w:tcPr>
            <w:tcW w:w="2800" w:type="dxa"/>
            <w:gridSpan w:val="2"/>
            <w:vAlign w:val="center"/>
          </w:tcPr>
          <w:p w14:paraId="603FA52F">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b/>
                <w:kern w:val="2"/>
                <w:sz w:val="24"/>
                <w:szCs w:val="24"/>
                <w:lang w:eastAsia="zh-CN"/>
              </w:rPr>
            </w:pPr>
            <w:r>
              <w:rPr>
                <w:rFonts w:hint="eastAsia" w:ascii="宋体" w:hAnsi="宋体" w:cs="Times New Roman"/>
                <w:b/>
                <w:kern w:val="2"/>
                <w:sz w:val="24"/>
                <w:szCs w:val="24"/>
                <w:lang w:eastAsia="zh-CN"/>
              </w:rPr>
              <w:t>评审因素</w:t>
            </w:r>
          </w:p>
        </w:tc>
        <w:tc>
          <w:tcPr>
            <w:tcW w:w="5144" w:type="dxa"/>
            <w:vAlign w:val="center"/>
          </w:tcPr>
          <w:p w14:paraId="2CCE24BA">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b/>
                <w:kern w:val="2"/>
                <w:sz w:val="24"/>
                <w:szCs w:val="24"/>
                <w:lang w:eastAsia="zh-CN"/>
              </w:rPr>
            </w:pPr>
            <w:r>
              <w:rPr>
                <w:rFonts w:hint="eastAsia" w:ascii="宋体" w:hAnsi="宋体" w:cs="Times New Roman"/>
                <w:b/>
                <w:kern w:val="2"/>
                <w:sz w:val="24"/>
                <w:szCs w:val="24"/>
                <w:lang w:eastAsia="zh-CN"/>
              </w:rPr>
              <w:t>评审标准</w:t>
            </w:r>
          </w:p>
        </w:tc>
      </w:tr>
      <w:tr w14:paraId="04B57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74" w:type="dxa"/>
            <w:vMerge w:val="restart"/>
            <w:vAlign w:val="center"/>
          </w:tcPr>
          <w:p w14:paraId="0A80346A">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ascii="宋体" w:hAnsi="宋体" w:cs="Times New Roman"/>
                <w:kern w:val="2"/>
                <w:sz w:val="21"/>
                <w:szCs w:val="21"/>
                <w:lang w:eastAsia="zh-CN"/>
              </w:rPr>
              <w:t>2.1.1</w:t>
            </w:r>
          </w:p>
        </w:tc>
        <w:tc>
          <w:tcPr>
            <w:tcW w:w="980" w:type="dxa"/>
            <w:vMerge w:val="restart"/>
            <w:vAlign w:val="center"/>
          </w:tcPr>
          <w:p w14:paraId="3B53D956">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形式评审标准</w:t>
            </w:r>
          </w:p>
        </w:tc>
        <w:tc>
          <w:tcPr>
            <w:tcW w:w="1820" w:type="dxa"/>
            <w:vAlign w:val="center"/>
          </w:tcPr>
          <w:p w14:paraId="793AABCD">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响应单位名称</w:t>
            </w:r>
          </w:p>
        </w:tc>
        <w:tc>
          <w:tcPr>
            <w:tcW w:w="5144" w:type="dxa"/>
            <w:vAlign w:val="center"/>
          </w:tcPr>
          <w:p w14:paraId="068822B9">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与营业执照</w:t>
            </w:r>
            <w:r>
              <w:rPr>
                <w:rFonts w:hint="eastAsia" w:ascii="宋体" w:hAnsi="宋体" w:cs="Times New Roman"/>
                <w:kern w:val="2"/>
                <w:sz w:val="21"/>
                <w:szCs w:val="21"/>
                <w:lang w:val="en-US" w:eastAsia="zh-CN"/>
              </w:rPr>
              <w:t>或其他证明材料</w:t>
            </w:r>
            <w:r>
              <w:rPr>
                <w:rFonts w:hint="eastAsia" w:ascii="宋体" w:hAnsi="宋体" w:cs="Times New Roman"/>
                <w:kern w:val="2"/>
                <w:sz w:val="21"/>
                <w:szCs w:val="21"/>
                <w:lang w:eastAsia="zh-CN"/>
              </w:rPr>
              <w:t>一致</w:t>
            </w:r>
          </w:p>
        </w:tc>
      </w:tr>
      <w:tr w14:paraId="7A20B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jc w:val="center"/>
        </w:trPr>
        <w:tc>
          <w:tcPr>
            <w:tcW w:w="974" w:type="dxa"/>
            <w:vMerge w:val="continue"/>
            <w:vAlign w:val="center"/>
          </w:tcPr>
          <w:p w14:paraId="10138210">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75ADA77E">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226EB5A3">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不存在串通投标</w:t>
            </w:r>
          </w:p>
          <w:p w14:paraId="1B6C2D15">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宋体"/>
                <w:kern w:val="2"/>
                <w:sz w:val="21"/>
                <w:szCs w:val="21"/>
                <w:lang w:eastAsia="zh-CN"/>
              </w:rPr>
              <w:t>情形</w:t>
            </w:r>
          </w:p>
        </w:tc>
        <w:tc>
          <w:tcPr>
            <w:tcW w:w="5144" w:type="dxa"/>
            <w:vAlign w:val="center"/>
          </w:tcPr>
          <w:p w14:paraId="1C6203E5">
            <w:pPr>
              <w:keepNext w:val="0"/>
              <w:keepLines w:val="0"/>
              <w:pageBreakBefore w:val="0"/>
              <w:widowControl w:val="0"/>
              <w:kinsoku/>
              <w:wordWrap/>
              <w:overflowPunct/>
              <w:topLinePunct w:val="0"/>
              <w:bidi w:val="0"/>
              <w:snapToGrid/>
              <w:spacing w:line="400" w:lineRule="exact"/>
              <w:jc w:val="both"/>
              <w:textAlignment w:val="auto"/>
              <w:rPr>
                <w:rFonts w:ascii="宋体" w:hAnsi="宋体" w:cs="宋体"/>
                <w:kern w:val="2"/>
                <w:sz w:val="21"/>
                <w:szCs w:val="21"/>
                <w:lang w:eastAsia="zh-CN"/>
              </w:rPr>
            </w:pPr>
            <w:r>
              <w:rPr>
                <w:rFonts w:hint="eastAsia" w:ascii="宋体" w:hAnsi="宋体" w:cs="宋体"/>
                <w:kern w:val="2"/>
                <w:sz w:val="21"/>
                <w:szCs w:val="21"/>
                <w:lang w:eastAsia="zh-CN"/>
              </w:rPr>
              <w:t>1.经交易系统校验，未显示文件制作机器码一致的。</w:t>
            </w:r>
          </w:p>
          <w:p w14:paraId="0F1E648B">
            <w:pPr>
              <w:keepNext w:val="0"/>
              <w:keepLines w:val="0"/>
              <w:pageBreakBefore w:val="0"/>
              <w:widowControl w:val="0"/>
              <w:kinsoku/>
              <w:wordWrap/>
              <w:overflowPunct/>
              <w:topLinePunct w:val="0"/>
              <w:bidi w:val="0"/>
              <w:snapToGrid/>
              <w:spacing w:line="400" w:lineRule="exact"/>
              <w:jc w:val="left"/>
              <w:textAlignment w:val="auto"/>
              <w:rPr>
                <w:rFonts w:ascii="宋体" w:hAnsi="宋体" w:cs="Times New Roman"/>
                <w:kern w:val="2"/>
                <w:sz w:val="21"/>
                <w:szCs w:val="21"/>
                <w:lang w:eastAsia="zh-CN"/>
              </w:rPr>
            </w:pPr>
            <w:r>
              <w:rPr>
                <w:rFonts w:hint="eastAsia" w:ascii="宋体" w:hAnsi="宋体" w:cs="宋体"/>
                <w:kern w:val="2"/>
                <w:sz w:val="21"/>
                <w:szCs w:val="21"/>
                <w:lang w:eastAsia="zh-CN"/>
              </w:rPr>
              <w:t>2.不存在“响应单位须知前附表”第10.</w:t>
            </w:r>
            <w:r>
              <w:rPr>
                <w:rFonts w:hint="eastAsia" w:ascii="宋体" w:hAnsi="宋体" w:cs="宋体"/>
                <w:kern w:val="2"/>
                <w:sz w:val="21"/>
                <w:szCs w:val="21"/>
                <w:lang w:val="en-US" w:eastAsia="zh-CN"/>
              </w:rPr>
              <w:t>9</w:t>
            </w:r>
            <w:r>
              <w:rPr>
                <w:rFonts w:hint="eastAsia" w:ascii="宋体" w:hAnsi="宋体" w:cs="宋体"/>
                <w:kern w:val="2"/>
                <w:sz w:val="21"/>
                <w:szCs w:val="21"/>
                <w:lang w:eastAsia="zh-CN"/>
              </w:rPr>
              <w:t>项的情形。</w:t>
            </w:r>
          </w:p>
        </w:tc>
      </w:tr>
      <w:tr w14:paraId="7C48E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974" w:type="dxa"/>
            <w:vMerge w:val="continue"/>
          </w:tcPr>
          <w:p w14:paraId="39266C96">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980" w:type="dxa"/>
            <w:vMerge w:val="continue"/>
          </w:tcPr>
          <w:p w14:paraId="008F2C6A">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1820" w:type="dxa"/>
            <w:vAlign w:val="center"/>
          </w:tcPr>
          <w:p w14:paraId="243088E3">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磋商函签字盖章</w:t>
            </w:r>
          </w:p>
        </w:tc>
        <w:tc>
          <w:tcPr>
            <w:tcW w:w="5144" w:type="dxa"/>
            <w:vAlign w:val="center"/>
          </w:tcPr>
          <w:p w14:paraId="5CBBB0F4">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有法定代表人或其委托代理人签字并加盖单位章</w:t>
            </w:r>
          </w:p>
        </w:tc>
      </w:tr>
      <w:tr w14:paraId="3F082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74" w:type="dxa"/>
            <w:vMerge w:val="continue"/>
          </w:tcPr>
          <w:p w14:paraId="3D5AF088">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980" w:type="dxa"/>
            <w:vMerge w:val="continue"/>
          </w:tcPr>
          <w:p w14:paraId="18ABCF31">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1820" w:type="dxa"/>
            <w:vAlign w:val="center"/>
          </w:tcPr>
          <w:p w14:paraId="242BF196">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报价唯一</w:t>
            </w:r>
          </w:p>
        </w:tc>
        <w:tc>
          <w:tcPr>
            <w:tcW w:w="5144" w:type="dxa"/>
            <w:vAlign w:val="center"/>
          </w:tcPr>
          <w:p w14:paraId="4E5F262D">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首轮报价只能有一个有效报价且不超过最高限价</w:t>
            </w:r>
          </w:p>
        </w:tc>
      </w:tr>
      <w:tr w14:paraId="085C5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jc w:val="center"/>
        </w:trPr>
        <w:tc>
          <w:tcPr>
            <w:tcW w:w="974" w:type="dxa"/>
            <w:vMerge w:val="restart"/>
            <w:vAlign w:val="center"/>
          </w:tcPr>
          <w:p w14:paraId="30799BA0">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ascii="宋体" w:hAnsi="宋体" w:cs="Times New Roman"/>
                <w:kern w:val="2"/>
                <w:sz w:val="21"/>
                <w:szCs w:val="21"/>
                <w:lang w:eastAsia="zh-CN"/>
              </w:rPr>
              <w:t>2.1.2</w:t>
            </w:r>
          </w:p>
        </w:tc>
        <w:tc>
          <w:tcPr>
            <w:tcW w:w="980" w:type="dxa"/>
            <w:vMerge w:val="restart"/>
            <w:vAlign w:val="center"/>
          </w:tcPr>
          <w:p w14:paraId="7A647C12">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资格评审标准</w:t>
            </w:r>
          </w:p>
        </w:tc>
        <w:tc>
          <w:tcPr>
            <w:tcW w:w="1820" w:type="dxa"/>
            <w:vAlign w:val="center"/>
          </w:tcPr>
          <w:p w14:paraId="7E59F56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cs="宋体"/>
                <w:sz w:val="21"/>
                <w:szCs w:val="21"/>
                <w:lang w:val="en-US" w:eastAsia="zh-CN"/>
              </w:rPr>
            </w:pPr>
            <w:r>
              <w:rPr>
                <w:rFonts w:hint="eastAsia" w:ascii="宋体" w:hAnsi="宋体" w:cs="宋体"/>
                <w:sz w:val="21"/>
                <w:szCs w:val="21"/>
                <w:lang w:eastAsia="zh-CN"/>
              </w:rPr>
              <w:t>营业执照或</w:t>
            </w:r>
            <w:r>
              <w:rPr>
                <w:rFonts w:hint="eastAsia" w:ascii="宋体" w:hAnsi="宋体" w:cs="宋体"/>
                <w:sz w:val="21"/>
                <w:szCs w:val="21"/>
                <w:lang w:val="en-US" w:eastAsia="zh-CN"/>
              </w:rPr>
              <w:t>其他证明材料</w:t>
            </w:r>
          </w:p>
        </w:tc>
        <w:tc>
          <w:tcPr>
            <w:tcW w:w="5144" w:type="dxa"/>
            <w:vAlign w:val="center"/>
          </w:tcPr>
          <w:p w14:paraId="4A510AE1">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宋体" w:hAnsi="宋体" w:cs="宋体"/>
                <w:sz w:val="21"/>
                <w:szCs w:val="21"/>
                <w:lang w:eastAsia="zh-CN"/>
              </w:rPr>
            </w:pPr>
            <w:r>
              <w:rPr>
                <w:rFonts w:hint="eastAsia" w:ascii="宋体" w:hAnsi="宋体" w:cs="宋体"/>
                <w:sz w:val="21"/>
                <w:szCs w:val="21"/>
                <w:highlight w:val="none"/>
                <w:lang w:eastAsia="zh-CN"/>
              </w:rPr>
              <w:t>具备有效的营业执照或其他证明材料</w:t>
            </w:r>
          </w:p>
        </w:tc>
      </w:tr>
      <w:tr w14:paraId="5404E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974" w:type="dxa"/>
            <w:vMerge w:val="continue"/>
            <w:vAlign w:val="center"/>
          </w:tcPr>
          <w:p w14:paraId="39B6DA78">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60EEF9E1">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26CA49E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信用记录</w:t>
            </w:r>
          </w:p>
        </w:tc>
        <w:tc>
          <w:tcPr>
            <w:tcW w:w="5144" w:type="dxa"/>
            <w:tcBorders>
              <w:bottom w:val="single" w:color="auto" w:sz="4" w:space="0"/>
            </w:tcBorders>
            <w:vAlign w:val="center"/>
          </w:tcPr>
          <w:p w14:paraId="3E5075E3">
            <w:pPr>
              <w:keepNext w:val="0"/>
              <w:keepLines w:val="0"/>
              <w:pageBreakBefore w:val="0"/>
              <w:widowControl w:val="0"/>
              <w:tabs>
                <w:tab w:val="left" w:pos="1497"/>
              </w:tabs>
              <w:kinsoku/>
              <w:wordWrap/>
              <w:overflowPunct/>
              <w:topLinePunct w:val="0"/>
              <w:autoSpaceDE/>
              <w:autoSpaceDN/>
              <w:bidi w:val="0"/>
              <w:adjustRightInd/>
              <w:snapToGrid/>
              <w:spacing w:line="400" w:lineRule="exact"/>
              <w:jc w:val="both"/>
              <w:textAlignment w:val="auto"/>
              <w:rPr>
                <w:rFonts w:ascii="宋体" w:hAnsi="宋体" w:cs="宋体"/>
                <w:sz w:val="21"/>
                <w:szCs w:val="21"/>
                <w:lang w:eastAsia="zh-CN"/>
              </w:rPr>
            </w:pPr>
            <w:r>
              <w:rPr>
                <w:rFonts w:hint="eastAsia" w:ascii="宋体" w:hAnsi="宋体" w:cs="宋体"/>
                <w:sz w:val="21"/>
                <w:szCs w:val="21"/>
                <w:lang w:eastAsia="zh-CN"/>
              </w:rPr>
              <w:t>符合“响应单位须知前附表”第 1.4.1 项规定</w:t>
            </w:r>
          </w:p>
        </w:tc>
      </w:tr>
      <w:tr w14:paraId="6A27B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74" w:type="dxa"/>
            <w:vMerge w:val="continue"/>
            <w:vAlign w:val="center"/>
          </w:tcPr>
          <w:p w14:paraId="1B01986D">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14436B9C">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1574527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财务报告        </w:t>
            </w:r>
          </w:p>
        </w:tc>
        <w:tc>
          <w:tcPr>
            <w:tcW w:w="5144" w:type="dxa"/>
            <w:vMerge w:val="restart"/>
            <w:tcBorders>
              <w:top w:val="single" w:color="auto" w:sz="4" w:space="0"/>
            </w:tcBorders>
            <w:vAlign w:val="center"/>
          </w:tcPr>
          <w:p w14:paraId="6FDDCBEE">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sz w:val="21"/>
                <w:szCs w:val="21"/>
                <w:lang w:eastAsia="zh-CN"/>
              </w:rPr>
            </w:pPr>
            <w:r>
              <w:rPr>
                <w:rFonts w:hint="eastAsia" w:ascii="宋体" w:hAnsi="宋体" w:cs="宋体"/>
                <w:sz w:val="21"/>
                <w:szCs w:val="21"/>
                <w:lang w:eastAsia="zh-CN"/>
              </w:rPr>
              <w:t>填写资格承诺声明函</w:t>
            </w:r>
          </w:p>
        </w:tc>
      </w:tr>
      <w:tr w14:paraId="64088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974" w:type="dxa"/>
            <w:vMerge w:val="continue"/>
            <w:vAlign w:val="center"/>
          </w:tcPr>
          <w:p w14:paraId="3CB00D10">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58961FBA">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188A9B3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纳税要求</w:t>
            </w:r>
          </w:p>
        </w:tc>
        <w:tc>
          <w:tcPr>
            <w:tcW w:w="5144" w:type="dxa"/>
            <w:vMerge w:val="continue"/>
            <w:tcBorders>
              <w:top w:val="single" w:color="auto" w:sz="4" w:space="0"/>
              <w:bottom w:val="single" w:color="auto" w:sz="4" w:space="0"/>
            </w:tcBorders>
            <w:vAlign w:val="center"/>
          </w:tcPr>
          <w:p w14:paraId="6D65936A">
            <w:pPr>
              <w:keepNext w:val="0"/>
              <w:keepLines w:val="0"/>
              <w:pageBreakBefore w:val="0"/>
              <w:widowControl w:val="0"/>
              <w:kinsoku/>
              <w:wordWrap/>
              <w:overflowPunct/>
              <w:topLinePunct w:val="0"/>
              <w:bidi w:val="0"/>
              <w:snapToGrid/>
              <w:spacing w:line="400" w:lineRule="exact"/>
              <w:jc w:val="both"/>
              <w:textAlignment w:val="auto"/>
              <w:rPr>
                <w:rFonts w:ascii="宋体" w:hAnsi="宋体" w:cs="宋体"/>
                <w:sz w:val="21"/>
                <w:szCs w:val="21"/>
                <w:lang w:eastAsia="zh-CN"/>
              </w:rPr>
            </w:pPr>
          </w:p>
        </w:tc>
      </w:tr>
      <w:tr w14:paraId="61DDC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74" w:type="dxa"/>
            <w:vMerge w:val="continue"/>
            <w:vAlign w:val="center"/>
          </w:tcPr>
          <w:p w14:paraId="72EE846B">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54F00CCF">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194AD60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社会保险要求</w:t>
            </w:r>
          </w:p>
        </w:tc>
        <w:tc>
          <w:tcPr>
            <w:tcW w:w="5144" w:type="dxa"/>
            <w:vMerge w:val="continue"/>
            <w:tcBorders>
              <w:top w:val="single" w:color="auto" w:sz="4" w:space="0"/>
              <w:bottom w:val="single" w:color="auto" w:sz="4" w:space="0"/>
            </w:tcBorders>
            <w:vAlign w:val="center"/>
          </w:tcPr>
          <w:p w14:paraId="14B07636">
            <w:pPr>
              <w:keepNext w:val="0"/>
              <w:keepLines w:val="0"/>
              <w:pageBreakBefore w:val="0"/>
              <w:widowControl w:val="0"/>
              <w:kinsoku/>
              <w:wordWrap/>
              <w:overflowPunct/>
              <w:topLinePunct w:val="0"/>
              <w:bidi w:val="0"/>
              <w:snapToGrid/>
              <w:spacing w:line="400" w:lineRule="exact"/>
              <w:jc w:val="both"/>
              <w:textAlignment w:val="auto"/>
              <w:rPr>
                <w:rFonts w:ascii="宋体" w:hAnsi="宋体" w:cs="宋体"/>
                <w:sz w:val="21"/>
                <w:szCs w:val="21"/>
                <w:lang w:eastAsia="zh-CN"/>
              </w:rPr>
            </w:pPr>
          </w:p>
        </w:tc>
      </w:tr>
      <w:tr w14:paraId="4113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974" w:type="dxa"/>
            <w:vMerge w:val="continue"/>
            <w:vAlign w:val="center"/>
          </w:tcPr>
          <w:p w14:paraId="5FA2F9AE">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2E7EDA9B">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17ADD69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具有履行合同所必需的设备和专业技术能力</w:t>
            </w:r>
          </w:p>
        </w:tc>
        <w:tc>
          <w:tcPr>
            <w:tcW w:w="5144" w:type="dxa"/>
            <w:vMerge w:val="continue"/>
            <w:tcBorders>
              <w:top w:val="single" w:color="auto" w:sz="4" w:space="0"/>
              <w:bottom w:val="single" w:color="auto" w:sz="4" w:space="0"/>
            </w:tcBorders>
            <w:vAlign w:val="center"/>
          </w:tcPr>
          <w:p w14:paraId="07B736C9">
            <w:pPr>
              <w:keepNext w:val="0"/>
              <w:keepLines w:val="0"/>
              <w:pageBreakBefore w:val="0"/>
              <w:widowControl w:val="0"/>
              <w:kinsoku/>
              <w:wordWrap/>
              <w:overflowPunct/>
              <w:topLinePunct w:val="0"/>
              <w:bidi w:val="0"/>
              <w:snapToGrid/>
              <w:spacing w:line="400" w:lineRule="exact"/>
              <w:jc w:val="both"/>
              <w:textAlignment w:val="auto"/>
              <w:rPr>
                <w:rFonts w:ascii="宋体" w:hAnsi="宋体" w:cs="宋体"/>
                <w:sz w:val="21"/>
                <w:szCs w:val="21"/>
                <w:lang w:eastAsia="zh-CN"/>
              </w:rPr>
            </w:pPr>
          </w:p>
        </w:tc>
      </w:tr>
      <w:tr w14:paraId="0DF18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974" w:type="dxa"/>
            <w:vMerge w:val="continue"/>
            <w:vAlign w:val="center"/>
          </w:tcPr>
          <w:p w14:paraId="42FAC342">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658B143E">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21713EB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5144" w:type="dxa"/>
            <w:vMerge w:val="continue"/>
            <w:tcBorders>
              <w:top w:val="single" w:color="auto" w:sz="4" w:space="0"/>
              <w:bottom w:val="single" w:color="auto" w:sz="4" w:space="0"/>
            </w:tcBorders>
            <w:vAlign w:val="center"/>
          </w:tcPr>
          <w:p w14:paraId="05B3A9A5">
            <w:pPr>
              <w:keepNext w:val="0"/>
              <w:keepLines w:val="0"/>
              <w:pageBreakBefore w:val="0"/>
              <w:widowControl w:val="0"/>
              <w:kinsoku/>
              <w:wordWrap/>
              <w:overflowPunct/>
              <w:topLinePunct w:val="0"/>
              <w:bidi w:val="0"/>
              <w:snapToGrid/>
              <w:spacing w:line="400" w:lineRule="exact"/>
              <w:jc w:val="both"/>
              <w:textAlignment w:val="auto"/>
              <w:rPr>
                <w:rFonts w:ascii="宋体" w:hAnsi="宋体" w:cs="宋体"/>
                <w:sz w:val="21"/>
                <w:szCs w:val="21"/>
                <w:lang w:eastAsia="zh-CN"/>
              </w:rPr>
            </w:pPr>
          </w:p>
        </w:tc>
      </w:tr>
      <w:tr w14:paraId="638E7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974" w:type="dxa"/>
            <w:vMerge w:val="continue"/>
            <w:vAlign w:val="center"/>
          </w:tcPr>
          <w:p w14:paraId="7419714A">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26742CB6">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1820" w:type="dxa"/>
            <w:vAlign w:val="center"/>
          </w:tcPr>
          <w:p w14:paraId="112316C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bCs/>
                <w:sz w:val="21"/>
                <w:szCs w:val="21"/>
                <w:lang w:eastAsia="zh-CN"/>
              </w:rPr>
            </w:pPr>
            <w:r>
              <w:rPr>
                <w:rFonts w:hint="eastAsia" w:ascii="宋体" w:hAnsi="宋体" w:cs="宋体"/>
                <w:bCs/>
                <w:sz w:val="21"/>
                <w:szCs w:val="21"/>
                <w:lang w:eastAsia="zh-CN"/>
              </w:rPr>
              <w:t>其他要求</w:t>
            </w:r>
          </w:p>
        </w:tc>
        <w:tc>
          <w:tcPr>
            <w:tcW w:w="5144" w:type="dxa"/>
            <w:tcBorders>
              <w:top w:val="single" w:color="auto" w:sz="4" w:space="0"/>
            </w:tcBorders>
            <w:vAlign w:val="center"/>
          </w:tcPr>
          <w:p w14:paraId="66D1A42E">
            <w:pPr>
              <w:pStyle w:val="19"/>
              <w:keepNext w:val="0"/>
              <w:keepLines w:val="0"/>
              <w:pageBreakBefore w:val="0"/>
              <w:widowControl w:val="0"/>
              <w:kinsoku/>
              <w:wordWrap/>
              <w:overflowPunct/>
              <w:topLinePunct w:val="0"/>
              <w:bidi w:val="0"/>
              <w:snapToGrid/>
              <w:spacing w:after="0" w:line="400" w:lineRule="exact"/>
              <w:ind w:firstLine="0" w:firstLineChars="0"/>
              <w:textAlignment w:val="auto"/>
            </w:pPr>
            <w:r>
              <w:rPr>
                <w:rFonts w:hint="eastAsia"/>
              </w:rPr>
              <w:t>符合“</w:t>
            </w:r>
            <w:r>
              <w:rPr>
                <w:rFonts w:hint="eastAsia"/>
                <w:lang w:eastAsia="zh-CN"/>
              </w:rPr>
              <w:t>响应单位</w:t>
            </w:r>
            <w:r>
              <w:rPr>
                <w:rFonts w:hint="eastAsia"/>
              </w:rPr>
              <w:t>须知</w:t>
            </w:r>
            <w:r>
              <w:rPr>
                <w:rFonts w:hint="eastAsia" w:ascii="宋体" w:hAnsi="宋体" w:cs="宋体"/>
                <w:szCs w:val="21"/>
              </w:rPr>
              <w:t>前附表</w:t>
            </w:r>
            <w:r>
              <w:rPr>
                <w:rFonts w:hint="eastAsia"/>
              </w:rPr>
              <w:t>”第 1.4.1 项规定</w:t>
            </w:r>
          </w:p>
        </w:tc>
      </w:tr>
      <w:tr w14:paraId="2BC21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974" w:type="dxa"/>
            <w:vMerge w:val="restart"/>
            <w:vAlign w:val="center"/>
          </w:tcPr>
          <w:p w14:paraId="37F8CBC9">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ascii="宋体" w:hAnsi="宋体" w:cs="Times New Roman"/>
                <w:kern w:val="2"/>
                <w:sz w:val="21"/>
                <w:szCs w:val="21"/>
                <w:lang w:eastAsia="zh-CN"/>
              </w:rPr>
              <w:t>2.1.3</w:t>
            </w:r>
          </w:p>
        </w:tc>
        <w:tc>
          <w:tcPr>
            <w:tcW w:w="980" w:type="dxa"/>
            <w:vMerge w:val="restart"/>
            <w:vAlign w:val="center"/>
          </w:tcPr>
          <w:p w14:paraId="773E8315">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r>
              <w:rPr>
                <w:rFonts w:hint="eastAsia" w:ascii="宋体" w:hAnsi="宋体" w:cs="Times New Roman"/>
                <w:kern w:val="2"/>
                <w:sz w:val="21"/>
                <w:szCs w:val="21"/>
                <w:lang w:eastAsia="zh-CN"/>
              </w:rPr>
              <w:t>响应性评审标准</w:t>
            </w:r>
          </w:p>
        </w:tc>
        <w:tc>
          <w:tcPr>
            <w:tcW w:w="1820" w:type="dxa"/>
            <w:tcBorders>
              <w:bottom w:val="single" w:color="auto" w:sz="4" w:space="0"/>
            </w:tcBorders>
            <w:vAlign w:val="center"/>
          </w:tcPr>
          <w:p w14:paraId="5F18120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sz w:val="21"/>
                <w:szCs w:val="21"/>
                <w:lang w:eastAsia="zh-CN"/>
              </w:rPr>
            </w:pPr>
            <w:r>
              <w:rPr>
                <w:rFonts w:hint="eastAsia" w:ascii="宋体" w:hAnsi="宋体" w:cs="宋体"/>
                <w:sz w:val="21"/>
                <w:szCs w:val="21"/>
                <w:lang w:eastAsia="zh-CN"/>
              </w:rPr>
              <w:t>采购内容</w:t>
            </w:r>
          </w:p>
        </w:tc>
        <w:tc>
          <w:tcPr>
            <w:tcW w:w="5144" w:type="dxa"/>
            <w:tcBorders>
              <w:bottom w:val="single" w:color="auto" w:sz="4" w:space="0"/>
            </w:tcBorders>
            <w:vAlign w:val="center"/>
          </w:tcPr>
          <w:p w14:paraId="5D751F5C">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宋体"/>
                <w:sz w:val="21"/>
                <w:szCs w:val="21"/>
                <w:lang w:eastAsia="zh-CN"/>
              </w:rPr>
              <w:t>符合第二章“响应单位须知前附表”第1.3.1项规定</w:t>
            </w:r>
          </w:p>
        </w:tc>
      </w:tr>
      <w:tr w14:paraId="23A03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974" w:type="dxa"/>
            <w:vMerge w:val="continue"/>
            <w:vAlign w:val="center"/>
          </w:tcPr>
          <w:p w14:paraId="2C7D3FFF">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024E5404">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tcBorders>
              <w:top w:val="single" w:color="auto" w:sz="4" w:space="0"/>
            </w:tcBorders>
            <w:vAlign w:val="center"/>
          </w:tcPr>
          <w:p w14:paraId="1B59E9B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服务质量</w:t>
            </w:r>
          </w:p>
        </w:tc>
        <w:tc>
          <w:tcPr>
            <w:tcW w:w="5144" w:type="dxa"/>
            <w:tcBorders>
              <w:top w:val="single" w:color="auto" w:sz="4" w:space="0"/>
            </w:tcBorders>
            <w:vAlign w:val="center"/>
          </w:tcPr>
          <w:p w14:paraId="1DCC9FC2">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宋体"/>
                <w:sz w:val="21"/>
                <w:szCs w:val="21"/>
                <w:lang w:eastAsia="zh-CN"/>
              </w:rPr>
              <w:t>符合第二章“响应单位须知前附表”第1.3.2项规定</w:t>
            </w:r>
          </w:p>
        </w:tc>
      </w:tr>
      <w:tr w14:paraId="22F9A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974" w:type="dxa"/>
            <w:vMerge w:val="continue"/>
            <w:vAlign w:val="center"/>
          </w:tcPr>
          <w:p w14:paraId="562EF86F">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980" w:type="dxa"/>
            <w:vMerge w:val="continue"/>
            <w:vAlign w:val="center"/>
          </w:tcPr>
          <w:p w14:paraId="0E2EA08A">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tcBorders>
              <w:top w:val="single" w:color="auto" w:sz="4" w:space="0"/>
            </w:tcBorders>
            <w:vAlign w:val="center"/>
          </w:tcPr>
          <w:p w14:paraId="7028C89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磋商报价</w:t>
            </w:r>
          </w:p>
        </w:tc>
        <w:tc>
          <w:tcPr>
            <w:tcW w:w="5144" w:type="dxa"/>
            <w:tcBorders>
              <w:top w:val="single" w:color="auto" w:sz="4" w:space="0"/>
            </w:tcBorders>
            <w:vAlign w:val="center"/>
          </w:tcPr>
          <w:p w14:paraId="20CD4B06">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cs="宋体"/>
                <w:sz w:val="21"/>
                <w:szCs w:val="21"/>
                <w:lang w:eastAsia="zh-CN"/>
              </w:rPr>
            </w:pPr>
            <w:r>
              <w:rPr>
                <w:rFonts w:hint="eastAsia" w:ascii="宋体" w:hAnsi="宋体" w:cs="宋体"/>
                <w:sz w:val="21"/>
                <w:szCs w:val="21"/>
                <w:lang w:eastAsia="zh-CN"/>
              </w:rPr>
              <w:t>报价未超过竞争性磋商文件中规定的最高限价</w:t>
            </w:r>
          </w:p>
        </w:tc>
      </w:tr>
      <w:tr w14:paraId="5772C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74" w:type="dxa"/>
            <w:vMerge w:val="continue"/>
          </w:tcPr>
          <w:p w14:paraId="73D15027">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980" w:type="dxa"/>
            <w:vMerge w:val="continue"/>
          </w:tcPr>
          <w:p w14:paraId="39624237">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156422C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sz w:val="21"/>
                <w:szCs w:val="21"/>
                <w:lang w:eastAsia="zh-CN"/>
              </w:rPr>
            </w:pPr>
            <w:r>
              <w:rPr>
                <w:rFonts w:hint="eastAsia" w:ascii="宋体" w:hAnsi="宋体" w:cs="宋体"/>
                <w:sz w:val="21"/>
                <w:szCs w:val="21"/>
                <w:lang w:eastAsia="zh-CN"/>
              </w:rPr>
              <w:t>服务期限</w:t>
            </w:r>
          </w:p>
        </w:tc>
        <w:tc>
          <w:tcPr>
            <w:tcW w:w="5144" w:type="dxa"/>
            <w:vAlign w:val="center"/>
          </w:tcPr>
          <w:p w14:paraId="0E5DFFE3">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宋体"/>
                <w:sz w:val="21"/>
                <w:szCs w:val="21"/>
                <w:lang w:eastAsia="zh-CN"/>
              </w:rPr>
              <w:t>符合第二章“响应单位须知前附表”第1.3.3项规定</w:t>
            </w:r>
          </w:p>
        </w:tc>
      </w:tr>
      <w:tr w14:paraId="33896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74" w:type="dxa"/>
            <w:vMerge w:val="continue"/>
          </w:tcPr>
          <w:p w14:paraId="335B3A93">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980" w:type="dxa"/>
            <w:vMerge w:val="continue"/>
          </w:tcPr>
          <w:p w14:paraId="38B69C86">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4F6D832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sz w:val="21"/>
                <w:szCs w:val="21"/>
                <w:lang w:eastAsia="zh-CN"/>
              </w:rPr>
            </w:pPr>
            <w:r>
              <w:rPr>
                <w:rFonts w:hint="eastAsia" w:ascii="宋体" w:hAnsi="宋体"/>
                <w:sz w:val="21"/>
                <w:szCs w:val="21"/>
                <w:lang w:eastAsia="zh-CN"/>
              </w:rPr>
              <w:t>服务地点</w:t>
            </w:r>
          </w:p>
        </w:tc>
        <w:tc>
          <w:tcPr>
            <w:tcW w:w="5144" w:type="dxa"/>
            <w:vAlign w:val="center"/>
          </w:tcPr>
          <w:p w14:paraId="457376EB">
            <w:pPr>
              <w:keepNext w:val="0"/>
              <w:keepLines w:val="0"/>
              <w:pageBreakBefore w:val="0"/>
              <w:widowControl w:val="0"/>
              <w:kinsoku/>
              <w:wordWrap/>
              <w:overflowPunct/>
              <w:topLinePunct w:val="0"/>
              <w:bidi w:val="0"/>
              <w:snapToGrid/>
              <w:spacing w:line="400" w:lineRule="exact"/>
              <w:jc w:val="both"/>
              <w:textAlignment w:val="auto"/>
              <w:rPr>
                <w:rFonts w:ascii="宋体" w:hAnsi="宋体" w:cs="宋体"/>
                <w:sz w:val="21"/>
                <w:szCs w:val="21"/>
                <w:lang w:eastAsia="zh-CN"/>
              </w:rPr>
            </w:pPr>
            <w:r>
              <w:rPr>
                <w:rFonts w:hint="eastAsia" w:ascii="宋体" w:hAnsi="宋体" w:cs="宋体"/>
                <w:sz w:val="21"/>
                <w:szCs w:val="21"/>
                <w:lang w:eastAsia="zh-CN"/>
              </w:rPr>
              <w:t>符合第二章“响应单位须知前附表”第1.3.</w:t>
            </w:r>
            <w:r>
              <w:rPr>
                <w:rFonts w:hint="eastAsia" w:ascii="宋体" w:hAnsi="宋体" w:cs="宋体"/>
                <w:sz w:val="21"/>
                <w:szCs w:val="21"/>
                <w:lang w:val="en-US" w:eastAsia="zh-CN"/>
              </w:rPr>
              <w:t>4</w:t>
            </w:r>
            <w:r>
              <w:rPr>
                <w:rFonts w:hint="eastAsia" w:ascii="宋体" w:hAnsi="宋体" w:cs="宋体"/>
                <w:sz w:val="21"/>
                <w:szCs w:val="21"/>
                <w:lang w:eastAsia="zh-CN"/>
              </w:rPr>
              <w:t>项规定</w:t>
            </w:r>
          </w:p>
        </w:tc>
      </w:tr>
      <w:tr w14:paraId="1CE02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974" w:type="dxa"/>
            <w:vMerge w:val="continue"/>
          </w:tcPr>
          <w:p w14:paraId="4C9E0867">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p>
        </w:tc>
        <w:tc>
          <w:tcPr>
            <w:tcW w:w="980" w:type="dxa"/>
            <w:vMerge w:val="continue"/>
          </w:tcPr>
          <w:p w14:paraId="6DD24ED3">
            <w:pPr>
              <w:keepNext w:val="0"/>
              <w:keepLines w:val="0"/>
              <w:pageBreakBefore w:val="0"/>
              <w:widowControl w:val="0"/>
              <w:kinsoku/>
              <w:wordWrap/>
              <w:overflowPunct/>
              <w:topLinePunct w:val="0"/>
              <w:bidi w:val="0"/>
              <w:snapToGrid/>
              <w:spacing w:line="400" w:lineRule="exact"/>
              <w:jc w:val="center"/>
              <w:textAlignment w:val="auto"/>
              <w:rPr>
                <w:rFonts w:ascii="宋体" w:hAnsi="宋体" w:cs="Times New Roman"/>
                <w:kern w:val="2"/>
                <w:sz w:val="21"/>
                <w:szCs w:val="21"/>
                <w:lang w:eastAsia="zh-CN"/>
              </w:rPr>
            </w:pPr>
          </w:p>
        </w:tc>
        <w:tc>
          <w:tcPr>
            <w:tcW w:w="1820" w:type="dxa"/>
            <w:vAlign w:val="center"/>
          </w:tcPr>
          <w:p w14:paraId="6B9A3A5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sz w:val="21"/>
                <w:szCs w:val="21"/>
                <w:lang w:eastAsia="zh-CN"/>
              </w:rPr>
            </w:pPr>
            <w:r>
              <w:rPr>
                <w:rFonts w:hint="eastAsia" w:ascii="宋体" w:hAnsi="宋体" w:cs="宋体"/>
                <w:sz w:val="21"/>
                <w:szCs w:val="21"/>
                <w:lang w:eastAsia="zh-CN"/>
              </w:rPr>
              <w:t>磋商有效期</w:t>
            </w:r>
          </w:p>
        </w:tc>
        <w:tc>
          <w:tcPr>
            <w:tcW w:w="5144" w:type="dxa"/>
            <w:vAlign w:val="center"/>
          </w:tcPr>
          <w:p w14:paraId="5F2F13BD">
            <w:pPr>
              <w:keepNext w:val="0"/>
              <w:keepLines w:val="0"/>
              <w:pageBreakBefore w:val="0"/>
              <w:widowControl w:val="0"/>
              <w:kinsoku/>
              <w:wordWrap/>
              <w:overflowPunct/>
              <w:topLinePunct w:val="0"/>
              <w:bidi w:val="0"/>
              <w:snapToGrid/>
              <w:spacing w:line="400" w:lineRule="exact"/>
              <w:jc w:val="both"/>
              <w:textAlignment w:val="auto"/>
              <w:rPr>
                <w:rFonts w:ascii="宋体" w:hAnsi="宋体" w:cs="Times New Roman"/>
                <w:kern w:val="2"/>
                <w:sz w:val="21"/>
                <w:szCs w:val="21"/>
                <w:lang w:eastAsia="zh-CN"/>
              </w:rPr>
            </w:pPr>
            <w:r>
              <w:rPr>
                <w:rFonts w:hint="eastAsia" w:ascii="宋体" w:hAnsi="宋体" w:cs="宋体"/>
                <w:sz w:val="21"/>
                <w:szCs w:val="21"/>
                <w:lang w:eastAsia="zh-CN"/>
              </w:rPr>
              <w:t>符合第二章“响应单位须知前附表”第3.7.1项规定</w:t>
            </w:r>
          </w:p>
        </w:tc>
      </w:tr>
    </w:tbl>
    <w:p w14:paraId="6D6B1891">
      <w:pPr>
        <w:pStyle w:val="20"/>
        <w:ind w:left="0" w:leftChars="0" w:firstLine="0" w:firstLineChars="0"/>
        <w:rPr>
          <w:lang w:eastAsia="zh-CN"/>
        </w:rPr>
      </w:pPr>
      <w:r>
        <w:rPr>
          <w:lang w:eastAsia="zh-CN"/>
        </w:rPr>
        <w:br w:type="page"/>
      </w:r>
    </w:p>
    <w:tbl>
      <w:tblPr>
        <w:tblStyle w:val="21"/>
        <w:tblW w:w="894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7"/>
        <w:gridCol w:w="926"/>
        <w:gridCol w:w="1213"/>
        <w:gridCol w:w="6014"/>
      </w:tblGrid>
      <w:tr w14:paraId="72DA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787" w:type="dxa"/>
          </w:tcPr>
          <w:p w14:paraId="0BD31686">
            <w:pPr>
              <w:spacing w:line="380" w:lineRule="exact"/>
              <w:jc w:val="center"/>
              <w:rPr>
                <w:rFonts w:hint="eastAsia" w:asciiTheme="minorEastAsia" w:hAnsiTheme="minorEastAsia" w:eastAsiaTheme="minorEastAsia" w:cstheme="minorEastAsia"/>
                <w:kern w:val="0"/>
                <w:sz w:val="21"/>
                <w:szCs w:val="21"/>
                <w:lang w:eastAsia="en-US"/>
              </w:rPr>
            </w:pPr>
            <w:bookmarkStart w:id="60" w:name="_Toc16498"/>
            <w:r>
              <w:rPr>
                <w:rFonts w:hint="eastAsia" w:asciiTheme="minorEastAsia" w:hAnsiTheme="minorEastAsia" w:eastAsiaTheme="minorEastAsia" w:cstheme="minorEastAsia"/>
                <w:b/>
                <w:bCs/>
                <w:kern w:val="0"/>
                <w:sz w:val="21"/>
                <w:szCs w:val="21"/>
                <w:lang w:eastAsia="en-US"/>
              </w:rPr>
              <w:t>条款号</w:t>
            </w:r>
          </w:p>
        </w:tc>
        <w:tc>
          <w:tcPr>
            <w:tcW w:w="8153" w:type="dxa"/>
            <w:gridSpan w:val="3"/>
          </w:tcPr>
          <w:p w14:paraId="02E4BB89">
            <w:pPr>
              <w:spacing w:line="380" w:lineRule="exact"/>
              <w:jc w:val="center"/>
              <w:rPr>
                <w:rFonts w:hint="eastAsia" w:asciiTheme="minorEastAsia" w:hAnsiTheme="minorEastAsia" w:eastAsiaTheme="minorEastAsia" w:cstheme="minorEastAsia"/>
                <w:kern w:val="0"/>
                <w:sz w:val="21"/>
                <w:szCs w:val="21"/>
                <w:lang w:eastAsia="en-US"/>
              </w:rPr>
            </w:pPr>
            <w:r>
              <w:rPr>
                <w:rFonts w:hint="eastAsia" w:asciiTheme="minorEastAsia" w:hAnsiTheme="minorEastAsia" w:eastAsiaTheme="minorEastAsia" w:cstheme="minorEastAsia"/>
                <w:b/>
                <w:bCs/>
                <w:kern w:val="0"/>
                <w:sz w:val="21"/>
                <w:szCs w:val="21"/>
                <w:lang w:eastAsia="en-US"/>
              </w:rPr>
              <w:t>评分标准</w:t>
            </w:r>
          </w:p>
        </w:tc>
      </w:tr>
      <w:tr w14:paraId="650D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787" w:type="dxa"/>
            <w:vAlign w:val="center"/>
          </w:tcPr>
          <w:p w14:paraId="5B29838C">
            <w:pPr>
              <w:pStyle w:val="35"/>
              <w:keepNext w:val="0"/>
              <w:keepLines w:val="0"/>
              <w:pageBreakBefore w:val="0"/>
              <w:widowControl w:val="0"/>
              <w:kinsoku/>
              <w:wordWrap/>
              <w:overflowPunct/>
              <w:topLinePunct w:val="0"/>
              <w:bidi w:val="0"/>
              <w:adjustRightInd w:val="0"/>
              <w:snapToGrid w:val="0"/>
              <w:spacing w:line="340" w:lineRule="exact"/>
              <w:ind w:right="132" w:rightChars="0"/>
              <w:jc w:val="center"/>
              <w:textAlignment w:val="auto"/>
              <w:rPr>
                <w:rFonts w:hint="eastAsia" w:asciiTheme="minorEastAsia" w:hAnsiTheme="minorEastAsia" w:eastAsiaTheme="minorEastAsia" w:cstheme="minorEastAsia"/>
                <w:b/>
                <w:bCs/>
                <w:kern w:val="0"/>
                <w:sz w:val="21"/>
                <w:szCs w:val="21"/>
                <w:lang w:eastAsia="en-US"/>
              </w:rPr>
            </w:pPr>
            <w:r>
              <w:rPr>
                <w:rFonts w:hint="eastAsia" w:ascii="宋体" w:hAnsi="宋体" w:eastAsia="宋体" w:cs="宋体"/>
                <w:color w:val="auto"/>
                <w:sz w:val="21"/>
                <w:szCs w:val="21"/>
                <w:highlight w:val="none"/>
              </w:rPr>
              <w:t>2.2.1</w:t>
            </w:r>
          </w:p>
        </w:tc>
        <w:tc>
          <w:tcPr>
            <w:tcW w:w="926" w:type="dxa"/>
            <w:vAlign w:val="center"/>
          </w:tcPr>
          <w:p w14:paraId="08C72192">
            <w:pPr>
              <w:pStyle w:val="35"/>
              <w:keepNext w:val="0"/>
              <w:keepLines w:val="0"/>
              <w:pageBreakBefore w:val="0"/>
              <w:widowControl w:val="0"/>
              <w:kinsoku/>
              <w:wordWrap/>
              <w:overflowPunct/>
              <w:topLinePunct w:val="0"/>
              <w:bidi w:val="0"/>
              <w:adjustRightInd w:val="0"/>
              <w:snapToGrid w:val="0"/>
              <w:spacing w:line="340" w:lineRule="exact"/>
              <w:ind w:right="13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14:paraId="00C03AA7">
            <w:pPr>
              <w:pStyle w:val="35"/>
              <w:keepNext w:val="0"/>
              <w:keepLines w:val="0"/>
              <w:pageBreakBefore w:val="0"/>
              <w:widowControl w:val="0"/>
              <w:kinsoku/>
              <w:wordWrap/>
              <w:overflowPunct/>
              <w:topLinePunct w:val="0"/>
              <w:bidi w:val="0"/>
              <w:adjustRightInd w:val="0"/>
              <w:snapToGrid w:val="0"/>
              <w:spacing w:line="340" w:lineRule="exact"/>
              <w:ind w:right="13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p>
          <w:p w14:paraId="165D8A3A">
            <w:pPr>
              <w:pStyle w:val="35"/>
              <w:keepNext w:val="0"/>
              <w:keepLines w:val="0"/>
              <w:pageBreakBefore w:val="0"/>
              <w:widowControl w:val="0"/>
              <w:kinsoku/>
              <w:wordWrap/>
              <w:overflowPunct/>
              <w:topLinePunct w:val="0"/>
              <w:bidi w:val="0"/>
              <w:adjustRightInd w:val="0"/>
              <w:snapToGrid w:val="0"/>
              <w:spacing w:line="340" w:lineRule="exact"/>
              <w:ind w:right="132" w:rightChars="0"/>
              <w:jc w:val="center"/>
              <w:textAlignment w:val="auto"/>
              <w:rPr>
                <w:rFonts w:hint="eastAsia" w:asciiTheme="minorEastAsia" w:hAnsiTheme="minorEastAsia" w:eastAsiaTheme="minorEastAsia" w:cstheme="minorEastAsia"/>
                <w:b/>
                <w:bCs/>
                <w:kern w:val="0"/>
                <w:sz w:val="21"/>
                <w:szCs w:val="21"/>
                <w:lang w:eastAsia="en-US"/>
              </w:rPr>
            </w:pPr>
            <w:r>
              <w:rPr>
                <w:rFonts w:hint="eastAsia" w:ascii="宋体" w:hAnsi="宋体" w:eastAsia="宋体" w:cs="宋体"/>
                <w:color w:val="auto"/>
                <w:sz w:val="21"/>
                <w:szCs w:val="21"/>
                <w:highlight w:val="none"/>
              </w:rPr>
              <w:t>(100分)</w:t>
            </w:r>
          </w:p>
        </w:tc>
        <w:tc>
          <w:tcPr>
            <w:tcW w:w="7227" w:type="dxa"/>
            <w:gridSpan w:val="2"/>
            <w:vAlign w:val="center"/>
          </w:tcPr>
          <w:p w14:paraId="14390388">
            <w:pPr>
              <w:pStyle w:val="35"/>
              <w:keepNext w:val="0"/>
              <w:keepLines w:val="0"/>
              <w:pageBreakBefore w:val="0"/>
              <w:widowControl w:val="0"/>
              <w:kinsoku/>
              <w:wordWrap/>
              <w:overflowPunct/>
              <w:topLinePunct w:val="0"/>
              <w:bidi w:val="0"/>
              <w:adjustRightInd w:val="0"/>
              <w:snapToGrid w:val="0"/>
              <w:spacing w:line="340" w:lineRule="exact"/>
              <w:ind w:left="361" w:leftChars="164" w:right="132" w:rightChars="0" w:firstLine="105" w:firstLineChars="5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lang w:val="en-US" w:eastAsia="zh-CN"/>
              </w:rPr>
              <w:t>15分</w:t>
            </w:r>
          </w:p>
          <w:p w14:paraId="38CF91E6">
            <w:pPr>
              <w:pStyle w:val="35"/>
              <w:keepNext w:val="0"/>
              <w:keepLines w:val="0"/>
              <w:pageBreakBefore w:val="0"/>
              <w:widowControl w:val="0"/>
              <w:kinsoku/>
              <w:wordWrap/>
              <w:overflowPunct/>
              <w:topLinePunct w:val="0"/>
              <w:bidi w:val="0"/>
              <w:adjustRightInd w:val="0"/>
              <w:snapToGrid w:val="0"/>
              <w:spacing w:line="340" w:lineRule="exact"/>
              <w:ind w:left="361" w:leftChars="164" w:right="132" w:rightChars="0" w:firstLine="105" w:firstLineChars="5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r>
              <w:rPr>
                <w:rFonts w:hint="eastAsia" w:ascii="宋体" w:hAnsi="宋体" w:cs="宋体"/>
                <w:color w:val="auto"/>
                <w:sz w:val="21"/>
                <w:szCs w:val="21"/>
                <w:highlight w:val="none"/>
                <w:lang w:val="en-US" w:eastAsia="zh-CN"/>
              </w:rPr>
              <w:t>25分</w:t>
            </w:r>
          </w:p>
          <w:p w14:paraId="6A508CE3">
            <w:pPr>
              <w:pStyle w:val="35"/>
              <w:keepNext w:val="0"/>
              <w:keepLines w:val="0"/>
              <w:pageBreakBefore w:val="0"/>
              <w:widowControl w:val="0"/>
              <w:kinsoku/>
              <w:wordWrap/>
              <w:overflowPunct/>
              <w:topLinePunct w:val="0"/>
              <w:bidi w:val="0"/>
              <w:adjustRightInd w:val="0"/>
              <w:snapToGrid w:val="0"/>
              <w:spacing w:line="340" w:lineRule="exact"/>
              <w:ind w:left="361" w:leftChars="164" w:right="132" w:rightChars="0" w:firstLine="105" w:firstLineChars="5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60分</w:t>
            </w:r>
          </w:p>
        </w:tc>
      </w:tr>
      <w:tr w14:paraId="6191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4" w:hRule="atLeast"/>
        </w:trPr>
        <w:tc>
          <w:tcPr>
            <w:tcW w:w="787" w:type="dxa"/>
            <w:vAlign w:val="center"/>
          </w:tcPr>
          <w:p w14:paraId="3EBA5CF1">
            <w:pPr>
              <w:spacing w:line="380" w:lineRule="exact"/>
              <w:jc w:val="center"/>
              <w:rPr>
                <w:rFonts w:hint="eastAsia" w:asciiTheme="minorEastAsia" w:hAnsiTheme="minorEastAsia" w:eastAsiaTheme="minorEastAsia" w:cstheme="minorEastAsia"/>
                <w:kern w:val="0"/>
                <w:sz w:val="21"/>
                <w:szCs w:val="21"/>
                <w:lang w:eastAsia="en-US"/>
              </w:rPr>
            </w:pPr>
            <w:r>
              <w:rPr>
                <w:rFonts w:hint="eastAsia" w:asciiTheme="minorEastAsia" w:hAnsiTheme="minorEastAsia" w:eastAsiaTheme="minorEastAsia" w:cstheme="minorEastAsia"/>
                <w:kern w:val="0"/>
                <w:sz w:val="21"/>
                <w:szCs w:val="21"/>
                <w:lang w:eastAsia="en-US"/>
              </w:rPr>
              <w:t>2.2.2</w:t>
            </w:r>
          </w:p>
          <w:p w14:paraId="46162D74">
            <w:pPr>
              <w:spacing w:line="380" w:lineRule="exact"/>
              <w:jc w:val="center"/>
              <w:rPr>
                <w:rFonts w:hint="eastAsia" w:asciiTheme="minorEastAsia" w:hAnsiTheme="minorEastAsia" w:eastAsiaTheme="minorEastAsia" w:cstheme="minorEastAsia"/>
                <w:kern w:val="0"/>
                <w:sz w:val="21"/>
                <w:szCs w:val="21"/>
                <w:lang w:eastAsia="en-US"/>
              </w:rPr>
            </w:pPr>
            <w:r>
              <w:rPr>
                <w:rFonts w:hint="eastAsia" w:asciiTheme="minorEastAsia" w:hAnsiTheme="minorEastAsia" w:eastAsiaTheme="minorEastAsia" w:cstheme="minorEastAsia"/>
                <w:kern w:val="0"/>
                <w:sz w:val="21"/>
                <w:szCs w:val="21"/>
                <w:lang w:eastAsia="en-US"/>
              </w:rPr>
              <w:t>（1）</w:t>
            </w:r>
          </w:p>
        </w:tc>
        <w:tc>
          <w:tcPr>
            <w:tcW w:w="926" w:type="dxa"/>
            <w:tcBorders>
              <w:bottom w:val="single" w:color="auto" w:sz="4" w:space="0"/>
            </w:tcBorders>
            <w:vAlign w:val="center"/>
          </w:tcPr>
          <w:p w14:paraId="27D3B0FD">
            <w:pPr>
              <w:spacing w:line="380" w:lineRule="exact"/>
              <w:jc w:val="center"/>
              <w:rPr>
                <w:rFonts w:hint="eastAsia" w:asciiTheme="minorEastAsia" w:hAnsiTheme="minorEastAsia" w:eastAsiaTheme="minorEastAsia" w:cstheme="minorEastAsia"/>
                <w:b/>
                <w:bCs/>
                <w:kern w:val="0"/>
                <w:sz w:val="21"/>
                <w:szCs w:val="21"/>
                <w:highlight w:val="none"/>
                <w:lang w:eastAsia="en-US"/>
              </w:rPr>
            </w:pPr>
            <w:r>
              <w:rPr>
                <w:rFonts w:hint="eastAsia" w:asciiTheme="minorEastAsia" w:hAnsiTheme="minorEastAsia" w:eastAsiaTheme="minorEastAsia" w:cstheme="minorEastAsia"/>
                <w:b/>
                <w:bCs/>
                <w:kern w:val="0"/>
                <w:sz w:val="21"/>
                <w:szCs w:val="21"/>
                <w:highlight w:val="none"/>
                <w:lang w:eastAsia="en-US"/>
              </w:rPr>
              <w:t>投标报价</w:t>
            </w:r>
          </w:p>
          <w:p w14:paraId="11F30B4C">
            <w:pPr>
              <w:spacing w:line="38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highlight w:val="none"/>
              </w:rPr>
              <w:t>（</w:t>
            </w:r>
            <w:r>
              <w:rPr>
                <w:rFonts w:hint="eastAsia" w:asciiTheme="minorEastAsia" w:hAnsiTheme="minorEastAsia" w:eastAsiaTheme="minorEastAsia" w:cstheme="minorEastAsia"/>
                <w:b/>
                <w:bCs/>
                <w:kern w:val="0"/>
                <w:sz w:val="21"/>
                <w:szCs w:val="21"/>
                <w:highlight w:val="none"/>
                <w:lang w:val="en-US" w:eastAsia="zh-CN"/>
              </w:rPr>
              <w:t>15</w:t>
            </w:r>
            <w:r>
              <w:rPr>
                <w:rFonts w:hint="eastAsia" w:asciiTheme="minorEastAsia" w:hAnsiTheme="minorEastAsia" w:eastAsiaTheme="minorEastAsia" w:cstheme="minorEastAsia"/>
                <w:b/>
                <w:bCs/>
                <w:kern w:val="0"/>
                <w:sz w:val="21"/>
                <w:szCs w:val="21"/>
                <w:highlight w:val="none"/>
                <w:lang w:eastAsia="en-US"/>
              </w:rPr>
              <w:t>分</w:t>
            </w:r>
            <w:r>
              <w:rPr>
                <w:rFonts w:hint="eastAsia" w:asciiTheme="minorEastAsia" w:hAnsiTheme="minorEastAsia" w:eastAsiaTheme="minorEastAsia" w:cstheme="minorEastAsia"/>
                <w:b/>
                <w:bCs/>
                <w:kern w:val="0"/>
                <w:sz w:val="21"/>
                <w:szCs w:val="21"/>
                <w:highlight w:val="none"/>
              </w:rPr>
              <w:t>）</w:t>
            </w:r>
          </w:p>
        </w:tc>
        <w:tc>
          <w:tcPr>
            <w:tcW w:w="7227" w:type="dxa"/>
            <w:gridSpan w:val="2"/>
          </w:tcPr>
          <w:p w14:paraId="5E8DEC31">
            <w:pPr>
              <w:spacing w:line="380" w:lineRule="exact"/>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 xml:space="preserve">价格扣除： </w:t>
            </w:r>
          </w:p>
          <w:p w14:paraId="47F7A40E">
            <w:pPr>
              <w:spacing w:line="380" w:lineRule="exact"/>
              <w:jc w:val="both"/>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1.实质性满足磋商文件要求且投标价格最低的投标报价为评标基准价，其价格分为满分。其中：对于小型、微型企业产品的具体评标价格扣除，均按财库〔2022〕19号文件中最低比例20%扣除。 对于中型企业产品的价格不予扣除。投标人须提供相关证明（声明函等），否则不予认可。</w:t>
            </w:r>
          </w:p>
          <w:p w14:paraId="0CA27E7C">
            <w:pPr>
              <w:spacing w:line="380" w:lineRule="exact"/>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2.同一投标人（包括联合体），小微企业、监狱、残疾人福利性企业投标价格扣除优惠只享受一次，不得重复享受。</w:t>
            </w:r>
          </w:p>
          <w:p w14:paraId="4B7D7BEA">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3.价格分采用低价优先法计算，</w:t>
            </w:r>
            <w:r>
              <w:rPr>
                <w:rFonts w:hint="eastAsia" w:ascii="宋体" w:hAnsi="宋体" w:cs="宋体"/>
                <w:sz w:val="21"/>
                <w:szCs w:val="21"/>
              </w:rPr>
              <w:t>即满足</w:t>
            </w:r>
            <w:r>
              <w:rPr>
                <w:rFonts w:hint="eastAsia" w:ascii="宋体" w:hAnsi="宋体" w:cs="宋体"/>
                <w:sz w:val="21"/>
                <w:szCs w:val="21"/>
                <w:lang w:val="en-US" w:eastAsia="zh-CN"/>
              </w:rPr>
              <w:t>磋商</w:t>
            </w:r>
            <w:r>
              <w:rPr>
                <w:rFonts w:hint="eastAsia" w:ascii="宋体" w:hAnsi="宋体" w:cs="宋体"/>
                <w:sz w:val="21"/>
                <w:szCs w:val="21"/>
              </w:rPr>
              <w:t>文件要求且投标价格最低的投标报价为评标基准价，其价格分为满分</w:t>
            </w:r>
            <w:r>
              <w:rPr>
                <w:rFonts w:hint="eastAsia" w:asciiTheme="minorEastAsia" w:hAnsiTheme="minorEastAsia" w:eastAsiaTheme="minorEastAsia" w:cstheme="minorEastAsia"/>
                <w:sz w:val="21"/>
                <w:szCs w:val="21"/>
                <w:lang w:val="en-US" w:eastAsia="zh-CN"/>
              </w:rPr>
              <w:t xml:space="preserve">。其他投标人的价格分统一按照下列公式计算： </w:t>
            </w:r>
          </w:p>
          <w:p w14:paraId="4EDAF733">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投标报价得分=(评标基准价／投标报价)×15</w:t>
            </w:r>
          </w:p>
          <w:p w14:paraId="31AF899D">
            <w:pPr>
              <w:keepNext w:val="0"/>
              <w:keepLines w:val="0"/>
              <w:widowControl/>
              <w:suppressLineNumbers w:val="0"/>
              <w:jc w:val="left"/>
              <w:rPr>
                <w:rFonts w:hint="default"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sz w:val="21"/>
                <w:szCs w:val="21"/>
                <w:lang w:val="en-US" w:eastAsia="zh-CN"/>
              </w:rPr>
              <w:t>注：因落实政府采购政策进行价格调整的，以调整后的价格计算评标基准价和投标评审价。</w:t>
            </w:r>
          </w:p>
        </w:tc>
      </w:tr>
      <w:tr w14:paraId="4F0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2" w:hRule="atLeast"/>
        </w:trPr>
        <w:tc>
          <w:tcPr>
            <w:tcW w:w="787" w:type="dxa"/>
            <w:vMerge w:val="restart"/>
            <w:tcBorders>
              <w:right w:val="single" w:color="auto" w:sz="4" w:space="0"/>
            </w:tcBorders>
            <w:shd w:val="clear" w:color="auto" w:fill="auto"/>
            <w:vAlign w:val="center"/>
          </w:tcPr>
          <w:p w14:paraId="4D351630">
            <w:pPr>
              <w:spacing w:line="38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2.2.2（2）</w:t>
            </w:r>
          </w:p>
        </w:tc>
        <w:tc>
          <w:tcPr>
            <w:tcW w:w="926" w:type="dxa"/>
            <w:vMerge w:val="restart"/>
            <w:tcBorders>
              <w:top w:val="single" w:color="auto" w:sz="4" w:space="0"/>
              <w:left w:val="single" w:color="auto" w:sz="4" w:space="0"/>
              <w:right w:val="single" w:color="auto" w:sz="4" w:space="0"/>
            </w:tcBorders>
            <w:shd w:val="clear" w:color="auto" w:fill="auto"/>
            <w:vAlign w:val="center"/>
          </w:tcPr>
          <w:p w14:paraId="7E9812BB">
            <w:pPr>
              <w:spacing w:line="38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rPr>
              <w:t>商务部分（</w:t>
            </w:r>
            <w:r>
              <w:rPr>
                <w:rFonts w:hint="eastAsia" w:asciiTheme="minorEastAsia" w:hAnsiTheme="minorEastAsia" w:eastAsiaTheme="minorEastAsia" w:cstheme="minorEastAsia"/>
                <w:b/>
                <w:bCs/>
                <w:kern w:val="0"/>
                <w:sz w:val="21"/>
                <w:szCs w:val="21"/>
                <w:highlight w:val="none"/>
                <w:lang w:val="en-US" w:eastAsia="zh-CN"/>
              </w:rPr>
              <w:t>25</w:t>
            </w:r>
            <w:r>
              <w:rPr>
                <w:rFonts w:hint="eastAsia" w:asciiTheme="minorEastAsia" w:hAnsiTheme="minorEastAsia" w:eastAsiaTheme="minorEastAsia" w:cstheme="minorEastAsia"/>
                <w:b/>
                <w:bCs/>
                <w:kern w:val="0"/>
                <w:sz w:val="21"/>
                <w:szCs w:val="21"/>
                <w:highlight w:val="none"/>
              </w:rPr>
              <w:t>分）</w:t>
            </w:r>
          </w:p>
        </w:tc>
        <w:tc>
          <w:tcPr>
            <w:tcW w:w="1213" w:type="dxa"/>
            <w:tcBorders>
              <w:left w:val="single" w:color="auto" w:sz="4" w:space="0"/>
            </w:tcBorders>
            <w:vAlign w:val="center"/>
          </w:tcPr>
          <w:p w14:paraId="1C67C31B">
            <w:pPr>
              <w:widowControl/>
              <w:spacing w:line="380" w:lineRule="exact"/>
              <w:jc w:val="center"/>
              <w:rPr>
                <w:rFonts w:hint="eastAsia" w:asciiTheme="minorEastAsia" w:hAnsiTheme="minorEastAsia" w:eastAsiaTheme="minorEastAsia" w:cstheme="minorEastAsia"/>
                <w:b w:val="0"/>
                <w:bCs w:val="0"/>
                <w:color w:val="auto"/>
                <w:kern w:val="0"/>
                <w:sz w:val="21"/>
                <w:szCs w:val="21"/>
                <w:highlight w:val="none"/>
                <w:lang w:eastAsia="en-US"/>
              </w:rPr>
            </w:pPr>
            <w:r>
              <w:rPr>
                <w:rFonts w:hint="eastAsia" w:asciiTheme="minorEastAsia" w:hAnsiTheme="minorEastAsia" w:eastAsiaTheme="minorEastAsia" w:cstheme="minorEastAsia"/>
                <w:b w:val="0"/>
                <w:bCs w:val="0"/>
                <w:color w:val="auto"/>
                <w:kern w:val="0"/>
                <w:sz w:val="21"/>
                <w:szCs w:val="21"/>
                <w:highlight w:val="none"/>
                <w:lang w:val="en-US" w:eastAsia="zh-CN"/>
              </w:rPr>
              <w:t>企业</w:t>
            </w:r>
            <w:r>
              <w:rPr>
                <w:rFonts w:hint="eastAsia" w:asciiTheme="minorEastAsia" w:hAnsiTheme="minorEastAsia" w:eastAsiaTheme="minorEastAsia" w:cstheme="minorEastAsia"/>
                <w:b w:val="0"/>
                <w:bCs w:val="0"/>
                <w:color w:val="auto"/>
                <w:kern w:val="0"/>
                <w:sz w:val="21"/>
                <w:szCs w:val="21"/>
                <w:highlight w:val="none"/>
                <w:lang w:eastAsia="en-US"/>
              </w:rPr>
              <w:t>业绩</w:t>
            </w:r>
          </w:p>
          <w:p w14:paraId="5A4668E7">
            <w:pPr>
              <w:widowControl/>
              <w:spacing w:line="38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en-US"/>
              </w:rPr>
              <w:t>（</w:t>
            </w:r>
            <w:r>
              <w:rPr>
                <w:rFonts w:hint="eastAsia" w:asciiTheme="minorEastAsia" w:hAnsiTheme="minorEastAsia" w:eastAsiaTheme="minorEastAsia" w:cstheme="minorEastAsia"/>
                <w:b w:val="0"/>
                <w:bCs w:val="0"/>
                <w:color w:val="auto"/>
                <w:kern w:val="0"/>
                <w:sz w:val="21"/>
                <w:szCs w:val="21"/>
                <w:highlight w:val="none"/>
                <w:lang w:val="en-US" w:eastAsia="zh-CN"/>
              </w:rPr>
              <w:t>4</w:t>
            </w:r>
            <w:r>
              <w:rPr>
                <w:rFonts w:hint="eastAsia" w:asciiTheme="minorEastAsia" w:hAnsiTheme="minorEastAsia" w:eastAsiaTheme="minorEastAsia" w:cstheme="minorEastAsia"/>
                <w:b w:val="0"/>
                <w:bCs w:val="0"/>
                <w:color w:val="auto"/>
                <w:kern w:val="0"/>
                <w:sz w:val="21"/>
                <w:szCs w:val="21"/>
                <w:highlight w:val="none"/>
                <w:lang w:eastAsia="en-US"/>
              </w:rPr>
              <w:t>分）</w:t>
            </w:r>
          </w:p>
        </w:tc>
        <w:tc>
          <w:tcPr>
            <w:tcW w:w="6014" w:type="dxa"/>
            <w:vAlign w:val="center"/>
          </w:tcPr>
          <w:p w14:paraId="2665AA18">
            <w:pPr>
              <w:spacing w:line="380" w:lineRule="exact"/>
              <w:jc w:val="left"/>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rPr>
              <w:t>响应单位近5年</w:t>
            </w:r>
            <w:r>
              <w:rPr>
                <w:rFonts w:hint="eastAsia" w:asciiTheme="minorEastAsia" w:hAnsiTheme="minorEastAsia" w:eastAsiaTheme="minorEastAsia" w:cstheme="minorEastAsia"/>
                <w:b w:val="0"/>
                <w:bCs w:val="0"/>
                <w:kern w:val="0"/>
                <w:sz w:val="21"/>
                <w:szCs w:val="21"/>
                <w:highlight w:val="none"/>
                <w:lang w:eastAsia="zh-CN"/>
              </w:rPr>
              <w:t>以来（以签订合同时间为准）承担的类似项目业绩的，提供一份得</w:t>
            </w:r>
            <w:r>
              <w:rPr>
                <w:rFonts w:hint="eastAsia" w:asciiTheme="minorEastAsia" w:hAnsiTheme="minorEastAsia" w:eastAsiaTheme="minorEastAsia" w:cstheme="minorEastAsia"/>
                <w:b w:val="0"/>
                <w:bCs w:val="0"/>
                <w:kern w:val="0"/>
                <w:sz w:val="21"/>
                <w:szCs w:val="21"/>
                <w:highlight w:val="none"/>
                <w:lang w:val="en-US" w:eastAsia="zh-CN"/>
              </w:rPr>
              <w:t>2</w:t>
            </w:r>
            <w:r>
              <w:rPr>
                <w:rFonts w:hint="eastAsia" w:asciiTheme="minorEastAsia" w:hAnsiTheme="minorEastAsia" w:eastAsiaTheme="minorEastAsia" w:cstheme="minorEastAsia"/>
                <w:b w:val="0"/>
                <w:bCs w:val="0"/>
                <w:kern w:val="0"/>
                <w:sz w:val="21"/>
                <w:szCs w:val="21"/>
                <w:highlight w:val="none"/>
                <w:lang w:eastAsia="zh-CN"/>
              </w:rPr>
              <w:t>分，</w:t>
            </w:r>
            <w:r>
              <w:rPr>
                <w:rFonts w:hint="eastAsia" w:asciiTheme="minorEastAsia" w:hAnsiTheme="minorEastAsia" w:eastAsiaTheme="minorEastAsia" w:cstheme="minorEastAsia"/>
                <w:b w:val="0"/>
                <w:bCs w:val="0"/>
                <w:kern w:val="0"/>
                <w:sz w:val="21"/>
                <w:szCs w:val="21"/>
                <w:highlight w:val="none"/>
                <w:lang w:val="en-US" w:eastAsia="zh-CN"/>
              </w:rPr>
              <w:t>最高</w:t>
            </w:r>
            <w:r>
              <w:rPr>
                <w:rFonts w:hint="eastAsia" w:asciiTheme="minorEastAsia" w:hAnsiTheme="minorEastAsia" w:eastAsiaTheme="minorEastAsia" w:cstheme="minorEastAsia"/>
                <w:b w:val="0"/>
                <w:bCs w:val="0"/>
                <w:kern w:val="0"/>
                <w:sz w:val="21"/>
                <w:szCs w:val="21"/>
                <w:highlight w:val="none"/>
                <w:lang w:eastAsia="zh-CN"/>
              </w:rPr>
              <w:t>得</w:t>
            </w:r>
            <w:r>
              <w:rPr>
                <w:rFonts w:hint="eastAsia" w:asciiTheme="minorEastAsia" w:hAnsiTheme="minorEastAsia" w:eastAsiaTheme="minorEastAsia" w:cstheme="minorEastAsia"/>
                <w:b w:val="0"/>
                <w:bCs w:val="0"/>
                <w:kern w:val="0"/>
                <w:sz w:val="21"/>
                <w:szCs w:val="21"/>
                <w:highlight w:val="none"/>
                <w:lang w:val="en-US" w:eastAsia="zh-CN"/>
              </w:rPr>
              <w:t>4</w:t>
            </w:r>
            <w:r>
              <w:rPr>
                <w:rFonts w:hint="eastAsia" w:asciiTheme="minorEastAsia" w:hAnsiTheme="minorEastAsia" w:eastAsiaTheme="minorEastAsia" w:cstheme="minorEastAsia"/>
                <w:b w:val="0"/>
                <w:bCs w:val="0"/>
                <w:kern w:val="0"/>
                <w:sz w:val="21"/>
                <w:szCs w:val="21"/>
                <w:highlight w:val="none"/>
                <w:lang w:eastAsia="zh-CN"/>
              </w:rPr>
              <w:t>分</w:t>
            </w:r>
            <w:r>
              <w:rPr>
                <w:rFonts w:hint="eastAsia" w:asciiTheme="minorEastAsia" w:hAnsiTheme="minorEastAsia" w:eastAsiaTheme="minorEastAsia" w:cstheme="minorEastAsia"/>
                <w:b/>
                <w:bCs/>
                <w:kern w:val="0"/>
                <w:sz w:val="21"/>
                <w:szCs w:val="21"/>
                <w:highlight w:val="none"/>
                <w:lang w:eastAsia="zh-CN"/>
              </w:rPr>
              <w:t>（响应文件中附相应业绩合同或协议书复印件或扫描件，以合同签订日期为准，无相应复印件或扫描件不得分）。</w:t>
            </w:r>
          </w:p>
        </w:tc>
      </w:tr>
      <w:tr w14:paraId="307A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1" w:hRule="atLeast"/>
        </w:trPr>
        <w:tc>
          <w:tcPr>
            <w:tcW w:w="787" w:type="dxa"/>
            <w:vMerge w:val="continue"/>
            <w:tcBorders>
              <w:right w:val="single" w:color="auto" w:sz="4" w:space="0"/>
            </w:tcBorders>
            <w:shd w:val="clear" w:color="auto" w:fill="auto"/>
            <w:vAlign w:val="center"/>
          </w:tcPr>
          <w:p w14:paraId="1EEC1048">
            <w:pPr>
              <w:spacing w:line="380" w:lineRule="exact"/>
              <w:rPr>
                <w:rFonts w:hint="eastAsia" w:asciiTheme="minorEastAsia" w:hAnsiTheme="minorEastAsia" w:eastAsiaTheme="minorEastAsia" w:cstheme="minorEastAsia"/>
                <w:kern w:val="0"/>
                <w:sz w:val="21"/>
                <w:szCs w:val="21"/>
              </w:rPr>
            </w:pPr>
          </w:p>
        </w:tc>
        <w:tc>
          <w:tcPr>
            <w:tcW w:w="926" w:type="dxa"/>
            <w:vMerge w:val="continue"/>
            <w:tcBorders>
              <w:left w:val="single" w:color="auto" w:sz="4" w:space="0"/>
              <w:right w:val="single" w:color="auto" w:sz="4" w:space="0"/>
            </w:tcBorders>
            <w:shd w:val="clear" w:color="auto" w:fill="auto"/>
            <w:vAlign w:val="center"/>
          </w:tcPr>
          <w:p w14:paraId="4CDC76DE">
            <w:pPr>
              <w:spacing w:line="380" w:lineRule="exact"/>
              <w:jc w:val="left"/>
              <w:rPr>
                <w:rFonts w:hint="eastAsia" w:asciiTheme="minorEastAsia" w:hAnsiTheme="minorEastAsia" w:eastAsiaTheme="minorEastAsia" w:cstheme="minorEastAsia"/>
                <w:b/>
                <w:bCs/>
                <w:kern w:val="0"/>
                <w:sz w:val="21"/>
                <w:szCs w:val="21"/>
                <w:highlight w:val="none"/>
              </w:rPr>
            </w:pPr>
          </w:p>
        </w:tc>
        <w:tc>
          <w:tcPr>
            <w:tcW w:w="1213" w:type="dxa"/>
            <w:vMerge w:val="restart"/>
            <w:tcBorders>
              <w:left w:val="single" w:color="auto" w:sz="4" w:space="0"/>
            </w:tcBorders>
            <w:vAlign w:val="center"/>
          </w:tcPr>
          <w:p w14:paraId="208E338B">
            <w:pPr>
              <w:spacing w:line="38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项目团队专</w:t>
            </w:r>
          </w:p>
          <w:p w14:paraId="0206C0AB">
            <w:pPr>
              <w:spacing w:line="38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业结构</w:t>
            </w:r>
          </w:p>
          <w:p w14:paraId="242A1C5E">
            <w:pPr>
              <w:spacing w:line="380" w:lineRule="exact"/>
              <w:jc w:val="center"/>
              <w:rPr>
                <w:rFonts w:hint="eastAsia" w:asciiTheme="minorEastAsia" w:hAnsiTheme="minorEastAsia" w:eastAsiaTheme="minorEastAsia" w:cstheme="minorEastAsia"/>
                <w:b w:val="0"/>
                <w:bCs w:val="0"/>
                <w:sz w:val="21"/>
                <w:szCs w:val="21"/>
                <w:highlight w:val="yellow"/>
                <w:lang w:val="en-US" w:eastAsia="zh-CN"/>
              </w:rPr>
            </w:pPr>
            <w:r>
              <w:rPr>
                <w:rFonts w:hint="eastAsia" w:asciiTheme="minorEastAsia" w:hAnsiTheme="minorEastAsia" w:eastAsiaTheme="minorEastAsia" w:cstheme="minorEastAsia"/>
                <w:sz w:val="21"/>
                <w:szCs w:val="21"/>
                <w:highlight w:val="none"/>
                <w:lang w:val="en-US" w:eastAsia="zh-CN"/>
              </w:rPr>
              <w:t>（17分）</w:t>
            </w:r>
          </w:p>
        </w:tc>
        <w:tc>
          <w:tcPr>
            <w:tcW w:w="6014" w:type="dxa"/>
            <w:vAlign w:val="center"/>
          </w:tcPr>
          <w:p w14:paraId="4C9B78AE">
            <w:pPr>
              <w:numPr>
                <w:ilvl w:val="0"/>
                <w:numId w:val="0"/>
              </w:numPr>
              <w:spacing w:line="380" w:lineRule="exact"/>
              <w:ind w:left="0" w:leftChars="0" w:firstLine="0" w:firstLineChars="0"/>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 xml:space="preserve">项目负责人： </w:t>
            </w:r>
          </w:p>
          <w:p w14:paraId="747EF297">
            <w:pPr>
              <w:numPr>
                <w:ilvl w:val="0"/>
                <w:numId w:val="0"/>
              </w:numPr>
              <w:spacing w:line="380" w:lineRule="exact"/>
              <w:ind w:left="0" w:leftChars="0" w:firstLine="0" w:firstLineChars="0"/>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 xml:space="preserve">(1)具有交通类相关专业正高级工程师（含教授级、研究员级）职称的得3分，具有交通类相关专业高级工程师职称的得2分；具有交通类相关专业工程师职称的得1分。最高得3分。 </w:t>
            </w:r>
          </w:p>
          <w:p w14:paraId="5C276A1A">
            <w:pPr>
              <w:numPr>
                <w:ilvl w:val="0"/>
                <w:numId w:val="0"/>
              </w:numPr>
              <w:spacing w:line="380" w:lineRule="exact"/>
              <w:ind w:left="0" w:leftChars="0" w:firstLine="0" w:firstLineChars="0"/>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(2)具有注册咨询（投资）工程师或注册城乡规划师的得 2 分。最高得2分。</w:t>
            </w:r>
          </w:p>
        </w:tc>
      </w:tr>
      <w:tr w14:paraId="358A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33" w:hRule="atLeast"/>
        </w:trPr>
        <w:tc>
          <w:tcPr>
            <w:tcW w:w="787" w:type="dxa"/>
            <w:vMerge w:val="continue"/>
            <w:tcBorders>
              <w:right w:val="single" w:color="auto" w:sz="4" w:space="0"/>
            </w:tcBorders>
            <w:shd w:val="clear" w:color="auto" w:fill="auto"/>
            <w:vAlign w:val="center"/>
          </w:tcPr>
          <w:p w14:paraId="7F88B662">
            <w:pPr>
              <w:spacing w:line="380" w:lineRule="exact"/>
              <w:rPr>
                <w:rFonts w:hint="eastAsia" w:asciiTheme="minorEastAsia" w:hAnsiTheme="minorEastAsia" w:eastAsiaTheme="minorEastAsia" w:cstheme="minorEastAsia"/>
                <w:kern w:val="0"/>
                <w:sz w:val="21"/>
                <w:szCs w:val="21"/>
              </w:rPr>
            </w:pPr>
          </w:p>
        </w:tc>
        <w:tc>
          <w:tcPr>
            <w:tcW w:w="926" w:type="dxa"/>
            <w:vMerge w:val="continue"/>
            <w:tcBorders>
              <w:left w:val="single" w:color="auto" w:sz="4" w:space="0"/>
              <w:right w:val="single" w:color="auto" w:sz="4" w:space="0"/>
            </w:tcBorders>
            <w:shd w:val="clear" w:color="auto" w:fill="auto"/>
            <w:vAlign w:val="center"/>
          </w:tcPr>
          <w:p w14:paraId="0D60A3CD">
            <w:pPr>
              <w:spacing w:line="380" w:lineRule="exact"/>
              <w:jc w:val="left"/>
              <w:rPr>
                <w:rFonts w:hint="eastAsia" w:asciiTheme="minorEastAsia" w:hAnsiTheme="minorEastAsia" w:eastAsiaTheme="minorEastAsia" w:cstheme="minorEastAsia"/>
                <w:b/>
                <w:bCs/>
                <w:kern w:val="0"/>
                <w:sz w:val="21"/>
                <w:szCs w:val="21"/>
                <w:highlight w:val="yellow"/>
              </w:rPr>
            </w:pPr>
          </w:p>
        </w:tc>
        <w:tc>
          <w:tcPr>
            <w:tcW w:w="1213" w:type="dxa"/>
            <w:vMerge w:val="continue"/>
            <w:tcBorders>
              <w:left w:val="single" w:color="auto" w:sz="4" w:space="0"/>
            </w:tcBorders>
            <w:vAlign w:val="center"/>
          </w:tcPr>
          <w:p w14:paraId="762BB942">
            <w:pPr>
              <w:spacing w:line="380" w:lineRule="exact"/>
              <w:jc w:val="center"/>
              <w:rPr>
                <w:rFonts w:hint="eastAsia" w:asciiTheme="minorEastAsia" w:hAnsiTheme="minorEastAsia" w:eastAsiaTheme="minorEastAsia" w:cstheme="minorEastAsia"/>
                <w:b w:val="0"/>
                <w:bCs w:val="0"/>
                <w:sz w:val="21"/>
                <w:szCs w:val="21"/>
                <w:highlight w:val="yellow"/>
                <w:lang w:val="en-US" w:eastAsia="zh-CN"/>
              </w:rPr>
            </w:pPr>
          </w:p>
        </w:tc>
        <w:tc>
          <w:tcPr>
            <w:tcW w:w="6014" w:type="dxa"/>
            <w:vAlign w:val="center"/>
          </w:tcPr>
          <w:p w14:paraId="5CB3698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（1）项目团队成员（项目负责人除外）中具有交通类相关专业中级及以上职称且在本单位缴纳的社保证明, 每有一人得2分，本项最高得8分。不提供或不满足，不得分。 </w:t>
            </w:r>
          </w:p>
          <w:p w14:paraId="6420A8EE">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（2）项目团队成员（项目负责人除外）具有注册咨询（投资）工程师或注册城乡规划师的得2分，最高得4分。 </w:t>
            </w:r>
          </w:p>
          <w:p w14:paraId="17E87A23">
            <w:pPr>
              <w:keepNext w:val="0"/>
              <w:keepLines w:val="0"/>
              <w:widowControl/>
              <w:suppressLineNumbers w:val="0"/>
              <w:jc w:val="left"/>
              <w:rPr>
                <w:rFonts w:hint="eastAsia" w:asciiTheme="minorEastAsia" w:hAnsiTheme="minorEastAsia" w:eastAsiaTheme="minorEastAsia" w:cstheme="minorEastAsia"/>
                <w:sz w:val="21"/>
                <w:szCs w:val="21"/>
                <w:highlight w:val="yellow"/>
                <w:lang w:val="en-US" w:eastAsia="zh-CN"/>
              </w:rPr>
            </w:pPr>
            <w:r>
              <w:rPr>
                <w:rFonts w:hint="eastAsia" w:ascii="宋体" w:hAnsi="宋体" w:eastAsia="宋体" w:cs="宋体"/>
                <w:b/>
                <w:bCs/>
                <w:color w:val="000000"/>
                <w:kern w:val="0"/>
                <w:sz w:val="21"/>
                <w:szCs w:val="21"/>
                <w:lang w:val="en-US" w:eastAsia="zh-CN" w:bidi="ar"/>
              </w:rPr>
              <w:t>注:（1）同一人具有职称证及注册证的均可加分，不提供或不满足的不得分。</w:t>
            </w:r>
          </w:p>
        </w:tc>
      </w:tr>
      <w:tr w14:paraId="4702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4" w:hRule="atLeast"/>
        </w:trPr>
        <w:tc>
          <w:tcPr>
            <w:tcW w:w="787" w:type="dxa"/>
            <w:vMerge w:val="continue"/>
            <w:tcBorders>
              <w:right w:val="single" w:color="auto" w:sz="4" w:space="0"/>
            </w:tcBorders>
            <w:vAlign w:val="center"/>
          </w:tcPr>
          <w:p w14:paraId="06B1B4FE">
            <w:pPr>
              <w:spacing w:line="380" w:lineRule="exact"/>
              <w:rPr>
                <w:rFonts w:hint="eastAsia" w:asciiTheme="minorEastAsia" w:hAnsiTheme="minorEastAsia" w:eastAsiaTheme="minorEastAsia" w:cstheme="minorEastAsia"/>
                <w:kern w:val="0"/>
                <w:sz w:val="21"/>
                <w:szCs w:val="21"/>
              </w:rPr>
            </w:pPr>
          </w:p>
        </w:tc>
        <w:tc>
          <w:tcPr>
            <w:tcW w:w="926" w:type="dxa"/>
            <w:vMerge w:val="continue"/>
            <w:tcBorders>
              <w:left w:val="single" w:color="auto" w:sz="4" w:space="0"/>
              <w:right w:val="single" w:color="auto" w:sz="4" w:space="0"/>
            </w:tcBorders>
            <w:vAlign w:val="center"/>
          </w:tcPr>
          <w:p w14:paraId="09DFBD66">
            <w:pPr>
              <w:spacing w:line="380" w:lineRule="exact"/>
              <w:jc w:val="left"/>
              <w:rPr>
                <w:rFonts w:hint="eastAsia" w:asciiTheme="minorEastAsia" w:hAnsiTheme="minorEastAsia" w:eastAsiaTheme="minorEastAsia" w:cstheme="minorEastAsia"/>
                <w:kern w:val="0"/>
                <w:sz w:val="21"/>
                <w:szCs w:val="21"/>
                <w:highlight w:val="yellow"/>
              </w:rPr>
            </w:pPr>
          </w:p>
        </w:tc>
        <w:tc>
          <w:tcPr>
            <w:tcW w:w="1213" w:type="dxa"/>
            <w:tcBorders>
              <w:left w:val="single" w:color="auto" w:sz="4" w:space="0"/>
            </w:tcBorders>
            <w:vAlign w:val="center"/>
          </w:tcPr>
          <w:p w14:paraId="282581EA">
            <w:pPr>
              <w:widowControl/>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履约与保</w:t>
            </w:r>
          </w:p>
          <w:p w14:paraId="702D44BC">
            <w:pPr>
              <w:widowControl/>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密承诺</w:t>
            </w:r>
          </w:p>
          <w:p w14:paraId="18D5E917">
            <w:pPr>
              <w:widowControl/>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(4分)</w:t>
            </w:r>
          </w:p>
        </w:tc>
        <w:tc>
          <w:tcPr>
            <w:tcW w:w="6014" w:type="dxa"/>
            <w:vAlign w:val="center"/>
          </w:tcPr>
          <w:p w14:paraId="09FD8226">
            <w:pPr>
              <w:spacing w:line="380" w:lineRule="exact"/>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rPr>
              <w:t>（1）履约承诺（2分）：</w:t>
            </w:r>
            <w:r>
              <w:rPr>
                <w:rFonts w:hint="eastAsia" w:asciiTheme="minorEastAsia" w:hAnsiTheme="minorEastAsia" w:eastAsiaTheme="minorEastAsia" w:cstheme="minorEastAsia"/>
                <w:b w:val="0"/>
                <w:bCs w:val="0"/>
                <w:kern w:val="0"/>
                <w:sz w:val="21"/>
                <w:szCs w:val="21"/>
                <w:highlight w:val="none"/>
                <w:lang w:val="en-US" w:eastAsia="zh-CN"/>
              </w:rPr>
              <w:br w:type="textWrapping"/>
            </w:r>
            <w:r>
              <w:rPr>
                <w:rFonts w:hint="eastAsia" w:asciiTheme="minorEastAsia" w:hAnsiTheme="minorEastAsia" w:eastAsiaTheme="minorEastAsia" w:cstheme="minorEastAsia"/>
                <w:b w:val="0"/>
                <w:bCs w:val="0"/>
                <w:kern w:val="0"/>
                <w:sz w:val="21"/>
                <w:szCs w:val="21"/>
                <w:highlight w:val="none"/>
                <w:lang w:val="en-US" w:eastAsia="zh-CN"/>
              </w:rPr>
              <w:t>提供针对本项目的人员、设备、进度、质量、资金等全面、具体的履约保障方案与承诺，方案详实、措施得力、承诺明确的，得2分；方案与承诺较为笼统的，得1分；未提供不得分。</w:t>
            </w:r>
            <w:r>
              <w:rPr>
                <w:rFonts w:hint="eastAsia" w:asciiTheme="minorEastAsia" w:hAnsiTheme="minorEastAsia" w:eastAsiaTheme="minorEastAsia" w:cstheme="minorEastAsia"/>
                <w:b w:val="0"/>
                <w:bCs w:val="0"/>
                <w:kern w:val="0"/>
                <w:sz w:val="21"/>
                <w:szCs w:val="21"/>
                <w:highlight w:val="none"/>
                <w:lang w:val="en-US" w:eastAsia="zh-CN"/>
              </w:rPr>
              <w:br w:type="textWrapping"/>
            </w:r>
            <w:r>
              <w:rPr>
                <w:rFonts w:hint="eastAsia" w:asciiTheme="minorEastAsia" w:hAnsiTheme="minorEastAsia" w:eastAsiaTheme="minorEastAsia" w:cstheme="minorEastAsia"/>
                <w:b w:val="0"/>
                <w:bCs w:val="0"/>
                <w:kern w:val="0"/>
                <w:sz w:val="21"/>
                <w:szCs w:val="21"/>
                <w:highlight w:val="none"/>
                <w:lang w:val="en-US" w:eastAsia="zh-CN"/>
              </w:rPr>
              <w:t>（2）保密承诺（2分）：</w:t>
            </w:r>
            <w:r>
              <w:rPr>
                <w:rFonts w:hint="eastAsia" w:asciiTheme="minorEastAsia" w:hAnsiTheme="minorEastAsia" w:eastAsiaTheme="minorEastAsia" w:cstheme="minorEastAsia"/>
                <w:b w:val="0"/>
                <w:bCs w:val="0"/>
                <w:kern w:val="0"/>
                <w:sz w:val="21"/>
                <w:szCs w:val="21"/>
                <w:highlight w:val="none"/>
                <w:lang w:val="en-US" w:eastAsia="zh-CN"/>
              </w:rPr>
              <w:br w:type="textWrapping"/>
            </w:r>
            <w:r>
              <w:rPr>
                <w:rFonts w:hint="eastAsia" w:asciiTheme="minorEastAsia" w:hAnsiTheme="minorEastAsia" w:eastAsiaTheme="minorEastAsia" w:cstheme="minorEastAsia"/>
                <w:b w:val="0"/>
                <w:bCs w:val="0"/>
                <w:kern w:val="0"/>
                <w:sz w:val="21"/>
                <w:szCs w:val="21"/>
                <w:highlight w:val="none"/>
                <w:lang w:val="en-US" w:eastAsia="zh-CN"/>
              </w:rPr>
              <w:t>提供针对本项目所涉政府数据、研究成果的专项保密承诺书，内容具体、责任明确、措施严格的，得2分；承诺内容较为简单的，得1分；未提供不得分。</w:t>
            </w:r>
          </w:p>
        </w:tc>
      </w:tr>
      <w:tr w14:paraId="3A0F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 w:hRule="atLeast"/>
        </w:trPr>
        <w:tc>
          <w:tcPr>
            <w:tcW w:w="787" w:type="dxa"/>
            <w:vMerge w:val="restart"/>
            <w:vAlign w:val="center"/>
          </w:tcPr>
          <w:p w14:paraId="3A5A97E6">
            <w:pPr>
              <w:spacing w:line="380" w:lineRule="exact"/>
              <w:jc w:val="center"/>
              <w:rPr>
                <w:rFonts w:hint="eastAsia" w:asciiTheme="minorEastAsia" w:hAnsiTheme="minorEastAsia" w:eastAsiaTheme="minorEastAsia" w:cstheme="minorEastAsia"/>
                <w:kern w:val="0"/>
                <w:sz w:val="21"/>
                <w:szCs w:val="21"/>
                <w:highlight w:val="none"/>
              </w:rPr>
            </w:pPr>
            <w:bookmarkStart w:id="61" w:name="_Hlk152072401"/>
            <w:r>
              <w:rPr>
                <w:rFonts w:hint="eastAsia" w:asciiTheme="minorEastAsia" w:hAnsiTheme="minorEastAsia" w:eastAsiaTheme="minorEastAsia" w:cstheme="minorEastAsia"/>
                <w:kern w:val="0"/>
                <w:sz w:val="21"/>
                <w:szCs w:val="21"/>
                <w:highlight w:val="none"/>
              </w:rPr>
              <w:t>2.2.2（3）</w:t>
            </w:r>
          </w:p>
        </w:tc>
        <w:tc>
          <w:tcPr>
            <w:tcW w:w="926" w:type="dxa"/>
            <w:vMerge w:val="restart"/>
            <w:tcBorders>
              <w:top w:val="single" w:color="auto" w:sz="4" w:space="0"/>
            </w:tcBorders>
            <w:vAlign w:val="center"/>
          </w:tcPr>
          <w:p w14:paraId="07B42E17">
            <w:pPr>
              <w:widowControl/>
              <w:spacing w:line="380" w:lineRule="exact"/>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技术部分</w:t>
            </w:r>
          </w:p>
          <w:p w14:paraId="5FB03453">
            <w:pPr>
              <w:widowControl/>
              <w:spacing w:line="38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w:t>
            </w:r>
            <w:r>
              <w:rPr>
                <w:rFonts w:hint="eastAsia" w:asciiTheme="minorEastAsia" w:hAnsiTheme="minorEastAsia" w:eastAsiaTheme="minorEastAsia" w:cstheme="minorEastAsia"/>
                <w:b/>
                <w:bCs/>
                <w:kern w:val="0"/>
                <w:sz w:val="21"/>
                <w:szCs w:val="21"/>
                <w:highlight w:val="none"/>
                <w:lang w:val="en-US" w:eastAsia="zh-CN"/>
              </w:rPr>
              <w:t>60</w:t>
            </w:r>
            <w:r>
              <w:rPr>
                <w:rFonts w:hint="eastAsia" w:asciiTheme="minorEastAsia" w:hAnsiTheme="minorEastAsia" w:eastAsiaTheme="minorEastAsia" w:cstheme="minorEastAsia"/>
                <w:b/>
                <w:bCs/>
                <w:kern w:val="0"/>
                <w:sz w:val="21"/>
                <w:szCs w:val="21"/>
                <w:highlight w:val="none"/>
              </w:rPr>
              <w:t>分)</w:t>
            </w:r>
          </w:p>
        </w:tc>
        <w:tc>
          <w:tcPr>
            <w:tcW w:w="1213" w:type="dxa"/>
            <w:vAlign w:val="center"/>
          </w:tcPr>
          <w:p w14:paraId="4DB2853D">
            <w:pPr>
              <w:spacing w:line="3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项目背景</w:t>
            </w:r>
          </w:p>
          <w:p w14:paraId="22A700A1">
            <w:pPr>
              <w:spacing w:line="3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理解</w:t>
            </w:r>
          </w:p>
          <w:p w14:paraId="3AED7270">
            <w:pPr>
              <w:spacing w:line="38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lang w:eastAsia="zh-CN"/>
              </w:rPr>
              <w:t>）</w:t>
            </w:r>
          </w:p>
        </w:tc>
        <w:tc>
          <w:tcPr>
            <w:tcW w:w="6014" w:type="dxa"/>
            <w:vAlign w:val="center"/>
          </w:tcPr>
          <w:p w14:paraId="6F355C75">
            <w:pPr>
              <w:numPr>
                <w:ilvl w:val="0"/>
                <w:numId w:val="0"/>
              </w:numPr>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（1）深刻理解国家及河南省交通运输发展总体要求，对周口市交通运输“十五五”面临的形势要求分析精准、全面，得10分。</w:t>
            </w:r>
          </w:p>
          <w:p w14:paraId="7A56835E">
            <w:pPr>
              <w:numPr>
                <w:ilvl w:val="0"/>
                <w:numId w:val="0"/>
              </w:numPr>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（2）较为理解国家及河南省交通运输发展总体要求，对周口市交通运输“十五五”面临的形势要求分析较为全面、合理，得</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eastAsia="zh-CN"/>
              </w:rPr>
              <w:t>分。</w:t>
            </w:r>
          </w:p>
          <w:p w14:paraId="6042ADF8">
            <w:pPr>
              <w:numPr>
                <w:ilvl w:val="0"/>
                <w:numId w:val="0"/>
              </w:numPr>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（3）对国家及河南省交通运输发展总体要求有一定理解，能对周口市交通运输“十五五”面临的形势要求进行基本分析，得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分。</w:t>
            </w:r>
          </w:p>
          <w:p w14:paraId="2F0F9CD0">
            <w:pPr>
              <w:numPr>
                <w:ilvl w:val="0"/>
                <w:numId w:val="0"/>
              </w:numPr>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（4）对国家及河南省交通运输发展总体要求理解偏差，对周口市交通运输“十五五”面临的形势要求分析缺失或存在明显偏差，得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分。</w:t>
            </w:r>
          </w:p>
          <w:p w14:paraId="7AF88F82">
            <w:pPr>
              <w:numPr>
                <w:ilvl w:val="0"/>
                <w:numId w:val="0"/>
              </w:numPr>
              <w:spacing w:line="38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以上内容不提供的不得分。</w:t>
            </w:r>
          </w:p>
        </w:tc>
      </w:tr>
      <w:bookmarkEnd w:id="61"/>
      <w:tr w14:paraId="5639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 w:hRule="atLeast"/>
        </w:trPr>
        <w:tc>
          <w:tcPr>
            <w:tcW w:w="787" w:type="dxa"/>
            <w:vMerge w:val="continue"/>
            <w:vAlign w:val="center"/>
          </w:tcPr>
          <w:p w14:paraId="6DD7A195">
            <w:pPr>
              <w:spacing w:line="380" w:lineRule="exact"/>
              <w:rPr>
                <w:rFonts w:hint="eastAsia" w:asciiTheme="minorEastAsia" w:hAnsiTheme="minorEastAsia" w:eastAsiaTheme="minorEastAsia" w:cstheme="minorEastAsia"/>
                <w:kern w:val="0"/>
                <w:sz w:val="21"/>
                <w:szCs w:val="21"/>
                <w:highlight w:val="none"/>
              </w:rPr>
            </w:pPr>
          </w:p>
        </w:tc>
        <w:tc>
          <w:tcPr>
            <w:tcW w:w="926" w:type="dxa"/>
            <w:vMerge w:val="continue"/>
            <w:vAlign w:val="center"/>
          </w:tcPr>
          <w:p w14:paraId="4E09CC4F">
            <w:pPr>
              <w:spacing w:line="380" w:lineRule="exact"/>
              <w:rPr>
                <w:rFonts w:hint="eastAsia" w:asciiTheme="minorEastAsia" w:hAnsiTheme="minorEastAsia" w:eastAsiaTheme="minorEastAsia" w:cstheme="minorEastAsia"/>
                <w:kern w:val="0"/>
                <w:sz w:val="21"/>
                <w:szCs w:val="21"/>
                <w:highlight w:val="none"/>
              </w:rPr>
            </w:pPr>
          </w:p>
        </w:tc>
        <w:tc>
          <w:tcPr>
            <w:tcW w:w="1213" w:type="dxa"/>
            <w:vAlign w:val="center"/>
          </w:tcPr>
          <w:p w14:paraId="48C71B0A">
            <w:pPr>
              <w:spacing w:line="3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现状分析与问题诊断</w:t>
            </w:r>
          </w:p>
          <w:p w14:paraId="2E04CDA5">
            <w:pPr>
              <w:spacing w:line="38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lang w:eastAsia="zh-CN"/>
              </w:rPr>
              <w:t>）</w:t>
            </w:r>
          </w:p>
        </w:tc>
        <w:tc>
          <w:tcPr>
            <w:tcW w:w="6014" w:type="dxa"/>
            <w:vAlign w:val="center"/>
          </w:tcPr>
          <w:p w14:paraId="35DDD2EB">
            <w:pPr>
              <w:spacing w:line="38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（1）数据详实，对周口市交通运输发展现状分析深入全面，精准识别综合交通网络、运输服务、智慧绿色等方面的关键短板与制约因素，得10分。</w:t>
            </w:r>
          </w:p>
          <w:p w14:paraId="07942A8B">
            <w:pPr>
              <w:spacing w:line="38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（2）数据较为完整，对周口市交通运输发展现状分析较为全面，较为全面地识别综合交通网络、运输服务、智慧绿色等方面的主要短板与制约因素，得</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分。</w:t>
            </w:r>
          </w:p>
          <w:p w14:paraId="24570FAF">
            <w:pPr>
              <w:spacing w:line="38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（3）数据基本满足要求，对周口市交通运输发展现状分析基本全面，初步识别综合交通网络、运输服务、智慧绿色等方面的一般性短板与制约因素，得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分。</w:t>
            </w:r>
          </w:p>
          <w:p w14:paraId="4045CFCC">
            <w:pPr>
              <w:spacing w:line="38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（4）数据不充分，对周口市交通运输发展现状分析不全面，未能有效识别综合交通网络、运输服务、智慧绿色等方面的关键短板与制约因素，得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分。</w:t>
            </w:r>
          </w:p>
          <w:p w14:paraId="0E1C393F">
            <w:pPr>
              <w:spacing w:line="38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highlight w:val="none"/>
                <w:lang w:val="en-US" w:eastAsia="zh-CN"/>
              </w:rPr>
              <w:t>以上内容不提供的不得分。</w:t>
            </w:r>
          </w:p>
        </w:tc>
      </w:tr>
      <w:tr w14:paraId="25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 w:hRule="atLeast"/>
        </w:trPr>
        <w:tc>
          <w:tcPr>
            <w:tcW w:w="787" w:type="dxa"/>
            <w:vMerge w:val="continue"/>
            <w:vAlign w:val="center"/>
          </w:tcPr>
          <w:p w14:paraId="5DD57B77">
            <w:pPr>
              <w:spacing w:line="380" w:lineRule="exact"/>
              <w:rPr>
                <w:rFonts w:hint="eastAsia" w:asciiTheme="minorEastAsia" w:hAnsiTheme="minorEastAsia" w:eastAsiaTheme="minorEastAsia" w:cstheme="minorEastAsia"/>
                <w:kern w:val="0"/>
                <w:sz w:val="21"/>
                <w:szCs w:val="21"/>
                <w:highlight w:val="none"/>
              </w:rPr>
            </w:pPr>
          </w:p>
        </w:tc>
        <w:tc>
          <w:tcPr>
            <w:tcW w:w="926" w:type="dxa"/>
            <w:vMerge w:val="continue"/>
            <w:vAlign w:val="center"/>
          </w:tcPr>
          <w:p w14:paraId="3209DE27">
            <w:pPr>
              <w:spacing w:line="380" w:lineRule="exact"/>
              <w:rPr>
                <w:rFonts w:hint="eastAsia" w:asciiTheme="minorEastAsia" w:hAnsiTheme="minorEastAsia" w:eastAsiaTheme="minorEastAsia" w:cstheme="minorEastAsia"/>
                <w:kern w:val="0"/>
                <w:sz w:val="21"/>
                <w:szCs w:val="21"/>
                <w:highlight w:val="none"/>
              </w:rPr>
            </w:pPr>
          </w:p>
        </w:tc>
        <w:tc>
          <w:tcPr>
            <w:tcW w:w="1213" w:type="dxa"/>
            <w:vAlign w:val="center"/>
          </w:tcPr>
          <w:p w14:paraId="49A3B823">
            <w:pPr>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发展思路与目标指标体系构建</w:t>
            </w:r>
          </w:p>
          <w:p w14:paraId="650248AF">
            <w:pPr>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10分</w:t>
            </w:r>
            <w:r>
              <w:rPr>
                <w:rFonts w:hint="eastAsia" w:asciiTheme="minorEastAsia" w:hAnsiTheme="minorEastAsia" w:eastAsiaTheme="minorEastAsia" w:cstheme="minorEastAsia"/>
                <w:kern w:val="0"/>
                <w:sz w:val="21"/>
                <w:szCs w:val="21"/>
                <w:highlight w:val="none"/>
                <w:lang w:eastAsia="zh-CN"/>
              </w:rPr>
              <w:t>）</w:t>
            </w:r>
          </w:p>
        </w:tc>
        <w:tc>
          <w:tcPr>
            <w:tcW w:w="6014" w:type="dxa"/>
            <w:vAlign w:val="center"/>
          </w:tcPr>
          <w:p w14:paraId="473A4684">
            <w:pPr>
              <w:spacing w:line="38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（1）发展思路紧密契合区域发展实际，构建的目标指标体系（含运输服务品质、智慧绿色等核心指标）科学、系统、先进，且具备突出的可操作性与可评估性，得10分。</w:t>
            </w:r>
          </w:p>
          <w:p w14:paraId="10C9C972">
            <w:pPr>
              <w:spacing w:line="38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（2）发展思路较为符合区域发展实际，构建的目标指标体系（含运输服务品质、智慧绿色等核心指标）结构较为合理、内容基本完整，具备一定的可行性，得</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分。</w:t>
            </w:r>
          </w:p>
          <w:p w14:paraId="490ED2B2">
            <w:pPr>
              <w:spacing w:line="38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（3）发展思路与区域发展实际的结合度一般，构建的目标指标体系（含运输服务品质、智慧绿色等核心指标）存在部分缺失或不够合理，可操作性较弱，得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分。</w:t>
            </w:r>
          </w:p>
          <w:p w14:paraId="4128D93A">
            <w:pPr>
              <w:numPr>
                <w:ilvl w:val="0"/>
                <w:numId w:val="0"/>
              </w:numPr>
              <w:spacing w:line="3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（4）发展思路与区域发展实际脱节，构建的目标指标体系（含运输服务品质、智慧绿色等核心指标）不切实际、逻辑混乱或完全无法落地实施，得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分。</w:t>
            </w:r>
          </w:p>
          <w:p w14:paraId="4D301A9C">
            <w:pPr>
              <w:numPr>
                <w:ilvl w:val="0"/>
                <w:numId w:val="0"/>
              </w:numPr>
              <w:spacing w:line="3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highlight w:val="none"/>
                <w:lang w:val="en-US" w:eastAsia="zh-CN"/>
              </w:rPr>
              <w:t>以上内容不提供的不得分。</w:t>
            </w:r>
          </w:p>
        </w:tc>
      </w:tr>
      <w:tr w14:paraId="2A03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4" w:hRule="atLeast"/>
        </w:trPr>
        <w:tc>
          <w:tcPr>
            <w:tcW w:w="787" w:type="dxa"/>
            <w:vMerge w:val="continue"/>
            <w:vAlign w:val="center"/>
          </w:tcPr>
          <w:p w14:paraId="1EEB11FA">
            <w:pPr>
              <w:spacing w:line="380" w:lineRule="exact"/>
              <w:rPr>
                <w:rFonts w:hint="eastAsia" w:asciiTheme="minorEastAsia" w:hAnsiTheme="minorEastAsia" w:eastAsiaTheme="minorEastAsia" w:cstheme="minorEastAsia"/>
                <w:kern w:val="0"/>
                <w:sz w:val="21"/>
                <w:szCs w:val="21"/>
                <w:highlight w:val="none"/>
              </w:rPr>
            </w:pPr>
            <w:bookmarkStart w:id="62" w:name="_Hlk152072518"/>
          </w:p>
        </w:tc>
        <w:tc>
          <w:tcPr>
            <w:tcW w:w="926" w:type="dxa"/>
            <w:vMerge w:val="continue"/>
            <w:vAlign w:val="center"/>
          </w:tcPr>
          <w:p w14:paraId="6EDEF890">
            <w:pPr>
              <w:spacing w:line="380" w:lineRule="exact"/>
              <w:rPr>
                <w:rFonts w:hint="eastAsia" w:asciiTheme="minorEastAsia" w:hAnsiTheme="minorEastAsia" w:eastAsiaTheme="minorEastAsia" w:cstheme="minorEastAsia"/>
                <w:kern w:val="0"/>
                <w:sz w:val="21"/>
                <w:szCs w:val="21"/>
                <w:highlight w:val="none"/>
              </w:rPr>
            </w:pPr>
          </w:p>
        </w:tc>
        <w:tc>
          <w:tcPr>
            <w:tcW w:w="1213" w:type="dxa"/>
            <w:vAlign w:val="center"/>
          </w:tcPr>
          <w:p w14:paraId="190F3022">
            <w:pPr>
              <w:widowControl/>
              <w:spacing w:line="38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重点任务与项目库谋划</w:t>
            </w:r>
          </w:p>
          <w:p w14:paraId="1D1AF96B">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10分</w:t>
            </w:r>
            <w:r>
              <w:rPr>
                <w:rFonts w:hint="eastAsia" w:asciiTheme="minorEastAsia" w:hAnsiTheme="minorEastAsia" w:eastAsiaTheme="minorEastAsia" w:cstheme="minorEastAsia"/>
                <w:kern w:val="0"/>
                <w:sz w:val="21"/>
                <w:szCs w:val="21"/>
                <w:highlight w:val="none"/>
                <w:lang w:eastAsia="zh-CN"/>
              </w:rPr>
              <w:t>）</w:t>
            </w:r>
          </w:p>
        </w:tc>
        <w:tc>
          <w:tcPr>
            <w:tcW w:w="6014" w:type="dxa"/>
            <w:vAlign w:val="center"/>
          </w:tcPr>
          <w:p w14:paraId="4C156B84">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（1）重点任务谋划具有前瞻性，政策保障措施完善，能结合周口实际提出具体、可落地的建设项目库及实施路径，得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3ADEE442">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（2）任务划分清晰，政策保障措施较为全面，能结合周口实际提出主要的建设项目及实施路径，具备一定落地性，得</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49363448">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（3）任务划分不够清晰，政策保障措施不够完善，所提建设项目及实施路径与周口实际结合度不高或可行性一般，得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2BDC291B">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（4）任务谋划缺乏针对性，政策保障措施缺失，所提建设项目及实施路径模糊或不切实际，得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145995C9">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val="en-US" w:eastAsia="zh-CN"/>
              </w:rPr>
              <w:t>以上内容不提供的不得分。</w:t>
            </w:r>
          </w:p>
        </w:tc>
      </w:tr>
      <w:tr w14:paraId="39E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03" w:hRule="atLeast"/>
        </w:trPr>
        <w:tc>
          <w:tcPr>
            <w:tcW w:w="787" w:type="dxa"/>
            <w:vMerge w:val="continue"/>
            <w:vAlign w:val="center"/>
          </w:tcPr>
          <w:p w14:paraId="1F196BE6">
            <w:pPr>
              <w:spacing w:line="380" w:lineRule="exact"/>
              <w:rPr>
                <w:rFonts w:hint="eastAsia" w:asciiTheme="minorEastAsia" w:hAnsiTheme="minorEastAsia" w:eastAsiaTheme="minorEastAsia" w:cstheme="minorEastAsia"/>
                <w:kern w:val="0"/>
                <w:sz w:val="21"/>
                <w:szCs w:val="21"/>
                <w:highlight w:val="none"/>
              </w:rPr>
            </w:pPr>
          </w:p>
        </w:tc>
        <w:tc>
          <w:tcPr>
            <w:tcW w:w="926" w:type="dxa"/>
            <w:vMerge w:val="continue"/>
            <w:vAlign w:val="center"/>
          </w:tcPr>
          <w:p w14:paraId="1574DABC">
            <w:pPr>
              <w:spacing w:line="380" w:lineRule="exact"/>
              <w:rPr>
                <w:rFonts w:hint="eastAsia" w:asciiTheme="minorEastAsia" w:hAnsiTheme="minorEastAsia" w:eastAsiaTheme="minorEastAsia" w:cstheme="minorEastAsia"/>
                <w:kern w:val="0"/>
                <w:sz w:val="21"/>
                <w:szCs w:val="21"/>
                <w:highlight w:val="none"/>
              </w:rPr>
            </w:pPr>
          </w:p>
        </w:tc>
        <w:tc>
          <w:tcPr>
            <w:tcW w:w="1213" w:type="dxa"/>
            <w:vAlign w:val="center"/>
          </w:tcPr>
          <w:p w14:paraId="29BB68EA">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 xml:space="preserve">项 目 计 划 </w:t>
            </w:r>
          </w:p>
          <w:p w14:paraId="7BE2CD77">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 xml:space="preserve">安 排 及 质 </w:t>
            </w:r>
          </w:p>
          <w:p w14:paraId="683800E3">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 xml:space="preserve">量 保 证 措 </w:t>
            </w:r>
          </w:p>
          <w:p w14:paraId="71DC4A3C">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施（8分）</w:t>
            </w:r>
          </w:p>
          <w:p w14:paraId="738F6BF7">
            <w:pPr>
              <w:widowControl/>
              <w:spacing w:line="380" w:lineRule="exact"/>
              <w:jc w:val="center"/>
              <w:rPr>
                <w:rFonts w:hint="default" w:asciiTheme="minorEastAsia" w:hAnsiTheme="minorEastAsia" w:eastAsiaTheme="minorEastAsia" w:cstheme="minorEastAsia"/>
                <w:kern w:val="0"/>
                <w:sz w:val="21"/>
                <w:szCs w:val="21"/>
                <w:highlight w:val="none"/>
                <w:lang w:val="en-US" w:eastAsia="zh-CN"/>
              </w:rPr>
            </w:pPr>
          </w:p>
        </w:tc>
        <w:tc>
          <w:tcPr>
            <w:tcW w:w="6014" w:type="dxa"/>
            <w:vAlign w:val="center"/>
          </w:tcPr>
          <w:p w14:paraId="452861FB">
            <w:pPr>
              <w:numPr>
                <w:ilvl w:val="0"/>
                <w:numId w:val="0"/>
              </w:numPr>
              <w:spacing w:line="38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项目计划安排及质量保证措施： </w:t>
            </w:r>
          </w:p>
          <w:p w14:paraId="794BF5E8">
            <w:pPr>
              <w:numPr>
                <w:ilvl w:val="0"/>
                <w:numId w:val="0"/>
              </w:numPr>
              <w:spacing w:line="38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（1）项目计划安排合理、质量保证措施详细、考虑周全的得8分； </w:t>
            </w:r>
          </w:p>
          <w:p w14:paraId="2E3E032B">
            <w:pPr>
              <w:numPr>
                <w:ilvl w:val="0"/>
                <w:numId w:val="0"/>
              </w:numPr>
              <w:spacing w:line="38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（2）项目计划安排较合理、质量保证措施较合理、考虑较全面得5分； </w:t>
            </w:r>
          </w:p>
          <w:p w14:paraId="7C24BD39">
            <w:pPr>
              <w:numPr>
                <w:ilvl w:val="0"/>
                <w:numId w:val="0"/>
              </w:numPr>
              <w:spacing w:line="38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（3）项目计划安排一般、质量保证措施方案简单，考虑不周全的得2分；</w:t>
            </w:r>
          </w:p>
          <w:p w14:paraId="1719B731">
            <w:pPr>
              <w:numPr>
                <w:ilvl w:val="0"/>
                <w:numId w:val="0"/>
              </w:numPr>
              <w:spacing w:line="38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default" w:asciiTheme="minorEastAsia" w:hAnsiTheme="minorEastAsia" w:eastAsiaTheme="minorEastAsia" w:cstheme="minorEastAsia"/>
                <w:sz w:val="21"/>
                <w:szCs w:val="21"/>
                <w:highlight w:val="none"/>
                <w:lang w:val="en-US" w:eastAsia="zh-CN"/>
              </w:rPr>
              <w:t xml:space="preserve">项目计划安排无序、质量保证措施方案不合理不切实际的得1分； </w:t>
            </w:r>
          </w:p>
          <w:p w14:paraId="4191831B">
            <w:pPr>
              <w:numPr>
                <w:ilvl w:val="0"/>
                <w:numId w:val="0"/>
              </w:numPr>
              <w:spacing w:line="380" w:lineRule="exact"/>
              <w:ind w:left="0" w:leftChars="0" w:firstLine="0" w:firstLineChars="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以上内容不提供的不得分。</w:t>
            </w:r>
          </w:p>
        </w:tc>
      </w:tr>
      <w:tr w14:paraId="0287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2" w:hRule="atLeast"/>
        </w:trPr>
        <w:tc>
          <w:tcPr>
            <w:tcW w:w="787" w:type="dxa"/>
            <w:vMerge w:val="continue"/>
            <w:vAlign w:val="center"/>
          </w:tcPr>
          <w:p w14:paraId="0D4E4253">
            <w:pPr>
              <w:spacing w:line="380" w:lineRule="exact"/>
              <w:rPr>
                <w:rFonts w:hint="eastAsia" w:asciiTheme="minorEastAsia" w:hAnsiTheme="minorEastAsia" w:eastAsiaTheme="minorEastAsia" w:cstheme="minorEastAsia"/>
                <w:kern w:val="0"/>
                <w:sz w:val="21"/>
                <w:szCs w:val="21"/>
                <w:highlight w:val="none"/>
              </w:rPr>
            </w:pPr>
          </w:p>
        </w:tc>
        <w:tc>
          <w:tcPr>
            <w:tcW w:w="926" w:type="dxa"/>
            <w:vMerge w:val="continue"/>
            <w:vAlign w:val="center"/>
          </w:tcPr>
          <w:p w14:paraId="5C4F6324">
            <w:pPr>
              <w:spacing w:line="380" w:lineRule="exact"/>
              <w:rPr>
                <w:rFonts w:hint="eastAsia" w:asciiTheme="minorEastAsia" w:hAnsiTheme="minorEastAsia" w:eastAsiaTheme="minorEastAsia" w:cstheme="minorEastAsia"/>
                <w:kern w:val="0"/>
                <w:sz w:val="21"/>
                <w:szCs w:val="21"/>
                <w:highlight w:val="none"/>
              </w:rPr>
            </w:pPr>
          </w:p>
        </w:tc>
        <w:tc>
          <w:tcPr>
            <w:tcW w:w="1213" w:type="dxa"/>
            <w:vAlign w:val="center"/>
          </w:tcPr>
          <w:p w14:paraId="773DB037">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后 续 服 务 </w:t>
            </w:r>
          </w:p>
          <w:p w14:paraId="34015563">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工 作 安 排 </w:t>
            </w:r>
          </w:p>
          <w:p w14:paraId="21041721">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及承诺（6分）</w:t>
            </w:r>
          </w:p>
          <w:p w14:paraId="49C0B410">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p>
        </w:tc>
        <w:tc>
          <w:tcPr>
            <w:tcW w:w="6014" w:type="dxa"/>
            <w:vAlign w:val="center"/>
          </w:tcPr>
          <w:p w14:paraId="05626E66">
            <w:pPr>
              <w:spacing w:line="380" w:lineRule="exact"/>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w:t>
            </w:r>
            <w:r>
              <w:rPr>
                <w:rFonts w:asciiTheme="minorEastAsia" w:hAnsiTheme="minorEastAsia" w:eastAsiaTheme="minorEastAsia" w:cstheme="minorEastAsia"/>
                <w:sz w:val="21"/>
                <w:szCs w:val="21"/>
                <w:highlight w:val="none"/>
                <w:lang w:eastAsia="zh-CN"/>
              </w:rPr>
              <w:t>安排及承诺详细完善、科学合理、可行性强、操作性强的得</w:t>
            </w:r>
            <w:r>
              <w:rPr>
                <w:rFonts w:hint="eastAsia" w:asciiTheme="minorEastAsia" w:hAnsiTheme="minorEastAsia" w:eastAsiaTheme="minorEastAsia" w:cstheme="minorEastAsia"/>
                <w:sz w:val="21"/>
                <w:szCs w:val="21"/>
                <w:highlight w:val="none"/>
                <w:lang w:eastAsia="zh-CN"/>
              </w:rPr>
              <w:t>6</w:t>
            </w:r>
            <w:r>
              <w:rPr>
                <w:rFonts w:asciiTheme="minorEastAsia" w:hAnsiTheme="minorEastAsia" w:eastAsiaTheme="minorEastAsia" w:cstheme="minorEastAsia"/>
                <w:sz w:val="21"/>
                <w:szCs w:val="21"/>
                <w:highlight w:val="none"/>
                <w:lang w:eastAsia="zh-CN"/>
              </w:rPr>
              <w:t xml:space="preserve">分； </w:t>
            </w:r>
          </w:p>
          <w:p w14:paraId="48B7B63C">
            <w:pPr>
              <w:spacing w:line="380" w:lineRule="exact"/>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w:t>
            </w:r>
            <w:r>
              <w:rPr>
                <w:rFonts w:asciiTheme="minorEastAsia" w:hAnsiTheme="minorEastAsia" w:eastAsiaTheme="minorEastAsia" w:cstheme="minorEastAsia"/>
                <w:sz w:val="21"/>
                <w:szCs w:val="21"/>
                <w:highlight w:val="none"/>
                <w:lang w:eastAsia="zh-CN"/>
              </w:rPr>
              <w:t>安排及承诺较全面、可行性较强、操作性较强的得</w:t>
            </w:r>
            <w:r>
              <w:rPr>
                <w:rFonts w:hint="eastAsia" w:asciiTheme="minorEastAsia" w:hAnsiTheme="minorEastAsia" w:eastAsiaTheme="minorEastAsia" w:cstheme="minorEastAsia"/>
                <w:sz w:val="21"/>
                <w:szCs w:val="21"/>
                <w:highlight w:val="none"/>
                <w:lang w:val="en-US" w:eastAsia="zh-CN"/>
              </w:rPr>
              <w:t>4</w:t>
            </w:r>
            <w:r>
              <w:rPr>
                <w:rFonts w:asciiTheme="minorEastAsia" w:hAnsiTheme="minorEastAsia" w:eastAsiaTheme="minorEastAsia" w:cstheme="minorEastAsia"/>
                <w:sz w:val="21"/>
                <w:szCs w:val="21"/>
                <w:highlight w:val="none"/>
                <w:lang w:eastAsia="zh-CN"/>
              </w:rPr>
              <w:t xml:space="preserve">分； </w:t>
            </w:r>
          </w:p>
          <w:p w14:paraId="091F62EF">
            <w:pPr>
              <w:spacing w:line="380" w:lineRule="exact"/>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w:t>
            </w:r>
            <w:r>
              <w:rPr>
                <w:rFonts w:asciiTheme="minorEastAsia" w:hAnsiTheme="minorEastAsia" w:eastAsiaTheme="minorEastAsia" w:cstheme="minorEastAsia"/>
                <w:sz w:val="21"/>
                <w:szCs w:val="21"/>
                <w:highlight w:val="none"/>
                <w:lang w:eastAsia="zh-CN"/>
              </w:rPr>
              <w:t>安排及承诺基本完整、操作性一般的得</w:t>
            </w:r>
            <w:r>
              <w:rPr>
                <w:rFonts w:hint="eastAsia" w:asciiTheme="minorEastAsia" w:hAnsiTheme="minorEastAsia" w:eastAsiaTheme="minorEastAsia" w:cstheme="minorEastAsia"/>
                <w:sz w:val="21"/>
                <w:szCs w:val="21"/>
                <w:highlight w:val="none"/>
                <w:lang w:val="en-US" w:eastAsia="zh-CN"/>
              </w:rPr>
              <w:t>2</w:t>
            </w:r>
            <w:r>
              <w:rPr>
                <w:rFonts w:asciiTheme="minorEastAsia" w:hAnsiTheme="minorEastAsia" w:eastAsiaTheme="minorEastAsia" w:cstheme="minorEastAsia"/>
                <w:sz w:val="21"/>
                <w:szCs w:val="21"/>
                <w:highlight w:val="none"/>
                <w:lang w:eastAsia="zh-CN"/>
              </w:rPr>
              <w:t xml:space="preserve">分； </w:t>
            </w:r>
          </w:p>
          <w:p w14:paraId="6DD850DF">
            <w:pPr>
              <w:spacing w:line="380" w:lineRule="exact"/>
              <w:rPr>
                <w:rFonts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w:t>
            </w:r>
            <w:r>
              <w:rPr>
                <w:rFonts w:asciiTheme="minorEastAsia" w:hAnsiTheme="minorEastAsia" w:eastAsiaTheme="minorEastAsia" w:cstheme="minorEastAsia"/>
                <w:sz w:val="21"/>
                <w:szCs w:val="21"/>
                <w:highlight w:val="none"/>
                <w:lang w:eastAsia="zh-CN"/>
              </w:rPr>
              <w:t>安排及承诺无实际意义、不具可操作性的</w:t>
            </w:r>
            <w:r>
              <w:rPr>
                <w:rFonts w:hint="eastAsia" w:asciiTheme="minorEastAsia" w:hAnsiTheme="minorEastAsia" w:eastAsiaTheme="minorEastAsia" w:cstheme="minorEastAsia"/>
                <w:sz w:val="21"/>
                <w:szCs w:val="21"/>
                <w:highlight w:val="none"/>
                <w:lang w:val="en-US" w:eastAsia="zh-CN"/>
              </w:rPr>
              <w:t>得1</w:t>
            </w:r>
            <w:r>
              <w:rPr>
                <w:rFonts w:asciiTheme="minorEastAsia" w:hAnsiTheme="minorEastAsia" w:eastAsiaTheme="minorEastAsia" w:cstheme="minorEastAsia"/>
                <w:sz w:val="21"/>
                <w:szCs w:val="21"/>
                <w:highlight w:val="none"/>
                <w:lang w:eastAsia="zh-CN"/>
              </w:rPr>
              <w:t xml:space="preserve">分； </w:t>
            </w:r>
          </w:p>
          <w:p w14:paraId="159A4C8D">
            <w:pPr>
              <w:numPr>
                <w:ilvl w:val="0"/>
                <w:numId w:val="0"/>
              </w:numPr>
              <w:spacing w:line="38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eastAsia="zh-CN"/>
              </w:rPr>
              <w:t>以上内容不提供的不得分。</w:t>
            </w:r>
          </w:p>
        </w:tc>
      </w:tr>
      <w:tr w14:paraId="69F1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5" w:hRule="atLeast"/>
        </w:trPr>
        <w:tc>
          <w:tcPr>
            <w:tcW w:w="787" w:type="dxa"/>
            <w:vMerge w:val="continue"/>
            <w:vAlign w:val="center"/>
          </w:tcPr>
          <w:p w14:paraId="55F40820">
            <w:pPr>
              <w:spacing w:line="380" w:lineRule="exact"/>
              <w:rPr>
                <w:rFonts w:hint="eastAsia" w:asciiTheme="minorEastAsia" w:hAnsiTheme="minorEastAsia" w:eastAsiaTheme="minorEastAsia" w:cstheme="minorEastAsia"/>
                <w:kern w:val="0"/>
                <w:sz w:val="21"/>
                <w:szCs w:val="21"/>
                <w:highlight w:val="none"/>
              </w:rPr>
            </w:pPr>
          </w:p>
        </w:tc>
        <w:tc>
          <w:tcPr>
            <w:tcW w:w="926" w:type="dxa"/>
            <w:vMerge w:val="continue"/>
            <w:vAlign w:val="center"/>
          </w:tcPr>
          <w:p w14:paraId="35109861">
            <w:pPr>
              <w:spacing w:line="380" w:lineRule="exact"/>
              <w:rPr>
                <w:rFonts w:hint="eastAsia" w:asciiTheme="minorEastAsia" w:hAnsiTheme="minorEastAsia" w:eastAsiaTheme="minorEastAsia" w:cstheme="minorEastAsia"/>
                <w:kern w:val="0"/>
                <w:sz w:val="21"/>
                <w:szCs w:val="21"/>
                <w:highlight w:val="none"/>
              </w:rPr>
            </w:pPr>
          </w:p>
        </w:tc>
        <w:tc>
          <w:tcPr>
            <w:tcW w:w="1213" w:type="dxa"/>
            <w:vAlign w:val="center"/>
          </w:tcPr>
          <w:p w14:paraId="1ABD30E9">
            <w:pPr>
              <w:widowControl/>
              <w:spacing w:line="38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技术创新与特色建议</w:t>
            </w:r>
          </w:p>
          <w:p w14:paraId="16C14603">
            <w:pPr>
              <w:widowControl/>
              <w:spacing w:line="380" w:lineRule="exact"/>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6分</w:t>
            </w:r>
            <w:r>
              <w:rPr>
                <w:rFonts w:hint="eastAsia" w:asciiTheme="minorEastAsia" w:hAnsiTheme="minorEastAsia" w:eastAsiaTheme="minorEastAsia" w:cstheme="minorEastAsia"/>
                <w:kern w:val="0"/>
                <w:sz w:val="21"/>
                <w:szCs w:val="21"/>
                <w:highlight w:val="none"/>
                <w:lang w:eastAsia="zh-CN"/>
              </w:rPr>
              <w:t>）</w:t>
            </w:r>
          </w:p>
        </w:tc>
        <w:tc>
          <w:tcPr>
            <w:tcW w:w="6014" w:type="dxa"/>
            <w:vAlign w:val="center"/>
          </w:tcPr>
          <w:p w14:paraId="630ACCA3">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（1）结合周口市情，提出具有创新性的交通发展策略（如多式联运、智慧交通、绿色低碳等），建议切实可行且具有较高参考价值的，得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63F4DC04">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（2）结合周口市情，提出具有实用性的交通发展策略（如多式联运、智慧交通、绿色低碳等），建议合理可行且具有一定参考价值的，得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1E4141B7">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（3）结合周口市情，提出基本的交通发展策略（如多式联运、智慧交通、绿色低碳等），建议具备初步可行性但创新性或深度不足的，得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14:paraId="0366A283">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（4）未能结合周口市情提出具有可行性的交通发展策略，或所提策略不切实际、无参考价值的，得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002A864B">
            <w:pPr>
              <w:numPr>
                <w:ilvl w:val="0"/>
                <w:numId w:val="0"/>
              </w:numPr>
              <w:spacing w:line="3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以上内容不提供的不得分。</w:t>
            </w:r>
          </w:p>
        </w:tc>
      </w:tr>
      <w:bookmarkEnd w:id="62"/>
    </w:tbl>
    <w:p w14:paraId="622B640F">
      <w:pPr>
        <w:pStyle w:val="3"/>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ascii="宋体" w:hAnsi="宋体" w:eastAsia="宋体"/>
          <w:b/>
          <w:sz w:val="21"/>
          <w:szCs w:val="21"/>
          <w:lang w:eastAsia="zh-CN"/>
        </w:rPr>
      </w:pPr>
      <w:bookmarkStart w:id="63" w:name="_Toc8845"/>
      <w:r>
        <w:rPr>
          <w:rFonts w:ascii="宋体" w:hAnsi="宋体" w:eastAsia="宋体"/>
          <w:b/>
          <w:sz w:val="21"/>
          <w:szCs w:val="21"/>
          <w:lang w:eastAsia="zh-CN"/>
        </w:rPr>
        <w:t>1.评审方法</w:t>
      </w:r>
      <w:bookmarkEnd w:id="53"/>
      <w:bookmarkEnd w:id="54"/>
      <w:bookmarkEnd w:id="55"/>
      <w:bookmarkEnd w:id="56"/>
      <w:bookmarkEnd w:id="57"/>
      <w:bookmarkEnd w:id="58"/>
      <w:bookmarkEnd w:id="59"/>
      <w:bookmarkEnd w:id="60"/>
      <w:bookmarkEnd w:id="63"/>
    </w:p>
    <w:p w14:paraId="6CBC409F">
      <w:pPr>
        <w:keepNext w:val="0"/>
        <w:keepLines w:val="0"/>
        <w:pageBreakBefore w:val="0"/>
        <w:widowControl w:val="0"/>
        <w:kinsoku/>
        <w:wordWrap/>
        <w:overflowPunct/>
        <w:topLinePunct w:val="0"/>
        <w:autoSpaceDE/>
        <w:autoSpaceDN/>
        <w:bidi w:val="0"/>
        <w:adjustRightInd w:val="0"/>
        <w:snapToGrid w:val="0"/>
        <w:spacing w:line="390" w:lineRule="exact"/>
        <w:ind w:firstLine="450"/>
        <w:jc w:val="both"/>
        <w:textAlignment w:val="auto"/>
        <w:rPr>
          <w:rFonts w:ascii="宋体" w:hAnsi="宋体" w:cs="Times New Roman"/>
          <w:sz w:val="21"/>
          <w:szCs w:val="21"/>
          <w:lang w:eastAsia="zh-CN"/>
        </w:rPr>
      </w:pPr>
      <w:r>
        <w:rPr>
          <w:rFonts w:ascii="宋体" w:hAnsi="宋体" w:cs="Times New Roman"/>
          <w:sz w:val="21"/>
          <w:szCs w:val="21"/>
          <w:lang w:eastAsia="zh-CN"/>
        </w:rPr>
        <w:t>本次评审采用综合评分法。磋商小组对满足磋商文件要求的响应文件，按照本章第2款规定的评审标准进行评审，按评审办法的量化指标评审得分由高到低顺序推荐候选</w:t>
      </w:r>
      <w:r>
        <w:rPr>
          <w:rFonts w:hint="eastAsia" w:ascii="宋体" w:hAnsi="宋体" w:cs="Times New Roman"/>
          <w:sz w:val="21"/>
          <w:szCs w:val="21"/>
          <w:lang w:eastAsia="zh-CN"/>
        </w:rPr>
        <w:t>响应单位</w:t>
      </w:r>
      <w:r>
        <w:rPr>
          <w:rFonts w:ascii="宋体" w:hAnsi="宋体" w:cs="Times New Roman"/>
          <w:sz w:val="21"/>
          <w:szCs w:val="21"/>
          <w:lang w:eastAsia="zh-CN"/>
        </w:rPr>
        <w:t>排名。评审得分相同的，按照最后磋商报价由低到高的顺序推荐。评审得分且最后报价相同的，按照</w:t>
      </w:r>
      <w:r>
        <w:rPr>
          <w:rFonts w:hint="eastAsia" w:ascii="宋体" w:hAnsi="宋体" w:cs="Times New Roman"/>
          <w:sz w:val="21"/>
          <w:szCs w:val="21"/>
          <w:lang w:eastAsia="zh-CN"/>
        </w:rPr>
        <w:t>响应单位拟定的技术部分得分</w:t>
      </w:r>
      <w:r>
        <w:rPr>
          <w:rFonts w:ascii="宋体" w:hAnsi="宋体" w:cs="Times New Roman"/>
          <w:sz w:val="21"/>
          <w:szCs w:val="21"/>
          <w:lang w:eastAsia="zh-CN"/>
        </w:rPr>
        <w:t>优劣顺序推荐。</w:t>
      </w:r>
    </w:p>
    <w:p w14:paraId="73F8E012">
      <w:pPr>
        <w:pStyle w:val="3"/>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ascii="宋体" w:hAnsi="宋体" w:eastAsia="宋体"/>
          <w:b/>
          <w:sz w:val="21"/>
          <w:szCs w:val="21"/>
          <w:lang w:eastAsia="zh-CN"/>
        </w:rPr>
      </w:pPr>
      <w:bookmarkStart w:id="64" w:name="_Toc443895875"/>
      <w:bookmarkStart w:id="65" w:name="_Toc152042378"/>
      <w:bookmarkStart w:id="66" w:name="_Toc414112652"/>
      <w:bookmarkStart w:id="67" w:name="_Toc415575791"/>
      <w:bookmarkStart w:id="68" w:name="_Toc414277164"/>
      <w:bookmarkStart w:id="69" w:name="_Toc19015"/>
      <w:bookmarkStart w:id="70" w:name="_Toc17054"/>
      <w:bookmarkStart w:id="71" w:name="_Toc144974568"/>
      <w:bookmarkStart w:id="72" w:name="_Toc152045601"/>
      <w:r>
        <w:rPr>
          <w:rFonts w:ascii="宋体" w:hAnsi="宋体" w:eastAsia="宋体"/>
          <w:b/>
          <w:sz w:val="21"/>
          <w:szCs w:val="21"/>
          <w:lang w:eastAsia="zh-CN"/>
        </w:rPr>
        <w:t>2.评审标准</w:t>
      </w:r>
      <w:bookmarkEnd w:id="64"/>
      <w:bookmarkEnd w:id="65"/>
      <w:bookmarkEnd w:id="66"/>
      <w:bookmarkEnd w:id="67"/>
      <w:bookmarkEnd w:id="68"/>
      <w:bookmarkEnd w:id="69"/>
      <w:bookmarkEnd w:id="70"/>
      <w:bookmarkEnd w:id="71"/>
      <w:bookmarkEnd w:id="72"/>
    </w:p>
    <w:p w14:paraId="2F706E6B">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73" w:name="_Toc186595223"/>
      <w:bookmarkStart w:id="74" w:name="_Toc415575792"/>
      <w:bookmarkStart w:id="75" w:name="_Toc443895876"/>
      <w:bookmarkStart w:id="76" w:name="_Toc439194047"/>
      <w:r>
        <w:rPr>
          <w:rFonts w:ascii="宋体" w:hAnsi="宋体"/>
          <w:sz w:val="21"/>
          <w:szCs w:val="21"/>
          <w:lang w:eastAsia="zh-CN"/>
        </w:rPr>
        <w:t xml:space="preserve">2.1 </w:t>
      </w:r>
      <w:bookmarkEnd w:id="73"/>
      <w:bookmarkEnd w:id="74"/>
      <w:r>
        <w:rPr>
          <w:rFonts w:ascii="宋体" w:hAnsi="宋体"/>
          <w:sz w:val="21"/>
          <w:szCs w:val="21"/>
          <w:lang w:eastAsia="zh-CN"/>
        </w:rPr>
        <w:t>磋商响应文件初审</w:t>
      </w:r>
      <w:bookmarkEnd w:id="75"/>
      <w:bookmarkEnd w:id="76"/>
    </w:p>
    <w:p w14:paraId="0A449583">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sz w:val="21"/>
          <w:szCs w:val="21"/>
          <w:lang w:eastAsia="zh-CN"/>
        </w:rPr>
      </w:pPr>
      <w:bookmarkStart w:id="77" w:name="_Toc439194048"/>
      <w:bookmarkStart w:id="78" w:name="_Toc443895877"/>
      <w:r>
        <w:rPr>
          <w:rFonts w:ascii="宋体" w:hAnsi="宋体"/>
          <w:sz w:val="21"/>
          <w:szCs w:val="21"/>
          <w:lang w:eastAsia="zh-CN"/>
        </w:rPr>
        <w:t>2.1.1资格性检查标准</w:t>
      </w:r>
      <w:bookmarkEnd w:id="77"/>
      <w:bookmarkEnd w:id="78"/>
    </w:p>
    <w:p w14:paraId="3F91CC8A">
      <w:pPr>
        <w:keepNext w:val="0"/>
        <w:keepLines w:val="0"/>
        <w:pageBreakBefore w:val="0"/>
        <w:widowControl w:val="0"/>
        <w:kinsoku/>
        <w:wordWrap/>
        <w:overflowPunct/>
        <w:topLinePunct w:val="0"/>
        <w:autoSpaceDE/>
        <w:autoSpaceDN/>
        <w:bidi w:val="0"/>
        <w:adjustRightInd w:val="0"/>
        <w:snapToGrid w:val="0"/>
        <w:spacing w:line="390" w:lineRule="exact"/>
        <w:ind w:firstLine="450"/>
        <w:jc w:val="both"/>
        <w:textAlignment w:val="auto"/>
        <w:rPr>
          <w:rFonts w:ascii="宋体" w:hAnsi="宋体" w:cs="Arial"/>
          <w:sz w:val="21"/>
          <w:szCs w:val="21"/>
          <w:lang w:eastAsia="zh-CN"/>
        </w:rPr>
      </w:pPr>
      <w:r>
        <w:rPr>
          <w:rFonts w:hint="eastAsia" w:ascii="宋体" w:hAnsi="宋体" w:cs="Arial"/>
          <w:sz w:val="21"/>
          <w:szCs w:val="21"/>
          <w:lang w:eastAsia="zh-CN"/>
        </w:rPr>
        <w:t>依据法律法规和磋商文件的规定，对响应文件中的资格证明进行审查，以确定响应单位是否具备磋商资格。资格性检查评审标准：见评审方法前附表。</w:t>
      </w:r>
    </w:p>
    <w:p w14:paraId="3A3038E0">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sz w:val="21"/>
          <w:szCs w:val="21"/>
          <w:lang w:eastAsia="zh-CN"/>
        </w:rPr>
      </w:pPr>
      <w:bookmarkStart w:id="79" w:name="_Toc443895878"/>
      <w:bookmarkStart w:id="80" w:name="_Toc439194049"/>
      <w:r>
        <w:rPr>
          <w:rFonts w:ascii="宋体" w:hAnsi="宋体"/>
          <w:sz w:val="21"/>
          <w:szCs w:val="21"/>
          <w:lang w:eastAsia="zh-CN"/>
        </w:rPr>
        <w:t>2.1.2符合性检查标准</w:t>
      </w:r>
      <w:bookmarkEnd w:id="79"/>
      <w:bookmarkEnd w:id="80"/>
    </w:p>
    <w:p w14:paraId="2B61364C">
      <w:pPr>
        <w:keepNext w:val="0"/>
        <w:keepLines w:val="0"/>
        <w:pageBreakBefore w:val="0"/>
        <w:widowControl w:val="0"/>
        <w:kinsoku/>
        <w:wordWrap/>
        <w:overflowPunct/>
        <w:topLinePunct w:val="0"/>
        <w:autoSpaceDE/>
        <w:autoSpaceDN/>
        <w:bidi w:val="0"/>
        <w:adjustRightInd w:val="0"/>
        <w:snapToGrid w:val="0"/>
        <w:spacing w:line="390" w:lineRule="exact"/>
        <w:ind w:firstLine="450"/>
        <w:jc w:val="both"/>
        <w:textAlignment w:val="auto"/>
        <w:rPr>
          <w:rFonts w:ascii="宋体" w:hAnsi="宋体" w:cs="Arial"/>
          <w:sz w:val="21"/>
          <w:szCs w:val="21"/>
          <w:lang w:eastAsia="zh-CN"/>
        </w:rPr>
      </w:pPr>
      <w:r>
        <w:rPr>
          <w:rFonts w:hint="eastAsia" w:ascii="宋体" w:hAnsi="宋体" w:cs="Arial"/>
          <w:sz w:val="21"/>
          <w:szCs w:val="21"/>
          <w:lang w:eastAsia="zh-CN"/>
        </w:rPr>
        <w:t>依据磋商文件的规定，从响应文件的有效性、完整性和对磋商文件的响应程度进行审查，以确定是否对磋商文件的实质性要求作出响应。符合性检查评审标准：</w:t>
      </w:r>
    </w:p>
    <w:p w14:paraId="0B9127C5">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1</w:t>
      </w:r>
      <w:r>
        <w:rPr>
          <w:rFonts w:ascii="宋体" w:hAnsi="宋体" w:cs="Times New Roman"/>
          <w:sz w:val="21"/>
          <w:szCs w:val="21"/>
          <w:lang w:eastAsia="zh-CN"/>
        </w:rPr>
        <w:t>）响应文件按磋商文件的要求签署；</w:t>
      </w:r>
    </w:p>
    <w:p w14:paraId="49CF140B">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2</w:t>
      </w:r>
      <w:r>
        <w:rPr>
          <w:rFonts w:ascii="宋体" w:hAnsi="宋体" w:cs="Times New Roman"/>
          <w:sz w:val="21"/>
          <w:szCs w:val="21"/>
          <w:lang w:eastAsia="zh-CN"/>
        </w:rPr>
        <w:t>）</w:t>
      </w:r>
      <w:r>
        <w:rPr>
          <w:rFonts w:hint="eastAsia" w:ascii="宋体" w:hAnsi="宋体" w:cs="Times New Roman"/>
          <w:sz w:val="21"/>
          <w:szCs w:val="21"/>
          <w:lang w:eastAsia="zh-CN"/>
        </w:rPr>
        <w:t>首次提交报价唯一，未</w:t>
      </w:r>
      <w:r>
        <w:rPr>
          <w:rFonts w:ascii="宋体" w:hAnsi="宋体" w:cs="Times New Roman"/>
          <w:sz w:val="21"/>
          <w:szCs w:val="21"/>
          <w:lang w:eastAsia="zh-CN"/>
        </w:rPr>
        <w:t>提交两个以上不同的方案或者磋商价格；</w:t>
      </w:r>
    </w:p>
    <w:p w14:paraId="3F932C3D">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ascii="宋体" w:hAnsi="宋体" w:cs="Times New Roman"/>
          <w:sz w:val="21"/>
          <w:szCs w:val="21"/>
          <w:lang w:eastAsia="zh-CN"/>
        </w:rPr>
        <w:t>（</w:t>
      </w:r>
      <w:r>
        <w:rPr>
          <w:rFonts w:hint="eastAsia" w:ascii="宋体" w:hAnsi="宋体" w:cs="Times New Roman"/>
          <w:sz w:val="21"/>
          <w:szCs w:val="21"/>
          <w:lang w:eastAsia="zh-CN"/>
        </w:rPr>
        <w:t>3</w:t>
      </w:r>
      <w:r>
        <w:rPr>
          <w:rFonts w:ascii="宋体" w:hAnsi="宋体" w:cs="Times New Roman"/>
          <w:sz w:val="21"/>
          <w:szCs w:val="21"/>
          <w:lang w:eastAsia="zh-CN"/>
        </w:rPr>
        <w:t>）磋商价格</w:t>
      </w:r>
      <w:r>
        <w:rPr>
          <w:rFonts w:hint="eastAsia" w:ascii="宋体" w:hAnsi="宋体" w:cs="Times New Roman"/>
          <w:sz w:val="21"/>
          <w:szCs w:val="21"/>
          <w:lang w:eastAsia="zh-CN"/>
        </w:rPr>
        <w:t>不</w:t>
      </w:r>
      <w:r>
        <w:rPr>
          <w:rFonts w:ascii="宋体" w:hAnsi="宋体" w:cs="Times New Roman"/>
          <w:sz w:val="21"/>
          <w:szCs w:val="21"/>
          <w:lang w:eastAsia="zh-CN"/>
        </w:rPr>
        <w:t>高于磋商文件设定的控制价</w:t>
      </w:r>
      <w:r>
        <w:rPr>
          <w:rFonts w:hint="eastAsia" w:ascii="宋体" w:hAnsi="宋体" w:cs="Times New Roman"/>
          <w:sz w:val="21"/>
          <w:szCs w:val="21"/>
          <w:lang w:eastAsia="zh-CN"/>
        </w:rPr>
        <w:t>（或最高限价）。</w:t>
      </w:r>
    </w:p>
    <w:p w14:paraId="6C82DB8D">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hint="eastAsia" w:ascii="宋体" w:hAnsi="宋体" w:cs="Times New Roman"/>
          <w:sz w:val="21"/>
          <w:szCs w:val="21"/>
          <w:lang w:val="en-US" w:eastAsia="zh-CN"/>
        </w:rPr>
        <w:t>（4）强化政府采购异常低价审查</w:t>
      </w:r>
    </w:p>
    <w:p w14:paraId="47476F5A">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（一）政府采购评审中出现下列情形之一的，评审委员会应当启动异常低价投标（响应）审查程序：</w:t>
      </w:r>
    </w:p>
    <w:p w14:paraId="7BB9FD1F">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1.投标（响应）报价低于全部通过符合性审查响应单位投标（响应）报价平均值50%的，即投标（响应）报价&lt;全部通过符合性审查响应单位投标（响应）报价平均值×50%；</w:t>
      </w:r>
    </w:p>
    <w:p w14:paraId="189A84E5">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2.投标（响应）报价低于通过符合性审查的次低报价响应单位投标（响应）报价50%的，即投标（响应）报价&lt;通过符合性审查的次低报价响应单位投标（响应）报价×50%；</w:t>
      </w:r>
    </w:p>
    <w:p w14:paraId="61EEDBFA">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3.投标（响应）报价低于采购项目最高限价45%的，即投标（响应）报价&lt;采购项目最高限价×45%；</w:t>
      </w:r>
    </w:p>
    <w:p w14:paraId="56BCD04F">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4.评审委员会基于专业判断，认为响应单位报价过低，有可能影响产品质量或者不能诚信履约的其他情形。</w:t>
      </w:r>
    </w:p>
    <w:p w14:paraId="1527AF56">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二）评审委员会启动异常低价投标（响应）审查后，属于前述第1项至第4项情形的，应当要求相关响应单位在评审现场合理的时间内对投标（响应）价格作出解释，提供项目具体成本测算等与报价合理性相关的书面说明及必要的证明材料，包括但不限于原材料成本、人工成本、制造费用等，给予相关响应单位的合理时间一般不少于30分钟。其中，属于第3项情形，响应单位已随投标（响应）文件一并提交相关书面说明及必要的证明材料的，在评审现场可不再重复提交。</w:t>
      </w:r>
    </w:p>
    <w:p w14:paraId="5EB98BA6">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响应单位不能提供书面说明、证明材料，或者提供的书面说明、证明材料不能证明其报价合理性的，</w:t>
      </w:r>
      <w:r>
        <w:rPr>
          <w:rFonts w:hint="eastAsia" w:ascii="宋体" w:hAnsi="宋体" w:cs="Times New Roman"/>
          <w:b/>
          <w:bCs/>
          <w:sz w:val="21"/>
          <w:szCs w:val="21"/>
          <w:lang w:val="en-US" w:eastAsia="zh-CN"/>
        </w:rPr>
        <w:t>评审委员会应当将其作为无效投标（响应）处理。</w:t>
      </w:r>
    </w:p>
    <w:p w14:paraId="61CFA20B">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8E5B491">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异常低价投标（响应）审查的启动原因、审查意见和审查结果应当在评审报告中记录，并随响应单位提供的相关书面说明及证明材料，以及评审委员会有关互联网浏览、查询历史一并归档。</w:t>
      </w:r>
    </w:p>
    <w:p w14:paraId="540AB5F7">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81" w:name="_Toc439194050"/>
      <w:bookmarkStart w:id="82" w:name="_Toc443895879"/>
      <w:r>
        <w:rPr>
          <w:rFonts w:ascii="宋体" w:hAnsi="宋体"/>
          <w:sz w:val="21"/>
          <w:szCs w:val="21"/>
          <w:lang w:eastAsia="zh-CN"/>
        </w:rPr>
        <w:t>2.2澄清有关问题</w:t>
      </w:r>
      <w:bookmarkEnd w:id="81"/>
      <w:bookmarkEnd w:id="82"/>
    </w:p>
    <w:p w14:paraId="31D86FA1">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Arial"/>
          <w:sz w:val="21"/>
          <w:szCs w:val="21"/>
          <w:lang w:eastAsia="zh-CN"/>
        </w:rPr>
      </w:pPr>
      <w:r>
        <w:rPr>
          <w:rFonts w:hint="eastAsia" w:ascii="宋体" w:hAnsi="宋体" w:cs="Arial"/>
          <w:sz w:val="21"/>
          <w:szCs w:val="21"/>
          <w:lang w:eastAsia="zh-CN"/>
        </w:rPr>
        <w:t>2.2.1对响应文件中含义不明确、同类问题表述不一致或者有明显文字和计算错误的内容，磋商小组可以书面形式（应当由磋商小组专家签字）要求响应单位作出必要的澄清、说明或者纠正。响应单位的澄清、说明或者补正应当采用书面形式，由其授权代表人签字，并不得超出响应文件的范围或者改变响应文件的实质性内容。</w:t>
      </w:r>
    </w:p>
    <w:p w14:paraId="223FF3B1">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sz w:val="21"/>
          <w:szCs w:val="21"/>
          <w:lang w:eastAsia="zh-CN"/>
        </w:rPr>
      </w:pPr>
      <w:r>
        <w:rPr>
          <w:rFonts w:hint="eastAsia" w:ascii="宋体" w:hAnsi="宋体" w:cs="Arial"/>
          <w:sz w:val="21"/>
          <w:szCs w:val="21"/>
          <w:lang w:eastAsia="zh-CN"/>
        </w:rPr>
        <w:t>2.2.2磋商小组要求响应单位澄清、说明或者更正响应文件应当以书面形式作出。响应单位的澄清、说明或者更正应当由法定代表人或授权代表人签字或者加盖公章。</w:t>
      </w:r>
    </w:p>
    <w:p w14:paraId="0043B221">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83" w:name="_Toc152045603"/>
      <w:bookmarkStart w:id="84" w:name="_Toc415575794"/>
      <w:bookmarkStart w:id="85" w:name="_Toc152042380"/>
      <w:bookmarkStart w:id="86" w:name="_Toc144974570"/>
      <w:bookmarkStart w:id="87" w:name="_Toc414277166"/>
      <w:bookmarkStart w:id="88" w:name="_Toc414112654"/>
      <w:bookmarkStart w:id="89" w:name="_Toc439194051"/>
      <w:bookmarkStart w:id="90" w:name="_Toc443895880"/>
      <w:r>
        <w:rPr>
          <w:rFonts w:ascii="宋体" w:hAnsi="宋体"/>
          <w:sz w:val="21"/>
          <w:szCs w:val="21"/>
          <w:lang w:eastAsia="zh-CN"/>
        </w:rPr>
        <w:t xml:space="preserve">2.3 </w:t>
      </w:r>
      <w:bookmarkEnd w:id="83"/>
      <w:bookmarkEnd w:id="84"/>
      <w:bookmarkEnd w:id="85"/>
      <w:bookmarkEnd w:id="86"/>
      <w:bookmarkEnd w:id="87"/>
      <w:bookmarkEnd w:id="88"/>
      <w:r>
        <w:rPr>
          <w:rFonts w:ascii="宋体" w:hAnsi="宋体"/>
          <w:sz w:val="21"/>
          <w:szCs w:val="21"/>
          <w:lang w:eastAsia="zh-CN"/>
        </w:rPr>
        <w:t>比较与评价</w:t>
      </w:r>
      <w:bookmarkEnd w:id="89"/>
      <w:bookmarkEnd w:id="90"/>
    </w:p>
    <w:p w14:paraId="71B3CF03">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Arial"/>
          <w:sz w:val="21"/>
          <w:szCs w:val="21"/>
          <w:lang w:eastAsia="zh-CN"/>
        </w:rPr>
      </w:pPr>
      <w:r>
        <w:rPr>
          <w:rFonts w:hint="eastAsia" w:ascii="宋体" w:hAnsi="宋体" w:cs="Arial"/>
          <w:sz w:val="21"/>
          <w:szCs w:val="21"/>
          <w:lang w:eastAsia="zh-CN"/>
        </w:rPr>
        <w:t>2.3.1按磋商文件中规定的评标方法和标准，对资格性检查和符合性检查合格的响应文件进行详细评审，详细评审评审标准：见评审方法前附表。</w:t>
      </w:r>
    </w:p>
    <w:p w14:paraId="66987436">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Arial"/>
          <w:sz w:val="21"/>
          <w:szCs w:val="21"/>
          <w:lang w:eastAsia="zh-CN"/>
        </w:rPr>
      </w:pPr>
      <w:r>
        <w:rPr>
          <w:rFonts w:hint="eastAsia" w:ascii="宋体" w:hAnsi="宋体" w:cs="Arial"/>
          <w:sz w:val="21"/>
          <w:szCs w:val="21"/>
          <w:lang w:eastAsia="zh-CN"/>
        </w:rPr>
        <w:t>2.3.2磋商</w:t>
      </w:r>
      <w:r>
        <w:rPr>
          <w:rFonts w:ascii="宋体" w:hAnsi="宋体" w:cs="Arial"/>
          <w:sz w:val="21"/>
          <w:szCs w:val="21"/>
          <w:lang w:eastAsia="zh-CN"/>
        </w:rPr>
        <w:t>小组按规定的量化指标和分值进行打分，并计算出综合评审得分。</w:t>
      </w:r>
    </w:p>
    <w:p w14:paraId="51C38E53">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Arial"/>
          <w:sz w:val="21"/>
          <w:szCs w:val="21"/>
          <w:lang w:eastAsia="zh-CN"/>
        </w:rPr>
      </w:pPr>
      <w:r>
        <w:rPr>
          <w:rFonts w:hint="eastAsia" w:ascii="宋体" w:hAnsi="宋体" w:cs="Arial"/>
          <w:sz w:val="21"/>
          <w:szCs w:val="21"/>
          <w:lang w:eastAsia="zh-CN"/>
        </w:rPr>
        <w:t>2.3.3</w:t>
      </w:r>
      <w:r>
        <w:rPr>
          <w:rFonts w:ascii="宋体" w:hAnsi="宋体" w:cs="Arial"/>
          <w:sz w:val="21"/>
          <w:szCs w:val="21"/>
          <w:lang w:eastAsia="zh-CN"/>
        </w:rPr>
        <w:t>汇总全体</w:t>
      </w:r>
      <w:r>
        <w:rPr>
          <w:rFonts w:hint="eastAsia" w:ascii="宋体" w:hAnsi="宋体" w:cs="Arial"/>
          <w:sz w:val="21"/>
          <w:szCs w:val="21"/>
          <w:lang w:eastAsia="zh-CN"/>
        </w:rPr>
        <w:t>磋商小组</w:t>
      </w:r>
      <w:r>
        <w:rPr>
          <w:rFonts w:ascii="宋体" w:hAnsi="宋体" w:cs="Arial"/>
          <w:sz w:val="21"/>
          <w:szCs w:val="21"/>
          <w:lang w:eastAsia="zh-CN"/>
        </w:rPr>
        <w:t>对各</w:t>
      </w:r>
      <w:r>
        <w:rPr>
          <w:rFonts w:hint="eastAsia" w:ascii="宋体" w:hAnsi="宋体" w:cs="Arial"/>
          <w:sz w:val="21"/>
          <w:szCs w:val="21"/>
          <w:lang w:eastAsia="zh-CN"/>
        </w:rPr>
        <w:t>响应单位</w:t>
      </w:r>
      <w:r>
        <w:rPr>
          <w:rFonts w:ascii="宋体" w:hAnsi="宋体" w:cs="Arial"/>
          <w:sz w:val="21"/>
          <w:szCs w:val="21"/>
          <w:lang w:eastAsia="zh-CN"/>
        </w:rPr>
        <w:t>的打分并计算算术平均值，即</w:t>
      </w:r>
      <w:r>
        <w:rPr>
          <w:rFonts w:hint="eastAsia" w:ascii="宋体" w:hAnsi="宋体" w:cs="Arial"/>
          <w:sz w:val="21"/>
          <w:szCs w:val="21"/>
          <w:lang w:eastAsia="zh-CN"/>
        </w:rPr>
        <w:t>响应单位</w:t>
      </w:r>
      <w:r>
        <w:rPr>
          <w:rFonts w:ascii="宋体" w:hAnsi="宋体" w:cs="Arial"/>
          <w:sz w:val="21"/>
          <w:szCs w:val="21"/>
          <w:lang w:eastAsia="zh-CN"/>
        </w:rPr>
        <w:t>的最终评</w:t>
      </w:r>
      <w:r>
        <w:rPr>
          <w:rFonts w:hint="eastAsia" w:ascii="宋体" w:hAnsi="宋体" w:cs="Arial"/>
          <w:sz w:val="21"/>
          <w:szCs w:val="21"/>
          <w:lang w:eastAsia="zh-CN"/>
        </w:rPr>
        <w:t>审</w:t>
      </w:r>
      <w:r>
        <w:rPr>
          <w:rFonts w:ascii="宋体" w:hAnsi="宋体" w:cs="Arial"/>
          <w:sz w:val="21"/>
          <w:szCs w:val="21"/>
          <w:lang w:eastAsia="zh-CN"/>
        </w:rPr>
        <w:t>得分；</w:t>
      </w:r>
    </w:p>
    <w:p w14:paraId="08AD51A8">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Arial"/>
          <w:sz w:val="21"/>
          <w:szCs w:val="21"/>
          <w:lang w:eastAsia="zh-CN"/>
        </w:rPr>
      </w:pPr>
      <w:r>
        <w:rPr>
          <w:rFonts w:hint="eastAsia" w:ascii="宋体" w:hAnsi="宋体" w:cs="Arial"/>
          <w:sz w:val="21"/>
          <w:szCs w:val="21"/>
          <w:lang w:eastAsia="zh-CN"/>
        </w:rPr>
        <w:t xml:space="preserve">2.3.4 </w:t>
      </w:r>
      <w:r>
        <w:rPr>
          <w:rFonts w:ascii="宋体" w:hAnsi="宋体" w:cs="Arial"/>
          <w:sz w:val="21"/>
          <w:szCs w:val="21"/>
          <w:lang w:eastAsia="zh-CN"/>
        </w:rPr>
        <w:t>评分分值计算保留小数点后两位，小数点后第三位“四舍五入”。</w:t>
      </w:r>
    </w:p>
    <w:p w14:paraId="69376D5F">
      <w:pPr>
        <w:pStyle w:val="3"/>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ascii="宋体" w:hAnsi="宋体" w:eastAsia="宋体"/>
          <w:b/>
          <w:sz w:val="21"/>
          <w:szCs w:val="21"/>
          <w:lang w:eastAsia="zh-CN"/>
        </w:rPr>
      </w:pPr>
      <w:bookmarkStart w:id="91" w:name="_Toc24773"/>
      <w:bookmarkStart w:id="92" w:name="_Toc414112655"/>
      <w:bookmarkStart w:id="93" w:name="_Toc152042381"/>
      <w:bookmarkStart w:id="94" w:name="_Toc152045604"/>
      <w:bookmarkStart w:id="95" w:name="_Toc415575795"/>
      <w:bookmarkStart w:id="96" w:name="_Toc414277167"/>
      <w:bookmarkStart w:id="97" w:name="_Toc144974571"/>
      <w:bookmarkStart w:id="98" w:name="_Toc443895881"/>
      <w:bookmarkStart w:id="99" w:name="_Toc15975"/>
      <w:r>
        <w:rPr>
          <w:rFonts w:ascii="宋体" w:hAnsi="宋体" w:eastAsia="宋体"/>
          <w:b/>
          <w:sz w:val="21"/>
          <w:szCs w:val="21"/>
          <w:lang w:eastAsia="zh-CN"/>
        </w:rPr>
        <w:t>3.评审程序</w:t>
      </w:r>
      <w:bookmarkEnd w:id="91"/>
      <w:bookmarkEnd w:id="92"/>
      <w:bookmarkEnd w:id="93"/>
      <w:bookmarkEnd w:id="94"/>
      <w:bookmarkEnd w:id="95"/>
      <w:bookmarkEnd w:id="96"/>
      <w:bookmarkEnd w:id="97"/>
      <w:bookmarkEnd w:id="98"/>
      <w:bookmarkEnd w:id="99"/>
    </w:p>
    <w:p w14:paraId="22024EDC">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100" w:name="_Toc415575796"/>
      <w:bookmarkStart w:id="101" w:name="_Toc186595226"/>
      <w:bookmarkStart w:id="102" w:name="_Toc443895882"/>
      <w:bookmarkStart w:id="103" w:name="_Toc439194053"/>
      <w:r>
        <w:rPr>
          <w:rFonts w:ascii="宋体" w:hAnsi="宋体"/>
          <w:sz w:val="21"/>
          <w:szCs w:val="21"/>
          <w:lang w:eastAsia="zh-CN"/>
        </w:rPr>
        <w:t>3.1</w:t>
      </w:r>
      <w:bookmarkEnd w:id="100"/>
      <w:bookmarkEnd w:id="101"/>
      <w:r>
        <w:rPr>
          <w:rFonts w:ascii="宋体" w:hAnsi="宋体"/>
          <w:sz w:val="21"/>
          <w:szCs w:val="21"/>
          <w:lang w:eastAsia="zh-CN"/>
        </w:rPr>
        <w:t>响应文件初审</w:t>
      </w:r>
      <w:bookmarkEnd w:id="102"/>
      <w:bookmarkEnd w:id="103"/>
    </w:p>
    <w:p w14:paraId="0C6EE926">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磋商小组依据本章第2.1项规定的检查标准，对响应文件进行初审。有一项不符合检查标准的，其磋商将被拒绝，不能进入后续评审或磋商程序。</w:t>
      </w:r>
    </w:p>
    <w:p w14:paraId="07E9911B">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104" w:name="_Toc443895883"/>
      <w:bookmarkStart w:id="105" w:name="_Toc439194054"/>
      <w:r>
        <w:rPr>
          <w:rFonts w:ascii="宋体" w:hAnsi="宋体"/>
          <w:sz w:val="21"/>
          <w:szCs w:val="21"/>
          <w:lang w:eastAsia="zh-CN"/>
        </w:rPr>
        <w:t>3.</w:t>
      </w:r>
      <w:r>
        <w:rPr>
          <w:rFonts w:hint="eastAsia" w:ascii="宋体" w:hAnsi="宋体"/>
          <w:sz w:val="21"/>
          <w:szCs w:val="21"/>
          <w:lang w:eastAsia="zh-CN"/>
        </w:rPr>
        <w:t>2</w:t>
      </w:r>
      <w:r>
        <w:rPr>
          <w:rFonts w:ascii="宋体" w:hAnsi="宋体"/>
          <w:sz w:val="21"/>
          <w:szCs w:val="21"/>
          <w:lang w:eastAsia="zh-CN"/>
        </w:rPr>
        <w:t>磋商</w:t>
      </w:r>
      <w:bookmarkEnd w:id="104"/>
      <w:bookmarkEnd w:id="105"/>
    </w:p>
    <w:p w14:paraId="7615A5BD">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磋商程序详见</w:t>
      </w:r>
      <w:r>
        <w:rPr>
          <w:rFonts w:hint="eastAsia" w:ascii="宋体" w:hAnsi="宋体" w:cs="Times New Roman"/>
          <w:sz w:val="21"/>
          <w:szCs w:val="21"/>
          <w:lang w:eastAsia="zh-CN"/>
        </w:rPr>
        <w:t>响应单位</w:t>
      </w:r>
      <w:r>
        <w:rPr>
          <w:rFonts w:ascii="宋体" w:hAnsi="宋体" w:cs="Times New Roman"/>
          <w:sz w:val="21"/>
          <w:szCs w:val="21"/>
          <w:lang w:eastAsia="zh-CN"/>
        </w:rPr>
        <w:t>须知。</w:t>
      </w:r>
    </w:p>
    <w:p w14:paraId="2CF634F2">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106" w:name="_Toc439194055"/>
      <w:bookmarkStart w:id="107" w:name="_Toc443895884"/>
      <w:r>
        <w:rPr>
          <w:rFonts w:ascii="宋体" w:hAnsi="宋体"/>
          <w:sz w:val="21"/>
          <w:szCs w:val="21"/>
          <w:lang w:eastAsia="zh-CN"/>
        </w:rPr>
        <w:t>3.</w:t>
      </w:r>
      <w:r>
        <w:rPr>
          <w:rFonts w:hint="eastAsia" w:ascii="宋体" w:hAnsi="宋体"/>
          <w:sz w:val="21"/>
          <w:szCs w:val="21"/>
          <w:lang w:eastAsia="zh-CN"/>
        </w:rPr>
        <w:t>3</w:t>
      </w:r>
      <w:r>
        <w:rPr>
          <w:rFonts w:ascii="宋体" w:hAnsi="宋体"/>
          <w:sz w:val="21"/>
          <w:szCs w:val="21"/>
          <w:lang w:eastAsia="zh-CN"/>
        </w:rPr>
        <w:t>澄清及算术修正</w:t>
      </w:r>
      <w:bookmarkEnd w:id="106"/>
      <w:bookmarkEnd w:id="107"/>
    </w:p>
    <w:p w14:paraId="2B390D6D">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hint="eastAsia" w:ascii="宋体" w:hAnsi="宋体" w:cs="Times New Roman"/>
          <w:sz w:val="21"/>
          <w:szCs w:val="21"/>
          <w:lang w:eastAsia="zh-CN"/>
        </w:rPr>
        <w:t>响应单位</w:t>
      </w:r>
      <w:r>
        <w:rPr>
          <w:rFonts w:ascii="宋体" w:hAnsi="宋体" w:cs="Times New Roman"/>
          <w:sz w:val="21"/>
          <w:szCs w:val="21"/>
          <w:lang w:eastAsia="zh-CN"/>
        </w:rPr>
        <w:t>按照磋商小组和磋商文件的要求进行问题澄清。算术修正的要求和原则详见</w:t>
      </w:r>
      <w:r>
        <w:rPr>
          <w:rFonts w:hint="eastAsia" w:ascii="宋体" w:hAnsi="宋体" w:cs="Times New Roman"/>
          <w:sz w:val="21"/>
          <w:szCs w:val="21"/>
          <w:lang w:eastAsia="zh-CN"/>
        </w:rPr>
        <w:t>响应单位</w:t>
      </w:r>
      <w:r>
        <w:rPr>
          <w:rFonts w:ascii="宋体" w:hAnsi="宋体" w:cs="Times New Roman"/>
          <w:sz w:val="21"/>
          <w:szCs w:val="21"/>
          <w:lang w:eastAsia="zh-CN"/>
        </w:rPr>
        <w:t>须知。</w:t>
      </w:r>
    </w:p>
    <w:p w14:paraId="4528BDB5">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108" w:name="_Toc443895885"/>
      <w:bookmarkStart w:id="109" w:name="_Toc439194056"/>
      <w:r>
        <w:rPr>
          <w:rFonts w:ascii="宋体" w:hAnsi="宋体"/>
          <w:sz w:val="21"/>
          <w:szCs w:val="21"/>
          <w:lang w:eastAsia="zh-CN"/>
        </w:rPr>
        <w:t>3.4比较与评价</w:t>
      </w:r>
      <w:bookmarkEnd w:id="108"/>
      <w:bookmarkEnd w:id="109"/>
    </w:p>
    <w:p w14:paraId="5AD4A113">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磋商小组按照评审方法前附表进行比较和评价，评分分值计算保留小数点后两位，小数点后第三位 “四舍五入”。</w:t>
      </w:r>
    </w:p>
    <w:p w14:paraId="13479951">
      <w:pPr>
        <w:keepNext w:val="0"/>
        <w:keepLines w:val="0"/>
        <w:pageBreakBefore w:val="0"/>
        <w:widowControl w:val="0"/>
        <w:kinsoku/>
        <w:wordWrap/>
        <w:overflowPunct/>
        <w:topLinePunct w:val="0"/>
        <w:autoSpaceDE/>
        <w:autoSpaceDN/>
        <w:bidi w:val="0"/>
        <w:adjustRightInd w:val="0"/>
        <w:snapToGrid w:val="0"/>
        <w:spacing w:line="390" w:lineRule="exact"/>
        <w:ind w:firstLine="284"/>
        <w:textAlignment w:val="auto"/>
        <w:rPr>
          <w:rFonts w:ascii="宋体" w:hAnsi="宋体"/>
          <w:sz w:val="21"/>
          <w:szCs w:val="21"/>
          <w:lang w:eastAsia="zh-CN"/>
        </w:rPr>
      </w:pPr>
      <w:bookmarkStart w:id="110" w:name="_Toc443895886"/>
      <w:bookmarkStart w:id="111" w:name="_Toc439194057"/>
      <w:r>
        <w:rPr>
          <w:rFonts w:ascii="宋体" w:hAnsi="宋体"/>
          <w:sz w:val="21"/>
          <w:szCs w:val="21"/>
          <w:lang w:eastAsia="zh-CN"/>
        </w:rPr>
        <w:t>3.5推荐成交候选</w:t>
      </w:r>
      <w:r>
        <w:rPr>
          <w:rFonts w:hint="eastAsia" w:ascii="宋体" w:hAnsi="宋体"/>
          <w:sz w:val="21"/>
          <w:szCs w:val="21"/>
          <w:lang w:eastAsia="zh-CN"/>
        </w:rPr>
        <w:t>响应单位</w:t>
      </w:r>
      <w:r>
        <w:rPr>
          <w:rFonts w:ascii="宋体" w:hAnsi="宋体"/>
          <w:sz w:val="21"/>
          <w:szCs w:val="21"/>
          <w:lang w:eastAsia="zh-CN"/>
        </w:rPr>
        <w:t>名单</w:t>
      </w:r>
      <w:bookmarkEnd w:id="110"/>
      <w:bookmarkEnd w:id="111"/>
    </w:p>
    <w:p w14:paraId="34C5DC92">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3.5.1磋商小组按照综合评审得分由高到低的顺序推荐候选</w:t>
      </w:r>
      <w:r>
        <w:rPr>
          <w:rFonts w:hint="eastAsia" w:ascii="宋体" w:hAnsi="宋体" w:cs="Times New Roman"/>
          <w:sz w:val="21"/>
          <w:szCs w:val="21"/>
          <w:lang w:eastAsia="zh-CN"/>
        </w:rPr>
        <w:t>响应单位</w:t>
      </w:r>
      <w:r>
        <w:rPr>
          <w:rFonts w:ascii="宋体" w:hAnsi="宋体" w:cs="Times New Roman"/>
          <w:sz w:val="21"/>
          <w:szCs w:val="21"/>
          <w:lang w:eastAsia="zh-CN"/>
        </w:rPr>
        <w:t>。</w:t>
      </w:r>
    </w:p>
    <w:p w14:paraId="47BB0F14">
      <w:pPr>
        <w:keepNext w:val="0"/>
        <w:keepLines w:val="0"/>
        <w:pageBreakBefore w:val="0"/>
        <w:widowControl w:val="0"/>
        <w:kinsoku/>
        <w:wordWrap/>
        <w:overflowPunct/>
        <w:topLinePunct w:val="0"/>
        <w:autoSpaceDE/>
        <w:autoSpaceDN/>
        <w:bidi w:val="0"/>
        <w:adjustRightInd w:val="0"/>
        <w:snapToGrid w:val="0"/>
        <w:spacing w:line="390" w:lineRule="exact"/>
        <w:ind w:firstLine="450"/>
        <w:textAlignment w:val="auto"/>
        <w:rPr>
          <w:rFonts w:ascii="宋体" w:hAnsi="宋体" w:cs="Times New Roman"/>
          <w:sz w:val="21"/>
          <w:szCs w:val="21"/>
          <w:lang w:eastAsia="zh-CN"/>
        </w:rPr>
      </w:pPr>
      <w:r>
        <w:rPr>
          <w:rFonts w:ascii="宋体" w:hAnsi="宋体" w:cs="Times New Roman"/>
          <w:sz w:val="21"/>
          <w:szCs w:val="21"/>
          <w:lang w:eastAsia="zh-CN"/>
        </w:rPr>
        <w:t>3.5.2 磋商小组完成评审后，应当向采购人提交书面评审报告。</w:t>
      </w:r>
    </w:p>
    <w:p w14:paraId="7B677835">
      <w:pPr>
        <w:keepNext w:val="0"/>
        <w:keepLines w:val="0"/>
        <w:pageBreakBefore w:val="0"/>
        <w:widowControl w:val="0"/>
        <w:kinsoku/>
        <w:wordWrap/>
        <w:overflowPunct/>
        <w:topLinePunct w:val="0"/>
        <w:autoSpaceDE/>
        <w:autoSpaceDN/>
        <w:bidi w:val="0"/>
        <w:adjustRightInd w:val="0"/>
        <w:snapToGrid w:val="0"/>
        <w:spacing w:line="390" w:lineRule="exact"/>
        <w:ind w:firstLine="422" w:firstLineChars="200"/>
        <w:textAlignment w:val="auto"/>
        <w:rPr>
          <w:rFonts w:ascii="宋体" w:hAnsi="宋体" w:cs="Times New Roman"/>
          <w:sz w:val="21"/>
          <w:szCs w:val="21"/>
          <w:lang w:eastAsia="zh-CN"/>
        </w:rPr>
      </w:pPr>
      <w:r>
        <w:rPr>
          <w:rFonts w:hint="eastAsia" w:ascii="宋体" w:hAnsi="宋体" w:cs="Times New Roman"/>
          <w:b/>
          <w:bCs/>
          <w:sz w:val="21"/>
          <w:szCs w:val="21"/>
          <w:lang w:eastAsia="zh-CN"/>
        </w:rPr>
        <w:t>3.6评标结果汇总完成后，除下列情形外，任何人不得修改评标结果：</w:t>
      </w:r>
    </w:p>
    <w:p w14:paraId="50423D64">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ascii="宋体" w:hAnsi="宋体" w:cs="Times New Roman"/>
          <w:sz w:val="21"/>
          <w:szCs w:val="21"/>
          <w:lang w:eastAsia="zh-CN"/>
        </w:rPr>
      </w:pPr>
      <w:r>
        <w:rPr>
          <w:rFonts w:hint="eastAsia" w:ascii="宋体" w:hAnsi="宋体" w:cs="Times New Roman"/>
          <w:sz w:val="21"/>
          <w:szCs w:val="21"/>
          <w:lang w:eastAsia="zh-CN"/>
        </w:rPr>
        <w:t>　（一）分值汇总计算错误的；</w:t>
      </w:r>
    </w:p>
    <w:p w14:paraId="13285176">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ascii="宋体" w:hAnsi="宋体" w:cs="Times New Roman"/>
          <w:sz w:val="21"/>
          <w:szCs w:val="21"/>
          <w:lang w:eastAsia="zh-CN"/>
        </w:rPr>
      </w:pPr>
      <w:r>
        <w:rPr>
          <w:rFonts w:hint="eastAsia" w:ascii="宋体" w:hAnsi="宋体" w:cs="Times New Roman"/>
          <w:sz w:val="21"/>
          <w:szCs w:val="21"/>
          <w:lang w:eastAsia="zh-CN"/>
        </w:rPr>
        <w:t>　（二）分项评分超出评分标准范围的；</w:t>
      </w:r>
    </w:p>
    <w:p w14:paraId="1701A48B">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ascii="宋体" w:hAnsi="宋体" w:cs="Times New Roman"/>
          <w:sz w:val="21"/>
          <w:szCs w:val="21"/>
          <w:lang w:eastAsia="zh-CN"/>
        </w:rPr>
      </w:pPr>
      <w:r>
        <w:rPr>
          <w:rFonts w:hint="eastAsia" w:ascii="宋体" w:hAnsi="宋体" w:cs="Times New Roman"/>
          <w:sz w:val="21"/>
          <w:szCs w:val="21"/>
          <w:lang w:eastAsia="zh-CN"/>
        </w:rPr>
        <w:t>　（三）评标委员会成员对客观评审因素评分不一致的；</w:t>
      </w:r>
    </w:p>
    <w:p w14:paraId="04E5D182">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ascii="宋体" w:hAnsi="宋体" w:cs="Times New Roman"/>
          <w:sz w:val="21"/>
          <w:szCs w:val="21"/>
          <w:lang w:eastAsia="zh-CN"/>
        </w:rPr>
      </w:pPr>
      <w:r>
        <w:rPr>
          <w:rFonts w:hint="eastAsia" w:ascii="宋体" w:hAnsi="宋体" w:cs="Times New Roman"/>
          <w:sz w:val="21"/>
          <w:szCs w:val="21"/>
          <w:lang w:eastAsia="zh-CN"/>
        </w:rPr>
        <w:t>　（四）经评标委员会认定评分畸高、畸低的。</w:t>
      </w:r>
    </w:p>
    <w:p w14:paraId="16B2CD96">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ascii="宋体" w:hAnsi="宋体" w:cs="Times New Roman"/>
          <w:sz w:val="21"/>
          <w:szCs w:val="21"/>
          <w:lang w:eastAsia="zh-CN"/>
        </w:rPr>
      </w:pPr>
      <w:r>
        <w:rPr>
          <w:rFonts w:hint="eastAsia" w:ascii="宋体" w:hAnsi="宋体" w:cs="Times New Roman"/>
          <w:sz w:val="21"/>
          <w:szCs w:val="21"/>
          <w:lang w:eastAsia="zh-CN"/>
        </w:rPr>
        <w:t>评标报告签署前，经复核发现存在以上情形之一的，评标委员会应当当场修改评标结果，并在评标报告中记载；评标报告签署后，招标人或者采购代理机构发现存在以上情形之一的，应当组织原评标委员会进行重新评审，重新评审改变评标结果的，书面报告本级财政部门。</w:t>
      </w:r>
    </w:p>
    <w:p w14:paraId="0058717C">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ascii="宋体" w:hAnsi="宋体" w:cs="Times New Roman"/>
          <w:sz w:val="21"/>
          <w:szCs w:val="21"/>
          <w:lang w:eastAsia="zh-CN"/>
        </w:rPr>
      </w:pPr>
      <w:r>
        <w:rPr>
          <w:rFonts w:hint="eastAsia" w:ascii="宋体" w:hAnsi="宋体" w:cs="Times New Roman"/>
          <w:sz w:val="21"/>
          <w:szCs w:val="21"/>
          <w:lang w:eastAsia="zh-CN"/>
        </w:rPr>
        <w:t>响应单位对本条第一款情形提出质疑的，招标人或者采购代理机构可以组织原评标委员会进行重新评审，重新评审改变评标结果的，应当书面报告本级财政部门。</w:t>
      </w:r>
    </w:p>
    <w:p w14:paraId="27991E95">
      <w:pPr>
        <w:keepNext w:val="0"/>
        <w:keepLines w:val="0"/>
        <w:pageBreakBefore w:val="0"/>
        <w:widowControl w:val="0"/>
        <w:numPr>
          <w:ilvl w:val="0"/>
          <w:numId w:val="0"/>
        </w:numPr>
        <w:kinsoku/>
        <w:wordWrap/>
        <w:overflowPunct/>
        <w:topLinePunct w:val="0"/>
        <w:autoSpaceDE/>
        <w:autoSpaceDN/>
        <w:bidi w:val="0"/>
        <w:adjustRightInd w:val="0"/>
        <w:snapToGrid w:val="0"/>
        <w:spacing w:line="390" w:lineRule="exact"/>
        <w:jc w:val="center"/>
        <w:textAlignment w:val="auto"/>
        <w:outlineLvl w:val="0"/>
        <w:rPr>
          <w:rFonts w:hint="eastAsia" w:ascii="宋体" w:hAnsi="宋体" w:eastAsia="宋体"/>
          <w:b/>
          <w:bCs/>
          <w:color w:val="000000"/>
          <w:kern w:val="44"/>
          <w:sz w:val="32"/>
          <w:szCs w:val="44"/>
          <w:highlight w:val="yellow"/>
          <w:lang w:eastAsia="zh-CN"/>
        </w:rPr>
      </w:pPr>
      <w:r>
        <w:rPr>
          <w:rFonts w:ascii="宋体" w:hAnsi="宋体"/>
          <w:sz w:val="21"/>
          <w:szCs w:val="21"/>
          <w:lang w:eastAsia="zh-CN"/>
        </w:rPr>
        <w:br w:type="page"/>
      </w:r>
      <w:bookmarkStart w:id="112" w:name="_Toc7622"/>
      <w:bookmarkStart w:id="113" w:name="_Toc237686409"/>
      <w:bookmarkStart w:id="114" w:name="_Toc237686507"/>
      <w:bookmarkStart w:id="115" w:name="_Toc18697"/>
      <w:bookmarkStart w:id="116" w:name="_Toc228253499"/>
      <w:r>
        <w:rPr>
          <w:rFonts w:hint="eastAsia" w:ascii="宋体" w:hAnsi="宋体" w:eastAsia="宋体"/>
          <w:b/>
          <w:bCs/>
          <w:color w:val="000000"/>
          <w:kern w:val="44"/>
          <w:sz w:val="32"/>
          <w:szCs w:val="44"/>
          <w:highlight w:val="none"/>
          <w:lang w:val="en-US" w:eastAsia="zh-CN"/>
        </w:rPr>
        <w:t xml:space="preserve">第五章 </w:t>
      </w:r>
      <w:r>
        <w:rPr>
          <w:rFonts w:hint="eastAsia" w:ascii="宋体" w:hAnsi="宋体" w:eastAsia="宋体"/>
          <w:b/>
          <w:bCs/>
          <w:color w:val="000000"/>
          <w:kern w:val="44"/>
          <w:sz w:val="32"/>
          <w:szCs w:val="44"/>
          <w:highlight w:val="none"/>
          <w:lang w:eastAsia="zh-CN"/>
        </w:rPr>
        <w:t>采购内容及技术要求</w:t>
      </w:r>
      <w:bookmarkEnd w:id="112"/>
      <w:bookmarkEnd w:id="113"/>
      <w:bookmarkEnd w:id="114"/>
      <w:bookmarkEnd w:id="115"/>
      <w:bookmarkEnd w:id="116"/>
      <w:bookmarkStart w:id="117" w:name="_Toc443895887"/>
    </w:p>
    <w:p w14:paraId="34FCAE01">
      <w:pPr>
        <w:keepNext w:val="0"/>
        <w:keepLines w:val="0"/>
        <w:pageBreakBefore w:val="0"/>
        <w:widowControl w:val="0"/>
        <w:numPr>
          <w:ilvl w:val="0"/>
          <w:numId w:val="0"/>
        </w:numPr>
        <w:kinsoku/>
        <w:wordWrap/>
        <w:overflowPunct/>
        <w:topLinePunct w:val="0"/>
        <w:autoSpaceDE/>
        <w:autoSpaceDN/>
        <w:bidi w:val="0"/>
        <w:adjustRightInd w:val="0"/>
        <w:snapToGrid w:val="0"/>
        <w:spacing w:line="390" w:lineRule="exact"/>
        <w:textAlignment w:val="auto"/>
        <w:rPr>
          <w:rFonts w:hint="eastAsia" w:ascii="宋体" w:hAnsi="宋体" w:cs="Times New Roman"/>
          <w:b/>
          <w:bCs/>
          <w:sz w:val="21"/>
          <w:szCs w:val="21"/>
          <w:lang w:eastAsia="zh-CN"/>
        </w:rPr>
      </w:pPr>
      <w:bookmarkStart w:id="118" w:name="_Toc20484"/>
      <w:r>
        <w:rPr>
          <w:rFonts w:hint="eastAsia" w:ascii="宋体" w:hAnsi="宋体" w:cs="Times New Roman"/>
          <w:b/>
          <w:bCs/>
          <w:sz w:val="21"/>
          <w:szCs w:val="21"/>
          <w:lang w:eastAsia="zh-CN"/>
        </w:rPr>
        <w:t>一、项目背景</w:t>
      </w:r>
    </w:p>
    <w:p w14:paraId="74403127">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根据市委、市政府关于科学谋划“十五五”时期全市经济社会发展战略部署的工作要求，为系统规划未来五年我市现代综合交通运输体系的发展方向、目标任务和实施路径，市交通运输局拟启动《</w:t>
      </w:r>
      <w:r>
        <w:rPr>
          <w:rFonts w:hint="eastAsia" w:ascii="宋体" w:hAnsi="宋体" w:eastAsia="宋体" w:cs="Times New Roman"/>
          <w:sz w:val="21"/>
          <w:szCs w:val="21"/>
          <w:lang w:val="en-US" w:eastAsia="zh-CN"/>
        </w:rPr>
        <w:t>周口</w:t>
      </w:r>
      <w:r>
        <w:rPr>
          <w:rFonts w:hint="eastAsia" w:ascii="宋体" w:hAnsi="宋体" w:eastAsia="宋体" w:cs="Times New Roman"/>
          <w:sz w:val="21"/>
          <w:szCs w:val="21"/>
          <w:lang w:eastAsia="zh-CN"/>
        </w:rPr>
        <w:t>市“十五五”现代综合交通运输</w:t>
      </w:r>
      <w:r>
        <w:rPr>
          <w:rFonts w:hint="eastAsia" w:ascii="宋体" w:hAnsi="宋体" w:eastAsia="宋体" w:cs="Times New Roman"/>
          <w:sz w:val="21"/>
          <w:szCs w:val="21"/>
          <w:lang w:val="en-US" w:eastAsia="zh-CN"/>
        </w:rPr>
        <w:t>体系</w:t>
      </w:r>
      <w:r>
        <w:rPr>
          <w:rFonts w:hint="eastAsia" w:ascii="宋体" w:hAnsi="宋体" w:eastAsia="宋体" w:cs="Times New Roman"/>
          <w:sz w:val="21"/>
          <w:szCs w:val="21"/>
          <w:lang w:eastAsia="zh-CN"/>
        </w:rPr>
        <w:t>发展规划》（以下简称《规划》）编制工作。</w:t>
      </w:r>
    </w:p>
    <w:p w14:paraId="367F8F07">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十五五”时期是我市构建现代化综合立体交通网络、提升城市能级和竞争力的关键阶段。编制《规划》是贯彻落实国家交通强国战略、服务区域协调发展的重要举措，对优化交通资源配置、推动绿色低碳转型、提升运输服务效能具有重大意义。根据市委、市政府工作安排，我局作为牵头部门，需组织专业力量开展系统性研究，确保《规划》的科学性、前瞻性和可操作性。</w:t>
      </w:r>
    </w:p>
    <w:p w14:paraId="64940CFA">
      <w:pPr>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hint="eastAsia" w:ascii="宋体" w:hAnsi="宋体" w:cs="Times New Roman"/>
          <w:b/>
          <w:bCs/>
          <w:sz w:val="21"/>
          <w:szCs w:val="21"/>
          <w:lang w:eastAsia="zh-CN"/>
        </w:rPr>
      </w:pPr>
      <w:r>
        <w:rPr>
          <w:rFonts w:hint="eastAsia" w:ascii="宋体" w:hAnsi="宋体" w:cs="Times New Roman"/>
          <w:b/>
          <w:bCs/>
          <w:sz w:val="21"/>
          <w:szCs w:val="21"/>
          <w:lang w:eastAsia="zh-CN"/>
        </w:rPr>
        <w:t>二、项目主要内容</w:t>
      </w:r>
    </w:p>
    <w:p w14:paraId="61B71FCE">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《规划》编制工作主要包括</w:t>
      </w:r>
      <w:r>
        <w:rPr>
          <w:rFonts w:hint="eastAsia" w:ascii="宋体" w:hAnsi="宋体" w:eastAsia="宋体" w:cs="Times New Roman"/>
          <w:sz w:val="21"/>
          <w:szCs w:val="21"/>
          <w:lang w:val="en-US" w:eastAsia="zh-CN"/>
        </w:rPr>
        <w:t>5部分</w:t>
      </w:r>
      <w:r>
        <w:rPr>
          <w:rFonts w:hint="eastAsia" w:ascii="宋体" w:hAnsi="宋体" w:eastAsia="宋体" w:cs="Times New Roman"/>
          <w:sz w:val="21"/>
          <w:szCs w:val="21"/>
          <w:lang w:eastAsia="zh-CN"/>
        </w:rPr>
        <w:t>内容。</w:t>
      </w:r>
    </w:p>
    <w:p w14:paraId="721D0CB0">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一是</w:t>
      </w:r>
      <w:r>
        <w:rPr>
          <w:rFonts w:hint="eastAsia" w:ascii="宋体" w:hAnsi="宋体" w:eastAsia="宋体" w:cs="Times New Roman"/>
          <w:sz w:val="21"/>
          <w:szCs w:val="21"/>
          <w:lang w:eastAsia="zh-CN"/>
        </w:rPr>
        <w:t>基础研究。分析“十四五”交通运输发展成效，梳理存在问题，研判“十五五”发展形势与需求。</w:t>
      </w:r>
    </w:p>
    <w:p w14:paraId="572CCFDE">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二是</w:t>
      </w:r>
      <w:r>
        <w:rPr>
          <w:rFonts w:hint="eastAsia" w:ascii="宋体" w:hAnsi="宋体" w:eastAsia="宋体" w:cs="Times New Roman"/>
          <w:sz w:val="21"/>
          <w:szCs w:val="21"/>
          <w:lang w:eastAsia="zh-CN"/>
        </w:rPr>
        <w:t>目标体系。</w:t>
      </w:r>
      <w:r>
        <w:rPr>
          <w:rFonts w:hint="eastAsia" w:ascii="宋体" w:hAnsi="宋体" w:cs="Arial"/>
          <w:sz w:val="21"/>
          <w:szCs w:val="21"/>
          <w:highlight w:val="none"/>
          <w:lang w:eastAsia="zh-CN"/>
        </w:rPr>
        <w:t>明确综合交通网络布局、运输服务品质、智慧绿色发展等目标指标</w:t>
      </w:r>
      <w:r>
        <w:rPr>
          <w:rFonts w:hint="eastAsia" w:ascii="宋体" w:hAnsi="宋体" w:eastAsia="宋体" w:cs="Times New Roman"/>
          <w:sz w:val="21"/>
          <w:szCs w:val="21"/>
          <w:lang w:eastAsia="zh-CN"/>
        </w:rPr>
        <w:t>。</w:t>
      </w:r>
    </w:p>
    <w:p w14:paraId="4BA6BF40">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三是</w:t>
      </w:r>
      <w:r>
        <w:rPr>
          <w:rFonts w:hint="eastAsia" w:ascii="宋体" w:hAnsi="宋体" w:eastAsia="宋体" w:cs="Times New Roman"/>
          <w:sz w:val="21"/>
          <w:szCs w:val="21"/>
          <w:lang w:eastAsia="zh-CN"/>
        </w:rPr>
        <w:t>重点任务。</w:t>
      </w:r>
      <w:r>
        <w:rPr>
          <w:rFonts w:hint="eastAsia" w:ascii="宋体" w:hAnsi="宋体" w:cs="Arial"/>
          <w:sz w:val="21"/>
          <w:szCs w:val="21"/>
          <w:highlight w:val="none"/>
          <w:lang w:eastAsia="zh-CN"/>
        </w:rPr>
        <w:t>提出基础设施互联互通、多式联运协同、交通数智化等建设任务</w:t>
      </w:r>
      <w:r>
        <w:rPr>
          <w:rFonts w:hint="eastAsia" w:ascii="宋体" w:hAnsi="宋体" w:eastAsia="宋体" w:cs="Times New Roman"/>
          <w:sz w:val="21"/>
          <w:szCs w:val="21"/>
          <w:lang w:eastAsia="zh-CN"/>
        </w:rPr>
        <w:t>。</w:t>
      </w:r>
    </w:p>
    <w:p w14:paraId="623EF3BC">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四是</w:t>
      </w:r>
      <w:r>
        <w:rPr>
          <w:rFonts w:hint="eastAsia" w:ascii="宋体" w:hAnsi="宋体" w:eastAsia="宋体" w:cs="Times New Roman"/>
          <w:sz w:val="21"/>
          <w:szCs w:val="21"/>
          <w:lang w:eastAsia="zh-CN"/>
        </w:rPr>
        <w:t>政策保障。</w:t>
      </w:r>
      <w:r>
        <w:rPr>
          <w:rFonts w:hint="eastAsia" w:ascii="宋体" w:hAnsi="宋体" w:cs="Arial"/>
          <w:sz w:val="21"/>
          <w:szCs w:val="21"/>
          <w:highlight w:val="none"/>
          <w:lang w:eastAsia="zh-CN"/>
        </w:rPr>
        <w:t>制定实施机制、资金筹措、用地保障等配套措施</w:t>
      </w:r>
      <w:r>
        <w:rPr>
          <w:rFonts w:hint="eastAsia" w:ascii="宋体" w:hAnsi="宋体" w:eastAsia="宋体" w:cs="Times New Roman"/>
          <w:sz w:val="21"/>
          <w:szCs w:val="21"/>
          <w:lang w:eastAsia="zh-CN"/>
        </w:rPr>
        <w:t>。</w:t>
      </w:r>
    </w:p>
    <w:p w14:paraId="022DA130">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cs="Times New Roman"/>
          <w:b/>
          <w:bCs/>
          <w:sz w:val="21"/>
          <w:szCs w:val="21"/>
          <w:lang w:eastAsia="zh-CN"/>
        </w:rPr>
      </w:pPr>
      <w:r>
        <w:rPr>
          <w:rFonts w:hint="eastAsia" w:ascii="宋体" w:hAnsi="宋体" w:eastAsia="宋体" w:cs="Times New Roman"/>
          <w:sz w:val="21"/>
          <w:szCs w:val="21"/>
          <w:lang w:val="en-US" w:eastAsia="zh-CN"/>
        </w:rPr>
        <w:t>五是</w:t>
      </w:r>
      <w:r>
        <w:rPr>
          <w:rFonts w:hint="eastAsia" w:ascii="宋体" w:hAnsi="宋体" w:eastAsia="宋体" w:cs="Times New Roman"/>
          <w:sz w:val="21"/>
          <w:szCs w:val="21"/>
          <w:lang w:eastAsia="zh-CN"/>
        </w:rPr>
        <w:t>成果转化。</w:t>
      </w:r>
      <w:r>
        <w:rPr>
          <w:rFonts w:hint="eastAsia" w:ascii="宋体" w:hAnsi="宋体" w:cs="Arial"/>
          <w:sz w:val="21"/>
          <w:szCs w:val="21"/>
          <w:highlight w:val="none"/>
          <w:lang w:eastAsia="zh-CN"/>
        </w:rPr>
        <w:t>形成规划文本、图集、项目库</w:t>
      </w:r>
      <w:r>
        <w:rPr>
          <w:rFonts w:hint="eastAsia" w:ascii="宋体" w:hAnsi="宋体" w:eastAsia="宋体" w:cs="Times New Roman"/>
          <w:sz w:val="21"/>
          <w:szCs w:val="21"/>
          <w:lang w:eastAsia="zh-CN"/>
        </w:rPr>
        <w:t>。</w:t>
      </w:r>
    </w:p>
    <w:p w14:paraId="3EFCC0F7">
      <w:pPr>
        <w:keepNext w:val="0"/>
        <w:keepLines w:val="0"/>
        <w:pageBreakBefore w:val="0"/>
        <w:widowControl w:val="0"/>
        <w:kinsoku/>
        <w:wordWrap/>
        <w:overflowPunct/>
        <w:topLinePunct w:val="0"/>
        <w:autoSpaceDE/>
        <w:autoSpaceDN/>
        <w:bidi w:val="0"/>
        <w:adjustRightInd w:val="0"/>
        <w:snapToGrid w:val="0"/>
        <w:spacing w:line="390" w:lineRule="exact"/>
        <w:textAlignment w:val="auto"/>
        <w:rPr>
          <w:rFonts w:hint="eastAsia" w:ascii="宋体" w:hAnsi="宋体" w:cs="Times New Roman"/>
          <w:b/>
          <w:bCs/>
          <w:sz w:val="21"/>
          <w:szCs w:val="21"/>
          <w:lang w:eastAsia="zh-CN"/>
        </w:rPr>
      </w:pPr>
      <w:r>
        <w:rPr>
          <w:rFonts w:hint="eastAsia" w:ascii="宋体" w:hAnsi="宋体" w:cs="Times New Roman"/>
          <w:b/>
          <w:bCs/>
          <w:sz w:val="21"/>
          <w:szCs w:val="21"/>
          <w:lang w:eastAsia="zh-CN"/>
        </w:rPr>
        <w:t>三、研究要求</w:t>
      </w:r>
    </w:p>
    <w:p w14:paraId="4977A594">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cs="Times New Roman"/>
          <w:sz w:val="21"/>
          <w:szCs w:val="21"/>
          <w:lang w:eastAsia="zh-CN"/>
        </w:rPr>
      </w:pPr>
      <w:r>
        <w:rPr>
          <w:rFonts w:hint="eastAsia" w:ascii="宋体" w:hAnsi="宋体" w:cs="Times New Roman"/>
          <w:sz w:val="21"/>
          <w:szCs w:val="21"/>
          <w:lang w:eastAsia="zh-CN"/>
        </w:rPr>
        <w:t>1.编制依据和技术标准：遵循国家及河南省有关交通运输发展的政策和规划等。</w:t>
      </w:r>
    </w:p>
    <w:p w14:paraId="74C033CB">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cs="Times New Roman"/>
          <w:sz w:val="21"/>
          <w:szCs w:val="21"/>
          <w:lang w:eastAsia="zh-CN"/>
        </w:rPr>
      </w:pPr>
      <w:r>
        <w:rPr>
          <w:rFonts w:hint="eastAsia" w:ascii="宋体" w:hAnsi="宋体" w:cs="Times New Roman"/>
          <w:sz w:val="21"/>
          <w:szCs w:val="21"/>
          <w:lang w:eastAsia="zh-CN"/>
        </w:rPr>
        <w:t>2.目标要求：规划成果满足</w:t>
      </w:r>
      <w:r>
        <w:rPr>
          <w:rFonts w:hint="eastAsia" w:ascii="宋体" w:hAnsi="宋体" w:cs="Times New Roman"/>
          <w:sz w:val="21"/>
          <w:szCs w:val="21"/>
          <w:lang w:val="en-US" w:eastAsia="zh-CN"/>
        </w:rPr>
        <w:t>周口市</w:t>
      </w:r>
      <w:r>
        <w:rPr>
          <w:rFonts w:hint="eastAsia" w:ascii="宋体" w:hAnsi="宋体" w:cs="Times New Roman"/>
          <w:sz w:val="21"/>
          <w:szCs w:val="21"/>
          <w:lang w:eastAsia="zh-CN"/>
        </w:rPr>
        <w:t>“十五五”期综合交通运输发展需求，为综合交通运输发展提供科学合理的目标、任务和保障措施等。</w:t>
      </w:r>
    </w:p>
    <w:p w14:paraId="4CA1BBAC">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cs="Times New Roman"/>
          <w:sz w:val="21"/>
          <w:szCs w:val="21"/>
          <w:lang w:eastAsia="zh-CN"/>
        </w:rPr>
      </w:pPr>
      <w:r>
        <w:rPr>
          <w:rFonts w:hint="eastAsia" w:ascii="宋体" w:hAnsi="宋体" w:cs="Times New Roman"/>
          <w:sz w:val="21"/>
          <w:szCs w:val="21"/>
          <w:lang w:eastAsia="zh-CN"/>
        </w:rPr>
        <w:t>3.整体要求：规划要有系统性，整体考虑交通运输发展的各环节方面；前瞻性，充分考虑未来交通运输体系发展的趋势需求；可行性，结合实际确保规划方案具有可操作性；协调性，加强与其他相关规划的协调。</w:t>
      </w:r>
    </w:p>
    <w:p w14:paraId="7F40A4C7">
      <w:pPr>
        <w:keepNext w:val="0"/>
        <w:keepLines w:val="0"/>
        <w:pageBreakBefore w:val="0"/>
        <w:widowControl w:val="0"/>
        <w:kinsoku/>
        <w:wordWrap/>
        <w:overflowPunct/>
        <w:topLinePunct w:val="0"/>
        <w:autoSpaceDE/>
        <w:autoSpaceDN/>
        <w:bidi w:val="0"/>
        <w:adjustRightInd w:val="0"/>
        <w:snapToGrid w:val="0"/>
        <w:spacing w:line="390" w:lineRule="exact"/>
        <w:ind w:firstLine="420" w:firstLineChars="200"/>
        <w:textAlignment w:val="auto"/>
        <w:rPr>
          <w:rFonts w:hint="eastAsia" w:ascii="宋体" w:hAnsi="宋体" w:cs="Times New Roman"/>
          <w:sz w:val="21"/>
          <w:szCs w:val="21"/>
          <w:lang w:eastAsia="zh-CN"/>
        </w:rPr>
      </w:pPr>
      <w:r>
        <w:rPr>
          <w:rFonts w:hint="eastAsia" w:ascii="宋体" w:hAnsi="宋体" w:cs="Times New Roman"/>
          <w:sz w:val="21"/>
          <w:szCs w:val="21"/>
          <w:lang w:eastAsia="zh-CN"/>
        </w:rPr>
        <w:t>4.成果要求：包括规划文本、图集、PPT等，规划成果需经过专家评审会、规委会等会议审议通过。</w:t>
      </w:r>
    </w:p>
    <w:p w14:paraId="77ED7CDA">
      <w:pPr>
        <w:rPr>
          <w:rFonts w:hint="eastAsia" w:ascii="宋体" w:hAnsi="宋体"/>
          <w:b/>
          <w:bCs/>
          <w:color w:val="000000"/>
          <w:kern w:val="44"/>
          <w:sz w:val="32"/>
          <w:szCs w:val="44"/>
          <w:lang w:eastAsia="zh-CN"/>
        </w:rPr>
      </w:pPr>
    </w:p>
    <w:p w14:paraId="1CB66F20">
      <w:pPr>
        <w:rPr>
          <w:rFonts w:hint="eastAsia" w:ascii="宋体" w:hAnsi="宋体"/>
          <w:b/>
          <w:bCs/>
          <w:color w:val="000000"/>
          <w:kern w:val="44"/>
          <w:sz w:val="32"/>
          <w:szCs w:val="44"/>
          <w:lang w:eastAsia="zh-CN"/>
        </w:rPr>
      </w:pPr>
      <w:r>
        <w:rPr>
          <w:rFonts w:hint="eastAsia" w:ascii="宋体" w:hAnsi="宋体"/>
          <w:b/>
          <w:bCs/>
          <w:color w:val="000000"/>
          <w:kern w:val="44"/>
          <w:sz w:val="32"/>
          <w:szCs w:val="44"/>
          <w:lang w:eastAsia="zh-CN"/>
        </w:rPr>
        <w:br w:type="page"/>
      </w:r>
    </w:p>
    <w:p w14:paraId="2C241FA6">
      <w:pPr>
        <w:overflowPunct w:val="0"/>
        <w:autoSpaceDE w:val="0"/>
        <w:autoSpaceDN w:val="0"/>
        <w:spacing w:line="560" w:lineRule="exact"/>
        <w:jc w:val="center"/>
        <w:outlineLvl w:val="0"/>
        <w:rPr>
          <w:rFonts w:ascii="宋体" w:hAnsi="宋体"/>
          <w:b/>
          <w:sz w:val="32"/>
          <w:szCs w:val="32"/>
          <w:lang w:eastAsia="zh-CN"/>
        </w:rPr>
      </w:pPr>
      <w:bookmarkStart w:id="119" w:name="_Toc14685"/>
      <w:r>
        <w:rPr>
          <w:rFonts w:hint="eastAsia" w:ascii="宋体" w:hAnsi="宋体"/>
          <w:b/>
          <w:bCs/>
          <w:color w:val="000000"/>
          <w:kern w:val="44"/>
          <w:sz w:val="32"/>
          <w:szCs w:val="44"/>
          <w:lang w:eastAsia="zh-CN"/>
        </w:rPr>
        <w:t xml:space="preserve">第六章 </w:t>
      </w:r>
      <w:r>
        <w:rPr>
          <w:rFonts w:ascii="宋体" w:hAnsi="宋体"/>
          <w:b/>
          <w:sz w:val="32"/>
          <w:szCs w:val="32"/>
          <w:lang w:eastAsia="zh-CN"/>
        </w:rPr>
        <w:t>响应文件格式</w:t>
      </w:r>
      <w:bookmarkEnd w:id="117"/>
      <w:bookmarkEnd w:id="118"/>
      <w:bookmarkEnd w:id="119"/>
    </w:p>
    <w:p w14:paraId="03C24B60">
      <w:pPr>
        <w:spacing w:line="360" w:lineRule="auto"/>
        <w:rPr>
          <w:rFonts w:ascii="宋体" w:hAnsi="宋体"/>
          <w:b/>
          <w:color w:val="000000"/>
          <w:sz w:val="24"/>
          <w:lang w:eastAsia="zh-CN"/>
        </w:rPr>
      </w:pPr>
      <w:r>
        <w:rPr>
          <w:rFonts w:hint="eastAsia" w:ascii="宋体" w:hAnsi="宋体"/>
          <w:b/>
          <w:color w:val="000000"/>
          <w:sz w:val="24"/>
          <w:lang w:eastAsia="zh-CN"/>
        </w:rPr>
        <w:t xml:space="preserve">                                                  </w:t>
      </w:r>
    </w:p>
    <w:p w14:paraId="728B685E">
      <w:pPr>
        <w:spacing w:line="360" w:lineRule="auto"/>
        <w:rPr>
          <w:rFonts w:ascii="宋体" w:hAnsi="宋体"/>
          <w:b/>
          <w:color w:val="000000"/>
          <w:sz w:val="44"/>
          <w:szCs w:val="44"/>
          <w:u w:val="single"/>
          <w:lang w:eastAsia="zh-CN"/>
        </w:rPr>
      </w:pPr>
    </w:p>
    <w:p w14:paraId="2F038938">
      <w:pPr>
        <w:spacing w:line="360" w:lineRule="auto"/>
        <w:jc w:val="center"/>
        <w:rPr>
          <w:rFonts w:ascii="宋体" w:hAnsi="宋体"/>
          <w:b/>
          <w:color w:val="000000"/>
          <w:sz w:val="44"/>
          <w:szCs w:val="44"/>
          <w:u w:val="single"/>
          <w:lang w:eastAsia="zh-CN"/>
        </w:rPr>
      </w:pPr>
      <w:r>
        <w:rPr>
          <w:rFonts w:hint="eastAsia" w:ascii="宋体" w:hAnsi="宋体"/>
          <w:b/>
          <w:bCs/>
          <w:color w:val="000000"/>
          <w:sz w:val="44"/>
          <w:szCs w:val="44"/>
          <w:u w:val="single"/>
          <w:lang w:eastAsia="zh-CN"/>
        </w:rPr>
        <w:t xml:space="preserve">     （项目名称）     </w:t>
      </w:r>
      <w:r>
        <w:rPr>
          <w:rFonts w:hint="eastAsia" w:ascii="宋体" w:hAnsi="宋体"/>
          <w:b/>
          <w:bCs/>
          <w:color w:val="000000"/>
          <w:sz w:val="44"/>
          <w:szCs w:val="44"/>
          <w:lang w:eastAsia="zh-CN"/>
        </w:rPr>
        <w:t>竞争性磋商</w:t>
      </w:r>
    </w:p>
    <w:p w14:paraId="265B82A8">
      <w:pPr>
        <w:spacing w:line="360" w:lineRule="auto"/>
        <w:rPr>
          <w:rFonts w:ascii="宋体" w:hAnsi="宋体"/>
          <w:b/>
          <w:color w:val="000000"/>
          <w:sz w:val="44"/>
          <w:szCs w:val="44"/>
          <w:lang w:eastAsia="zh-CN"/>
        </w:rPr>
      </w:pPr>
    </w:p>
    <w:p w14:paraId="3FE22E1B">
      <w:pPr>
        <w:spacing w:line="360" w:lineRule="auto"/>
        <w:rPr>
          <w:rFonts w:ascii="宋体" w:hAnsi="宋体"/>
          <w:b/>
          <w:color w:val="000000"/>
          <w:sz w:val="44"/>
          <w:szCs w:val="44"/>
          <w:lang w:eastAsia="zh-CN"/>
        </w:rPr>
      </w:pPr>
    </w:p>
    <w:p w14:paraId="277E9A86">
      <w:pPr>
        <w:spacing w:line="360" w:lineRule="auto"/>
        <w:rPr>
          <w:rFonts w:ascii="宋体" w:hAnsi="宋体"/>
          <w:b/>
          <w:color w:val="000000"/>
          <w:sz w:val="44"/>
          <w:szCs w:val="44"/>
          <w:lang w:eastAsia="zh-CN"/>
        </w:rPr>
      </w:pPr>
    </w:p>
    <w:p w14:paraId="1FBF737B">
      <w:pPr>
        <w:spacing w:line="360" w:lineRule="auto"/>
        <w:jc w:val="center"/>
        <w:rPr>
          <w:rFonts w:ascii="宋体" w:hAnsi="宋体"/>
          <w:b/>
          <w:color w:val="000000"/>
          <w:sz w:val="100"/>
          <w:szCs w:val="100"/>
          <w:lang w:eastAsia="zh-CN"/>
        </w:rPr>
      </w:pPr>
      <w:r>
        <w:rPr>
          <w:rFonts w:hint="eastAsia" w:ascii="宋体" w:hAnsi="宋体"/>
          <w:b/>
          <w:color w:val="000000"/>
          <w:sz w:val="100"/>
          <w:szCs w:val="100"/>
          <w:lang w:eastAsia="zh-CN"/>
        </w:rPr>
        <w:t>响 应 文 件</w:t>
      </w:r>
    </w:p>
    <w:p w14:paraId="76F72D97">
      <w:pPr>
        <w:spacing w:line="360" w:lineRule="auto"/>
        <w:ind w:firstLine="480" w:firstLineChars="200"/>
        <w:rPr>
          <w:rFonts w:ascii="宋体" w:hAnsi="宋体"/>
          <w:color w:val="000000"/>
          <w:sz w:val="24"/>
          <w:lang w:eastAsia="zh-CN"/>
        </w:rPr>
      </w:pPr>
    </w:p>
    <w:p w14:paraId="3D237A15">
      <w:pPr>
        <w:spacing w:line="360" w:lineRule="auto"/>
        <w:ind w:firstLine="480" w:firstLineChars="200"/>
        <w:rPr>
          <w:rFonts w:ascii="宋体" w:hAnsi="宋体"/>
          <w:color w:val="000000"/>
          <w:sz w:val="24"/>
          <w:lang w:eastAsia="zh-CN"/>
        </w:rPr>
      </w:pPr>
    </w:p>
    <w:p w14:paraId="1FF6E950">
      <w:pPr>
        <w:spacing w:line="360" w:lineRule="auto"/>
        <w:ind w:firstLine="480" w:firstLineChars="200"/>
        <w:rPr>
          <w:rFonts w:ascii="宋体" w:hAnsi="宋体"/>
          <w:color w:val="000000"/>
          <w:sz w:val="24"/>
          <w:lang w:eastAsia="zh-CN"/>
        </w:rPr>
      </w:pPr>
    </w:p>
    <w:p w14:paraId="0CF7D66C">
      <w:pPr>
        <w:spacing w:line="360" w:lineRule="auto"/>
        <w:ind w:firstLine="480" w:firstLineChars="200"/>
        <w:rPr>
          <w:rFonts w:ascii="宋体" w:hAnsi="宋体"/>
          <w:color w:val="000000"/>
          <w:sz w:val="24"/>
          <w:lang w:eastAsia="zh-CN"/>
        </w:rPr>
      </w:pPr>
    </w:p>
    <w:p w14:paraId="104CF764">
      <w:pPr>
        <w:spacing w:line="360" w:lineRule="auto"/>
        <w:ind w:firstLine="480" w:firstLineChars="200"/>
        <w:rPr>
          <w:rFonts w:ascii="宋体" w:hAnsi="宋体"/>
          <w:color w:val="000000"/>
          <w:sz w:val="24"/>
          <w:lang w:eastAsia="zh-CN"/>
        </w:rPr>
      </w:pPr>
    </w:p>
    <w:p w14:paraId="2A88C9A4">
      <w:pPr>
        <w:spacing w:line="360" w:lineRule="auto"/>
        <w:ind w:firstLine="480" w:firstLineChars="200"/>
        <w:rPr>
          <w:rFonts w:ascii="宋体" w:hAnsi="宋体"/>
          <w:color w:val="000000"/>
          <w:sz w:val="24"/>
          <w:lang w:eastAsia="zh-CN"/>
        </w:rPr>
      </w:pPr>
    </w:p>
    <w:p w14:paraId="2FB6D9D1">
      <w:pPr>
        <w:spacing w:line="360" w:lineRule="auto"/>
        <w:ind w:firstLine="480" w:firstLineChars="200"/>
        <w:rPr>
          <w:rFonts w:ascii="宋体" w:hAnsi="宋体"/>
          <w:color w:val="000000"/>
          <w:sz w:val="24"/>
          <w:lang w:eastAsia="zh-CN"/>
        </w:rPr>
      </w:pPr>
    </w:p>
    <w:p w14:paraId="2BBE10A5">
      <w:pPr>
        <w:spacing w:line="360" w:lineRule="auto"/>
        <w:ind w:firstLine="480" w:firstLineChars="200"/>
        <w:rPr>
          <w:rFonts w:ascii="宋体" w:hAnsi="宋体"/>
          <w:color w:val="000000"/>
          <w:sz w:val="24"/>
          <w:lang w:eastAsia="zh-CN"/>
        </w:rPr>
      </w:pPr>
    </w:p>
    <w:p w14:paraId="6717C57F">
      <w:pPr>
        <w:spacing w:line="360" w:lineRule="auto"/>
        <w:ind w:firstLine="480" w:firstLineChars="200"/>
        <w:rPr>
          <w:rFonts w:ascii="宋体" w:hAnsi="宋体"/>
          <w:color w:val="000000"/>
          <w:sz w:val="24"/>
          <w:lang w:eastAsia="zh-CN"/>
        </w:rPr>
      </w:pPr>
    </w:p>
    <w:p w14:paraId="4AB3573F">
      <w:pPr>
        <w:spacing w:line="360" w:lineRule="auto"/>
        <w:ind w:firstLine="480" w:firstLineChars="200"/>
        <w:rPr>
          <w:rFonts w:ascii="宋体" w:hAnsi="宋体"/>
          <w:color w:val="000000"/>
          <w:sz w:val="24"/>
          <w:lang w:eastAsia="zh-CN"/>
        </w:rPr>
      </w:pPr>
    </w:p>
    <w:p w14:paraId="7B50CB85">
      <w:pPr>
        <w:spacing w:line="360" w:lineRule="auto"/>
        <w:ind w:firstLine="480" w:firstLineChars="200"/>
        <w:rPr>
          <w:rFonts w:ascii="宋体" w:hAnsi="宋体"/>
          <w:color w:val="000000"/>
          <w:sz w:val="24"/>
          <w:lang w:eastAsia="zh-CN"/>
        </w:rPr>
      </w:pPr>
    </w:p>
    <w:p w14:paraId="7FF7BDD8">
      <w:pPr>
        <w:spacing w:line="360" w:lineRule="auto"/>
        <w:jc w:val="center"/>
        <w:rPr>
          <w:rFonts w:ascii="宋体" w:hAnsi="宋体"/>
          <w:color w:val="000000"/>
          <w:sz w:val="30"/>
          <w:szCs w:val="30"/>
          <w:lang w:eastAsia="zh-CN"/>
        </w:rPr>
      </w:pPr>
      <w:r>
        <w:rPr>
          <w:rFonts w:hint="eastAsia" w:ascii="宋体" w:hAnsi="宋体"/>
          <w:color w:val="000000"/>
          <w:sz w:val="30"/>
          <w:szCs w:val="30"/>
          <w:lang w:eastAsia="zh-CN"/>
        </w:rPr>
        <w:t xml:space="preserve"> 响应单位：</w:t>
      </w:r>
      <w:r>
        <w:rPr>
          <w:rFonts w:hint="eastAsia" w:ascii="宋体" w:hAnsi="宋体"/>
          <w:color w:val="000000"/>
          <w:sz w:val="30"/>
          <w:szCs w:val="30"/>
          <w:u w:val="single"/>
          <w:lang w:eastAsia="zh-CN"/>
        </w:rPr>
        <w:t xml:space="preserve">                          </w:t>
      </w:r>
      <w:r>
        <w:rPr>
          <w:rFonts w:hint="eastAsia" w:ascii="宋体" w:hAnsi="宋体"/>
          <w:color w:val="000000"/>
          <w:sz w:val="30"/>
          <w:szCs w:val="30"/>
          <w:lang w:eastAsia="zh-CN"/>
        </w:rPr>
        <w:t>（盖单位公章）</w:t>
      </w:r>
    </w:p>
    <w:p w14:paraId="7DB31DC4">
      <w:pPr>
        <w:spacing w:line="360" w:lineRule="auto"/>
        <w:jc w:val="center"/>
        <w:rPr>
          <w:rFonts w:ascii="宋体" w:hAnsi="宋体"/>
          <w:color w:val="000000"/>
          <w:sz w:val="30"/>
          <w:szCs w:val="30"/>
          <w:lang w:eastAsia="zh-CN"/>
        </w:rPr>
      </w:pPr>
      <w:r>
        <w:rPr>
          <w:rFonts w:hint="eastAsia" w:ascii="宋体" w:hAnsi="宋体"/>
          <w:color w:val="000000"/>
          <w:sz w:val="30"/>
          <w:szCs w:val="30"/>
          <w:lang w:eastAsia="zh-CN"/>
        </w:rPr>
        <w:t>法定代表人或其委托代理人：</w:t>
      </w:r>
      <w:r>
        <w:rPr>
          <w:rFonts w:hint="eastAsia" w:ascii="宋体" w:hAnsi="宋体"/>
          <w:color w:val="000000"/>
          <w:sz w:val="30"/>
          <w:szCs w:val="30"/>
          <w:u w:val="single"/>
          <w:lang w:eastAsia="zh-CN"/>
        </w:rPr>
        <w:t xml:space="preserve">             </w:t>
      </w:r>
      <w:r>
        <w:rPr>
          <w:rFonts w:hint="eastAsia" w:ascii="宋体" w:hAnsi="宋体"/>
          <w:color w:val="000000"/>
          <w:sz w:val="30"/>
          <w:szCs w:val="30"/>
          <w:lang w:eastAsia="zh-CN"/>
        </w:rPr>
        <w:t>（签字）</w:t>
      </w:r>
    </w:p>
    <w:p w14:paraId="669BE5A0">
      <w:pPr>
        <w:spacing w:line="360" w:lineRule="auto"/>
        <w:jc w:val="center"/>
        <w:rPr>
          <w:rFonts w:ascii="宋体" w:hAnsi="宋体"/>
          <w:color w:val="000000"/>
          <w:sz w:val="30"/>
          <w:szCs w:val="30"/>
          <w:lang w:eastAsia="zh-CN"/>
        </w:rPr>
      </w:pPr>
      <w:r>
        <w:rPr>
          <w:rFonts w:hint="eastAsia" w:ascii="宋体" w:hAnsi="宋体"/>
          <w:color w:val="000000"/>
          <w:sz w:val="30"/>
          <w:szCs w:val="30"/>
          <w:u w:val="single"/>
          <w:lang w:eastAsia="zh-CN"/>
        </w:rPr>
        <w:t xml:space="preserve">       </w:t>
      </w:r>
      <w:r>
        <w:rPr>
          <w:rFonts w:hint="eastAsia" w:ascii="宋体" w:hAnsi="宋体"/>
          <w:color w:val="000000"/>
          <w:sz w:val="30"/>
          <w:szCs w:val="30"/>
          <w:lang w:eastAsia="zh-CN"/>
        </w:rPr>
        <w:t>年</w:t>
      </w:r>
      <w:r>
        <w:rPr>
          <w:rFonts w:hint="eastAsia" w:ascii="宋体" w:hAnsi="宋体"/>
          <w:color w:val="000000"/>
          <w:sz w:val="30"/>
          <w:szCs w:val="30"/>
          <w:u w:val="single"/>
          <w:lang w:eastAsia="zh-CN"/>
        </w:rPr>
        <w:t xml:space="preserve">     </w:t>
      </w:r>
      <w:r>
        <w:rPr>
          <w:rFonts w:hint="eastAsia" w:ascii="宋体" w:hAnsi="宋体"/>
          <w:color w:val="000000"/>
          <w:sz w:val="30"/>
          <w:szCs w:val="30"/>
          <w:lang w:eastAsia="zh-CN"/>
        </w:rPr>
        <w:t>月</w:t>
      </w:r>
      <w:r>
        <w:rPr>
          <w:rFonts w:hint="eastAsia" w:ascii="宋体" w:hAnsi="宋体"/>
          <w:color w:val="000000"/>
          <w:sz w:val="30"/>
          <w:szCs w:val="30"/>
          <w:u w:val="single"/>
          <w:lang w:eastAsia="zh-CN"/>
        </w:rPr>
        <w:t xml:space="preserve">    </w:t>
      </w:r>
      <w:r>
        <w:rPr>
          <w:rFonts w:hint="eastAsia" w:ascii="宋体" w:hAnsi="宋体"/>
          <w:color w:val="000000"/>
          <w:sz w:val="30"/>
          <w:szCs w:val="30"/>
          <w:lang w:eastAsia="zh-CN"/>
        </w:rPr>
        <w:t>日</w:t>
      </w:r>
      <w:r>
        <w:rPr>
          <w:rFonts w:ascii="宋体" w:hAnsi="宋体" w:cs="Times New Roman"/>
          <w:b/>
          <w:sz w:val="44"/>
          <w:szCs w:val="44"/>
          <w:lang w:eastAsia="zh-CN"/>
        </w:rPr>
        <w:br w:type="page"/>
      </w:r>
      <w:r>
        <w:rPr>
          <w:rFonts w:ascii="宋体" w:hAnsi="宋体" w:cs="Times New Roman"/>
          <w:b/>
          <w:sz w:val="32"/>
          <w:szCs w:val="32"/>
          <w:lang w:eastAsia="zh-CN"/>
        </w:rPr>
        <w:t>目</w:t>
      </w:r>
      <w:r>
        <w:rPr>
          <w:rFonts w:hint="eastAsia" w:ascii="宋体" w:hAnsi="宋体" w:cs="Times New Roman"/>
          <w:b/>
          <w:sz w:val="32"/>
          <w:szCs w:val="32"/>
          <w:lang w:eastAsia="zh-CN"/>
        </w:rPr>
        <w:t xml:space="preserve"> </w:t>
      </w:r>
      <w:r>
        <w:rPr>
          <w:rFonts w:ascii="宋体" w:hAnsi="宋体" w:cs="Times New Roman"/>
          <w:b/>
          <w:sz w:val="32"/>
          <w:szCs w:val="32"/>
          <w:lang w:eastAsia="zh-CN"/>
        </w:rPr>
        <w:t>录</w:t>
      </w:r>
    </w:p>
    <w:p w14:paraId="5F1889B4">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1.周口市公共资源交易信用承诺书</w:t>
      </w:r>
    </w:p>
    <w:p w14:paraId="3B60301E">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2.招标代理服务费承诺函</w:t>
      </w:r>
    </w:p>
    <w:p w14:paraId="627A05E1">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3.报价函</w:t>
      </w:r>
      <w:r>
        <w:rPr>
          <w:rFonts w:hint="eastAsia" w:ascii="宋体" w:hAnsi="宋体"/>
          <w:sz w:val="21"/>
          <w:szCs w:val="21"/>
          <w:lang w:eastAsia="zh-CN"/>
        </w:rPr>
        <w:tab/>
      </w:r>
    </w:p>
    <w:p w14:paraId="766556AA">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4.法定代表人身份证明及授权委托书</w:t>
      </w:r>
      <w:r>
        <w:rPr>
          <w:rFonts w:hint="eastAsia" w:ascii="宋体" w:hAnsi="宋体"/>
          <w:sz w:val="21"/>
          <w:szCs w:val="21"/>
          <w:lang w:eastAsia="zh-CN"/>
        </w:rPr>
        <w:tab/>
      </w:r>
    </w:p>
    <w:p w14:paraId="1738F78D">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4.1法定代表人身份证明</w:t>
      </w:r>
      <w:r>
        <w:rPr>
          <w:rFonts w:hint="eastAsia" w:ascii="宋体" w:hAnsi="宋体"/>
          <w:sz w:val="21"/>
          <w:szCs w:val="21"/>
          <w:lang w:eastAsia="zh-CN"/>
        </w:rPr>
        <w:tab/>
      </w:r>
    </w:p>
    <w:p w14:paraId="358AEEA4">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4.2授权委托书</w:t>
      </w:r>
      <w:r>
        <w:rPr>
          <w:rFonts w:hint="eastAsia" w:ascii="宋体" w:hAnsi="宋体"/>
          <w:sz w:val="21"/>
          <w:szCs w:val="21"/>
          <w:lang w:eastAsia="zh-CN"/>
        </w:rPr>
        <w:tab/>
      </w:r>
    </w:p>
    <w:p w14:paraId="514493E2">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5.竞争性磋商报价表格</w:t>
      </w:r>
      <w:r>
        <w:rPr>
          <w:rFonts w:hint="eastAsia" w:ascii="宋体" w:hAnsi="宋体"/>
          <w:sz w:val="21"/>
          <w:szCs w:val="21"/>
          <w:lang w:eastAsia="zh-CN"/>
        </w:rPr>
        <w:tab/>
      </w:r>
    </w:p>
    <w:p w14:paraId="380DB247">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报价表（第一轮报价）</w:t>
      </w:r>
      <w:r>
        <w:rPr>
          <w:rFonts w:hint="eastAsia" w:ascii="宋体" w:hAnsi="宋体"/>
          <w:sz w:val="21"/>
          <w:szCs w:val="21"/>
          <w:lang w:eastAsia="zh-CN"/>
        </w:rPr>
        <w:tab/>
      </w:r>
    </w:p>
    <w:p w14:paraId="073DB66F">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ascii="宋体" w:hAnsi="宋体"/>
          <w:sz w:val="21"/>
          <w:szCs w:val="21"/>
          <w:lang w:eastAsia="zh-CN"/>
        </w:rPr>
      </w:pPr>
      <w:r>
        <w:rPr>
          <w:rFonts w:hint="eastAsia" w:ascii="宋体" w:hAnsi="宋体"/>
          <w:sz w:val="21"/>
          <w:szCs w:val="21"/>
          <w:lang w:eastAsia="zh-CN"/>
        </w:rPr>
        <w:t>6.资格及证明文件</w:t>
      </w:r>
      <w:r>
        <w:rPr>
          <w:rFonts w:hint="eastAsia" w:ascii="宋体" w:hAnsi="宋体"/>
          <w:sz w:val="21"/>
          <w:szCs w:val="21"/>
          <w:lang w:eastAsia="zh-CN"/>
        </w:rPr>
        <w:tab/>
      </w:r>
    </w:p>
    <w:p w14:paraId="0E37E8CA">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sz w:val="21"/>
          <w:szCs w:val="21"/>
          <w:lang w:val="en-US" w:eastAsia="zh-CN"/>
        </w:rPr>
      </w:pPr>
      <w:r>
        <w:rPr>
          <w:rFonts w:hint="eastAsia" w:ascii="宋体" w:hAnsi="宋体"/>
          <w:sz w:val="21"/>
          <w:szCs w:val="21"/>
          <w:lang w:eastAsia="zh-CN"/>
        </w:rPr>
        <w:t>7.</w:t>
      </w:r>
      <w:r>
        <w:rPr>
          <w:rFonts w:hint="eastAsia" w:ascii="宋体" w:hAnsi="宋体"/>
          <w:sz w:val="21"/>
          <w:szCs w:val="21"/>
          <w:lang w:val="en-US" w:eastAsia="zh-CN"/>
        </w:rPr>
        <w:t>商务部分（格式自拟）</w:t>
      </w:r>
    </w:p>
    <w:p w14:paraId="5865A28E">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sz w:val="21"/>
          <w:szCs w:val="21"/>
          <w:lang w:eastAsia="zh-CN"/>
        </w:rPr>
      </w:pPr>
      <w:r>
        <w:rPr>
          <w:rFonts w:hint="eastAsia" w:ascii="宋体" w:hAnsi="宋体"/>
          <w:sz w:val="21"/>
          <w:szCs w:val="21"/>
          <w:lang w:val="en-US" w:eastAsia="zh-CN"/>
        </w:rPr>
        <w:t>8.技术部分（格式自拟）</w:t>
      </w:r>
      <w:r>
        <w:rPr>
          <w:rFonts w:hint="eastAsia" w:ascii="宋体" w:hAnsi="宋体"/>
          <w:sz w:val="21"/>
          <w:szCs w:val="21"/>
          <w:lang w:eastAsia="zh-CN"/>
        </w:rPr>
        <w:tab/>
      </w:r>
      <w:r>
        <w:rPr>
          <w:rFonts w:hint="eastAsia" w:ascii="宋体" w:hAnsi="宋体"/>
          <w:sz w:val="21"/>
          <w:szCs w:val="21"/>
          <w:lang w:eastAsia="zh-CN"/>
        </w:rPr>
        <w:tab/>
      </w:r>
    </w:p>
    <w:p w14:paraId="432C7916">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sz w:val="21"/>
          <w:szCs w:val="21"/>
          <w:lang w:eastAsia="zh-CN"/>
        </w:rPr>
      </w:pPr>
      <w:r>
        <w:rPr>
          <w:rFonts w:hint="eastAsia" w:ascii="宋体" w:hAnsi="宋体"/>
          <w:sz w:val="21"/>
          <w:szCs w:val="21"/>
          <w:lang w:val="en-US" w:eastAsia="zh-CN"/>
        </w:rPr>
        <w:t>10</w:t>
      </w:r>
      <w:r>
        <w:rPr>
          <w:rFonts w:hint="eastAsia" w:ascii="宋体" w:hAnsi="宋体"/>
          <w:sz w:val="21"/>
          <w:szCs w:val="21"/>
          <w:lang w:eastAsia="zh-CN"/>
        </w:rPr>
        <w:t>.反商业贿赂承诺书</w:t>
      </w:r>
    </w:p>
    <w:p w14:paraId="2AFB9177">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sz w:val="21"/>
          <w:szCs w:val="21"/>
          <w:lang w:eastAsia="zh-CN"/>
        </w:rPr>
      </w:pPr>
      <w:r>
        <w:rPr>
          <w:rFonts w:hint="eastAsia" w:ascii="宋体" w:hAnsi="宋体"/>
          <w:sz w:val="21"/>
          <w:szCs w:val="21"/>
          <w:lang w:eastAsia="zh-CN"/>
        </w:rPr>
        <w:t>1</w:t>
      </w:r>
      <w:r>
        <w:rPr>
          <w:rFonts w:hint="eastAsia" w:ascii="宋体" w:hAnsi="宋体"/>
          <w:sz w:val="21"/>
          <w:szCs w:val="21"/>
          <w:lang w:val="en-US" w:eastAsia="zh-CN"/>
        </w:rPr>
        <w:t>0</w:t>
      </w:r>
      <w:r>
        <w:rPr>
          <w:rFonts w:hint="eastAsia" w:ascii="宋体" w:hAnsi="宋体"/>
          <w:sz w:val="21"/>
          <w:szCs w:val="21"/>
          <w:lang w:eastAsia="zh-CN"/>
        </w:rPr>
        <w:t>.响应单位认为有必要提交的其他资料</w:t>
      </w:r>
    </w:p>
    <w:p w14:paraId="5C5EAFE1">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sz w:val="21"/>
          <w:szCs w:val="21"/>
          <w:lang w:eastAsia="zh-CN"/>
        </w:rPr>
      </w:pPr>
      <w:r>
        <w:rPr>
          <w:rFonts w:hint="eastAsia" w:ascii="宋体" w:hAnsi="宋体"/>
          <w:sz w:val="21"/>
          <w:szCs w:val="21"/>
          <w:lang w:eastAsia="zh-CN"/>
        </w:rPr>
        <w:t>1</w:t>
      </w:r>
      <w:r>
        <w:rPr>
          <w:rFonts w:hint="eastAsia" w:ascii="宋体" w:hAnsi="宋体"/>
          <w:sz w:val="21"/>
          <w:szCs w:val="21"/>
          <w:lang w:val="en-US" w:eastAsia="zh-CN"/>
        </w:rPr>
        <w:t>1</w:t>
      </w:r>
      <w:r>
        <w:rPr>
          <w:rFonts w:hint="eastAsia" w:ascii="宋体" w:hAnsi="宋体"/>
          <w:sz w:val="21"/>
          <w:szCs w:val="21"/>
          <w:lang w:eastAsia="zh-CN"/>
        </w:rPr>
        <w:t>.残疾人福利性单位声明函（如有）</w:t>
      </w:r>
    </w:p>
    <w:p w14:paraId="4783E612">
      <w:pPr>
        <w:keepNext w:val="0"/>
        <w:keepLines w:val="0"/>
        <w:pageBreakBefore w:val="0"/>
        <w:widowControl w:val="0"/>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sz w:val="21"/>
          <w:szCs w:val="21"/>
          <w:lang w:eastAsia="zh-CN"/>
        </w:rPr>
      </w:pPr>
      <w:r>
        <w:rPr>
          <w:rFonts w:hint="eastAsia" w:ascii="宋体" w:hAnsi="宋体"/>
          <w:sz w:val="21"/>
          <w:szCs w:val="21"/>
          <w:lang w:eastAsia="zh-CN"/>
        </w:rPr>
        <w:t>1</w:t>
      </w:r>
      <w:r>
        <w:rPr>
          <w:rFonts w:hint="eastAsia" w:ascii="宋体" w:hAnsi="宋体"/>
          <w:sz w:val="21"/>
          <w:szCs w:val="21"/>
          <w:lang w:val="en-US" w:eastAsia="zh-CN"/>
        </w:rPr>
        <w:t>2</w:t>
      </w:r>
      <w:r>
        <w:rPr>
          <w:rFonts w:hint="eastAsia" w:ascii="宋体" w:hAnsi="宋体"/>
          <w:sz w:val="21"/>
          <w:szCs w:val="21"/>
          <w:lang w:eastAsia="zh-CN"/>
        </w:rPr>
        <w:t>.监狱企业证明材料（如有）</w:t>
      </w:r>
    </w:p>
    <w:p w14:paraId="5837A299">
      <w:pPr>
        <w:adjustRightInd w:val="0"/>
        <w:snapToGrid w:val="0"/>
        <w:spacing w:line="440" w:lineRule="exact"/>
        <w:ind w:firstLine="210" w:firstLineChars="100"/>
        <w:rPr>
          <w:rFonts w:ascii="宋体" w:hAnsi="宋体"/>
          <w:sz w:val="21"/>
          <w:szCs w:val="21"/>
          <w:lang w:eastAsia="zh-CN"/>
        </w:rPr>
      </w:pPr>
      <w:r>
        <w:rPr>
          <w:rFonts w:hint="eastAsia" w:ascii="宋体" w:hAnsi="宋体"/>
          <w:sz w:val="21"/>
          <w:szCs w:val="21"/>
          <w:lang w:eastAsia="zh-CN"/>
        </w:rPr>
        <w:t xml:space="preserve">    </w:t>
      </w:r>
    </w:p>
    <w:p w14:paraId="75EA633C">
      <w:pPr>
        <w:keepNext w:val="0"/>
        <w:keepLines w:val="0"/>
        <w:pageBreakBefore w:val="0"/>
        <w:widowControl w:val="0"/>
        <w:kinsoku/>
        <w:wordWrap/>
        <w:overflowPunct/>
        <w:topLinePunct w:val="0"/>
        <w:autoSpaceDE/>
        <w:autoSpaceDN/>
        <w:bidi w:val="0"/>
        <w:adjustRightInd w:val="0"/>
        <w:snapToGrid w:val="0"/>
        <w:spacing w:line="380" w:lineRule="exact"/>
        <w:ind w:firstLine="211" w:firstLineChars="100"/>
        <w:textAlignment w:val="auto"/>
        <w:rPr>
          <w:rFonts w:hint="eastAsia" w:ascii="宋体" w:hAnsi="宋体"/>
          <w:b/>
          <w:bCs/>
          <w:sz w:val="21"/>
          <w:szCs w:val="21"/>
          <w:lang w:val="en-US" w:eastAsia="zh-CN"/>
        </w:rPr>
      </w:pPr>
      <w:r>
        <w:rPr>
          <w:rFonts w:hint="eastAsia" w:ascii="宋体" w:hAnsi="宋体"/>
          <w:b/>
          <w:bCs/>
          <w:sz w:val="21"/>
          <w:szCs w:val="21"/>
          <w:lang w:val="en-US" w:eastAsia="zh-CN"/>
        </w:rPr>
        <w:t>备注1：响应文件目录是响应单位制作响应文件的参考格式，并非必须格式，请各位响应单位根据所投项目需要自行增减，是否依据了本格式或自行增减了多少格式并不是废标的条款。</w:t>
      </w:r>
    </w:p>
    <w:p w14:paraId="6B3A92B6">
      <w:pPr>
        <w:keepNext w:val="0"/>
        <w:keepLines w:val="0"/>
        <w:pageBreakBefore w:val="0"/>
        <w:widowControl w:val="0"/>
        <w:kinsoku/>
        <w:wordWrap/>
        <w:overflowPunct/>
        <w:topLinePunct w:val="0"/>
        <w:autoSpaceDE/>
        <w:autoSpaceDN/>
        <w:bidi w:val="0"/>
        <w:adjustRightInd w:val="0"/>
        <w:snapToGrid w:val="0"/>
        <w:spacing w:line="380" w:lineRule="exact"/>
        <w:ind w:firstLine="211" w:firstLineChars="100"/>
        <w:textAlignment w:val="auto"/>
        <w:rPr>
          <w:rFonts w:hint="eastAsia" w:ascii="宋体" w:hAnsi="宋体"/>
          <w:b/>
          <w:bCs/>
          <w:sz w:val="21"/>
          <w:szCs w:val="21"/>
          <w:lang w:eastAsia="zh-CN"/>
        </w:rPr>
      </w:pPr>
      <w:r>
        <w:rPr>
          <w:rFonts w:hint="eastAsia" w:ascii="宋体" w:hAnsi="宋体"/>
          <w:b/>
          <w:bCs/>
          <w:sz w:val="21"/>
          <w:szCs w:val="21"/>
          <w:lang w:val="en-US" w:eastAsia="zh-CN"/>
        </w:rPr>
        <w:t>备注2：响应单位在编制目录时应编辑相应的目录索引码。</w:t>
      </w:r>
    </w:p>
    <w:p w14:paraId="07BE1CA4">
      <w:pPr>
        <w:pStyle w:val="10"/>
        <w:adjustRightInd w:val="0"/>
        <w:snapToGrid w:val="0"/>
        <w:spacing w:line="440" w:lineRule="exact"/>
        <w:ind w:left="1" w:leftChars="0" w:firstLine="420" w:firstLineChars="200"/>
        <w:jc w:val="center"/>
        <w:outlineLvl w:val="2"/>
        <w:rPr>
          <w:rFonts w:ascii="宋体" w:hAnsi="宋体" w:cs="宋体"/>
          <w:b/>
          <w:bCs/>
          <w:sz w:val="21"/>
          <w:szCs w:val="21"/>
          <w:lang w:eastAsia="zh-CN"/>
        </w:rPr>
      </w:pPr>
      <w:r>
        <w:rPr>
          <w:rFonts w:hint="eastAsia" w:ascii="宋体" w:hAnsi="宋体"/>
          <w:sz w:val="21"/>
          <w:szCs w:val="21"/>
          <w:lang w:eastAsia="zh-CN"/>
        </w:rPr>
        <w:br w:type="page"/>
      </w:r>
      <w:bookmarkStart w:id="120" w:name="_Toc32124"/>
      <w:bookmarkStart w:id="121" w:name="_Toc17319"/>
      <w:bookmarkStart w:id="122" w:name="_Toc22822"/>
      <w:bookmarkStart w:id="123" w:name="_Toc22537"/>
      <w:r>
        <w:rPr>
          <w:rFonts w:hint="eastAsia"/>
          <w:b/>
          <w:sz w:val="28"/>
          <w:lang w:eastAsia="zh-CN"/>
        </w:rPr>
        <w:t>1.周口市公共资源交易信用承诺书</w:t>
      </w:r>
      <w:bookmarkEnd w:id="120"/>
      <w:bookmarkEnd w:id="121"/>
      <w:bookmarkEnd w:id="122"/>
      <w:bookmarkEnd w:id="123"/>
    </w:p>
    <w:p w14:paraId="2A4F8046">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为营造公开、公平、公正、诚实守信的公共资源交易环境，树立诚信守法的响应单位形象,本人代表本单位作出以下承诺:</w:t>
      </w:r>
    </w:p>
    <w:p w14:paraId="4035ADE5">
      <w:pPr>
        <w:pStyle w:val="10"/>
        <w:adjustRightInd w:val="0"/>
        <w:snapToGrid w:val="0"/>
        <w:spacing w:line="420" w:lineRule="exact"/>
        <w:ind w:left="0" w:leftChars="0" w:firstLine="420" w:firstLineChars="200"/>
        <w:jc w:val="both"/>
        <w:rPr>
          <w:rFonts w:ascii="宋体" w:hAnsi="宋体" w:cs="宋体"/>
          <w:sz w:val="21"/>
          <w:szCs w:val="21"/>
          <w:lang w:eastAsia="zh-CN"/>
        </w:rPr>
      </w:pPr>
      <w:r>
        <w:rPr>
          <w:rFonts w:hint="eastAsia" w:ascii="宋体" w:hAnsi="宋体" w:cs="宋体"/>
          <w:sz w:val="21"/>
          <w:szCs w:val="21"/>
          <w:lang w:eastAsia="zh-CN"/>
        </w:rPr>
        <w:t>(一)本单位对所提交的企(事)业单位基本信息、企(事) 业负责人、项目负责人、技术负责人、从业资质和资格、业绩、 财务状况、信誉等所有资料,均合法、真实、准确、有效,无任何伪造、修改、虚假成分,并对所提供资料的真实性负责。</w:t>
      </w:r>
    </w:p>
    <w:p w14:paraId="29C20C33">
      <w:pPr>
        <w:pStyle w:val="10"/>
        <w:adjustRightInd w:val="0"/>
        <w:snapToGrid w:val="0"/>
        <w:spacing w:line="420" w:lineRule="exact"/>
        <w:ind w:left="0" w:leftChars="0" w:firstLine="420" w:firstLineChars="200"/>
        <w:jc w:val="both"/>
        <w:rPr>
          <w:rFonts w:ascii="宋体" w:hAnsi="宋体" w:cs="宋体"/>
          <w:sz w:val="21"/>
          <w:szCs w:val="21"/>
          <w:lang w:eastAsia="zh-CN"/>
        </w:rPr>
      </w:pPr>
      <w:r>
        <w:rPr>
          <w:rFonts w:hint="eastAsia" w:ascii="宋体" w:hAnsi="宋体" w:cs="宋体"/>
          <w:sz w:val="21"/>
          <w:szCs w:val="21"/>
          <w:lang w:eastAsia="zh-CN"/>
        </w:rPr>
        <w:t>(二)严格依照国家、河南省和周口市关于招标投标的法律、法规、规章、规范性文件,参加公共资源招标投标活动,不挂靠、借用、出租、出借、转让资质,积极履行社会责任, 促进廉政建设。</w:t>
      </w:r>
    </w:p>
    <w:p w14:paraId="32CAE8E7">
      <w:pPr>
        <w:pStyle w:val="10"/>
        <w:adjustRightInd w:val="0"/>
        <w:snapToGrid w:val="0"/>
        <w:spacing w:line="420" w:lineRule="exact"/>
        <w:ind w:left="0" w:leftChars="0" w:firstLine="420" w:firstLineChars="200"/>
        <w:jc w:val="both"/>
        <w:rPr>
          <w:rFonts w:ascii="宋体" w:hAnsi="宋体" w:cs="宋体"/>
          <w:sz w:val="21"/>
          <w:szCs w:val="21"/>
          <w:lang w:eastAsia="zh-CN"/>
        </w:rPr>
      </w:pPr>
      <w:r>
        <w:rPr>
          <w:rFonts w:hint="eastAsia" w:ascii="宋体" w:hAnsi="宋体" w:cs="宋体"/>
          <w:sz w:val="21"/>
          <w:szCs w:val="21"/>
          <w:lang w:eastAsia="zh-CN"/>
        </w:rPr>
        <w:t>(三)自我约束、自我管理,守合同、重信用,不参与围标串标、弄虚作假、骗取中标、干扰评标、胁迫他人投标(放弃中标)、恶意投诉、违约毁约等行为,自觉维护公共资源招标投标的良好秩序。</w:t>
      </w:r>
    </w:p>
    <w:p w14:paraId="23B9B63D">
      <w:pPr>
        <w:pStyle w:val="10"/>
        <w:adjustRightInd w:val="0"/>
        <w:snapToGrid w:val="0"/>
        <w:spacing w:line="420" w:lineRule="exact"/>
        <w:ind w:left="0" w:leftChars="0" w:firstLine="420" w:firstLineChars="200"/>
        <w:jc w:val="both"/>
        <w:rPr>
          <w:rFonts w:ascii="宋体" w:hAnsi="宋体" w:cs="宋体"/>
          <w:sz w:val="21"/>
          <w:szCs w:val="21"/>
          <w:lang w:eastAsia="zh-CN"/>
        </w:rPr>
      </w:pPr>
      <w:r>
        <w:rPr>
          <w:rFonts w:hint="eastAsia" w:ascii="宋体" w:hAnsi="宋体" w:cs="宋体"/>
          <w:sz w:val="21"/>
          <w:szCs w:val="21"/>
          <w:lang w:eastAsia="zh-CN"/>
        </w:rPr>
        <w:t>(四)本单位及项目经办人员信用状况良好,未被列为失信惩戒对象或"老赖",符合参与公共资源交易活动的相关要求。</w:t>
      </w:r>
    </w:p>
    <w:p w14:paraId="0E0E9D23">
      <w:pPr>
        <w:pStyle w:val="10"/>
        <w:adjustRightInd w:val="0"/>
        <w:snapToGrid w:val="0"/>
        <w:spacing w:line="420" w:lineRule="exact"/>
        <w:ind w:left="0" w:leftChars="0" w:firstLine="420" w:firstLineChars="200"/>
        <w:jc w:val="both"/>
        <w:rPr>
          <w:rFonts w:ascii="宋体" w:hAnsi="宋体" w:cs="宋体"/>
          <w:sz w:val="21"/>
          <w:szCs w:val="21"/>
          <w:lang w:eastAsia="zh-CN"/>
        </w:rPr>
      </w:pPr>
      <w:r>
        <w:rPr>
          <w:rFonts w:hint="eastAsia" w:ascii="宋体" w:hAnsi="宋体" w:cs="宋体"/>
          <w:sz w:val="21"/>
          <w:szCs w:val="21"/>
          <w:lang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缴纳农民工工资保证金,切实维护农民工权益。</w:t>
      </w:r>
    </w:p>
    <w:p w14:paraId="58D5AEA8">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(六)若中标,本单位将在规定的时间内与招标人签订合同并自觉履行合同义务,不转包或违法分包中标项目。</w:t>
      </w:r>
    </w:p>
    <w:p w14:paraId="74F1A652">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(七)自觉接受政府、行业组织、社会公众、新闻舆论的监督。</w:t>
      </w:r>
    </w:p>
    <w:p w14:paraId="059A46EC">
      <w:pPr>
        <w:pStyle w:val="10"/>
        <w:adjustRightInd w:val="0"/>
        <w:snapToGrid w:val="0"/>
        <w:spacing w:line="420" w:lineRule="exact"/>
        <w:ind w:left="0" w:leftChars="0" w:firstLine="420" w:firstLineChars="200"/>
        <w:jc w:val="both"/>
        <w:rPr>
          <w:rFonts w:ascii="宋体" w:hAnsi="宋体" w:cs="宋体"/>
          <w:sz w:val="21"/>
          <w:szCs w:val="21"/>
          <w:lang w:eastAsia="zh-CN"/>
        </w:rPr>
      </w:pPr>
      <w:r>
        <w:rPr>
          <w:rFonts w:hint="eastAsia" w:ascii="宋体" w:hAnsi="宋体" w:cs="宋体"/>
          <w:sz w:val="21"/>
          <w:szCs w:val="21"/>
          <w:lang w:eastAsia="zh-CN"/>
        </w:rPr>
        <w:t>(八)本单位自愿接受招标投标综合监督管理机构和有关 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 (信用)记录。</w:t>
      </w:r>
    </w:p>
    <w:p w14:paraId="1F718A05">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(九)本人已认真阅读了上述承诺,并向本单位员工作了宣传教育。</w:t>
      </w:r>
    </w:p>
    <w:p w14:paraId="4512EFD2">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企业名称(</w:t>
      </w:r>
      <w:r>
        <w:rPr>
          <w:rFonts w:hint="eastAsia" w:ascii="宋体" w:hAnsi="宋体" w:cs="宋体"/>
          <w:sz w:val="21"/>
          <w:szCs w:val="21"/>
          <w:lang w:val="en-US" w:eastAsia="zh-CN"/>
        </w:rPr>
        <w:t>电子签章</w:t>
      </w:r>
      <w:r>
        <w:rPr>
          <w:rFonts w:hint="eastAsia" w:ascii="宋体" w:hAnsi="宋体" w:cs="宋体"/>
          <w:sz w:val="21"/>
          <w:szCs w:val="21"/>
          <w:lang w:eastAsia="zh-CN"/>
        </w:rPr>
        <w:t>):</w:t>
      </w:r>
    </w:p>
    <w:p w14:paraId="1450BFB4">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法定代表人或委托代理人(</w:t>
      </w:r>
      <w:r>
        <w:rPr>
          <w:rFonts w:hint="eastAsia" w:ascii="宋体" w:hAnsi="宋体" w:cs="宋体"/>
          <w:sz w:val="21"/>
          <w:szCs w:val="21"/>
          <w:lang w:val="en-US" w:eastAsia="zh-CN"/>
        </w:rPr>
        <w:t>电子签名或</w:t>
      </w:r>
      <w:r>
        <w:rPr>
          <w:rFonts w:hint="eastAsia" w:ascii="宋体" w:hAnsi="宋体" w:cs="宋体"/>
          <w:sz w:val="21"/>
          <w:szCs w:val="21"/>
          <w:lang w:eastAsia="zh-CN"/>
        </w:rPr>
        <w:t xml:space="preserve">签字): </w:t>
      </w:r>
    </w:p>
    <w:p w14:paraId="1E0FAFDC">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项目负责人(签字):</w:t>
      </w:r>
    </w:p>
    <w:p w14:paraId="2006C3A2">
      <w:pPr>
        <w:pStyle w:val="10"/>
        <w:adjustRightInd w:val="0"/>
        <w:snapToGrid w:val="0"/>
        <w:spacing w:line="420" w:lineRule="exact"/>
        <w:ind w:left="0" w:leftChars="0" w:firstLine="420" w:firstLineChars="200"/>
        <w:rPr>
          <w:rFonts w:ascii="宋体" w:hAnsi="宋体" w:cs="宋体"/>
          <w:sz w:val="21"/>
          <w:szCs w:val="21"/>
          <w:lang w:eastAsia="zh-CN"/>
        </w:rPr>
      </w:pPr>
      <w:r>
        <w:rPr>
          <w:rFonts w:hint="eastAsia" w:ascii="宋体" w:hAnsi="宋体" w:cs="宋体"/>
          <w:sz w:val="21"/>
          <w:szCs w:val="21"/>
          <w:lang w:eastAsia="zh-CN"/>
        </w:rPr>
        <w:t>年  月  日</w:t>
      </w:r>
    </w:p>
    <w:p w14:paraId="2CE72CF1">
      <w:pPr>
        <w:pStyle w:val="10"/>
        <w:adjustRightInd w:val="0"/>
        <w:snapToGrid w:val="0"/>
        <w:spacing w:line="440" w:lineRule="exact"/>
        <w:ind w:left="0" w:leftChars="0" w:firstLine="0" w:firstLineChars="0"/>
        <w:rPr>
          <w:rFonts w:ascii="宋体" w:hAnsi="宋体" w:cs="宋体"/>
          <w:szCs w:val="21"/>
          <w:lang w:eastAsia="zh-CN"/>
        </w:rPr>
      </w:pPr>
      <w:r>
        <w:rPr>
          <w:rFonts w:hint="eastAsia" w:ascii="宋体" w:hAnsi="宋体" w:cs="宋体"/>
          <w:szCs w:val="21"/>
          <w:lang w:eastAsia="zh-CN"/>
        </w:rPr>
        <w:t> </w:t>
      </w:r>
    </w:p>
    <w:p w14:paraId="48360F0F">
      <w:pPr>
        <w:spacing w:before="0"/>
        <w:ind w:left="0"/>
        <w:jc w:val="left"/>
        <w:outlineLvl w:val="9"/>
        <w:rPr>
          <w:rFonts w:hint="eastAsia"/>
          <w:b/>
          <w:sz w:val="28"/>
          <w:lang w:eastAsia="zh-CN"/>
        </w:rPr>
      </w:pPr>
      <w:bookmarkStart w:id="124" w:name="_Toc15119"/>
      <w:bookmarkStart w:id="125" w:name="_Toc26796"/>
      <w:bookmarkStart w:id="126" w:name="_Toc21757"/>
      <w:bookmarkStart w:id="127" w:name="_Toc2045"/>
      <w:bookmarkStart w:id="128" w:name="_Toc4774"/>
      <w:r>
        <w:rPr>
          <w:rFonts w:hint="eastAsia"/>
          <w:b/>
          <w:sz w:val="28"/>
          <w:lang w:eastAsia="zh-CN"/>
        </w:rPr>
        <w:br w:type="page"/>
      </w:r>
    </w:p>
    <w:p w14:paraId="65177A0E">
      <w:pPr>
        <w:spacing w:before="61"/>
        <w:ind w:left="4"/>
        <w:jc w:val="center"/>
        <w:outlineLvl w:val="2"/>
        <w:rPr>
          <w:b/>
          <w:sz w:val="28"/>
          <w:lang w:eastAsia="zh-CN"/>
        </w:rPr>
      </w:pPr>
      <w:bookmarkStart w:id="129" w:name="_Toc815"/>
      <w:r>
        <w:rPr>
          <w:rFonts w:hint="eastAsia"/>
          <w:b/>
          <w:sz w:val="28"/>
          <w:lang w:eastAsia="zh-CN"/>
        </w:rPr>
        <w:t>2.招标代理服务费承诺函</w:t>
      </w:r>
      <w:bookmarkEnd w:id="124"/>
      <w:bookmarkEnd w:id="125"/>
      <w:bookmarkEnd w:id="126"/>
      <w:bookmarkEnd w:id="127"/>
      <w:bookmarkEnd w:id="128"/>
      <w:bookmarkEnd w:id="129"/>
    </w:p>
    <w:p w14:paraId="3B170100">
      <w:pPr>
        <w:pStyle w:val="18"/>
        <w:shd w:val="clear" w:color="auto" w:fill="FFFFFF"/>
        <w:spacing w:before="0" w:beforeAutospacing="0" w:after="0" w:afterAutospacing="0"/>
        <w:jc w:val="both"/>
        <w:rPr>
          <w:rFonts w:ascii="Microsoft YaHei UI" w:hAnsi="Microsoft YaHei UI" w:eastAsia="Microsoft YaHei UI" w:cs="Microsoft YaHei UI"/>
          <w:color w:val="333333"/>
          <w:spacing w:val="8"/>
          <w:sz w:val="25"/>
          <w:szCs w:val="25"/>
        </w:rPr>
      </w:pPr>
      <w:r>
        <w:rPr>
          <w:rFonts w:hint="eastAsia"/>
          <w:color w:val="333333"/>
          <w:spacing w:val="8"/>
          <w:shd w:val="clear" w:color="auto" w:fill="FFFFFF"/>
        </w:rPr>
        <w:t> </w:t>
      </w:r>
    </w:p>
    <w:p w14:paraId="247405A9">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致</w:t>
      </w:r>
      <w:r>
        <w:rPr>
          <w:rFonts w:hint="eastAsia" w:ascii="宋体" w:hAnsi="宋体" w:cs="宋体"/>
          <w:sz w:val="21"/>
          <w:szCs w:val="21"/>
          <w:u w:val="single"/>
          <w:lang w:eastAsia="zh-CN"/>
        </w:rPr>
        <w:t>（采购人及采购代理机构）</w:t>
      </w:r>
      <w:r>
        <w:rPr>
          <w:rFonts w:hint="eastAsia" w:ascii="宋体" w:hAnsi="宋体" w:cs="宋体"/>
          <w:sz w:val="21"/>
          <w:szCs w:val="21"/>
          <w:lang w:eastAsia="zh-CN"/>
        </w:rPr>
        <w:t>：</w:t>
      </w:r>
    </w:p>
    <w:p w14:paraId="61450F10">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val="en-US" w:eastAsia="zh-CN"/>
        </w:rPr>
        <w:t>我们在贵公司组织的项目投标中若中标，我们保证在领取中标通知书时一次性支付该项目的中标服务费。</w:t>
      </w:r>
    </w:p>
    <w:p w14:paraId="3843F761">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特此承诺。</w:t>
      </w:r>
    </w:p>
    <w:p w14:paraId="3241D6FA">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 </w:t>
      </w:r>
    </w:p>
    <w:p w14:paraId="5B0FF80E">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 </w:t>
      </w:r>
    </w:p>
    <w:p w14:paraId="228121C6">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响应单位名称：</w:t>
      </w:r>
      <w:r>
        <w:rPr>
          <w:rFonts w:hint="eastAsia" w:ascii="宋体" w:hAnsi="宋体" w:cs="宋体"/>
          <w:sz w:val="21"/>
          <w:szCs w:val="21"/>
          <w:u w:val="single"/>
          <w:lang w:eastAsia="zh-CN"/>
        </w:rPr>
        <w:t>             </w:t>
      </w:r>
      <w:r>
        <w:rPr>
          <w:rFonts w:hint="eastAsia" w:ascii="宋体" w:hAnsi="宋体" w:cs="宋体"/>
          <w:sz w:val="21"/>
          <w:szCs w:val="21"/>
          <w:lang w:eastAsia="zh-CN"/>
        </w:rPr>
        <w:t>（</w:t>
      </w:r>
      <w:r>
        <w:rPr>
          <w:rFonts w:hint="eastAsia" w:ascii="宋体" w:hAnsi="宋体" w:cs="宋体"/>
          <w:sz w:val="21"/>
          <w:szCs w:val="21"/>
          <w:lang w:val="en-US" w:eastAsia="zh-CN"/>
        </w:rPr>
        <w:t>电子签章</w:t>
      </w:r>
      <w:r>
        <w:rPr>
          <w:rFonts w:hint="eastAsia" w:ascii="宋体" w:hAnsi="宋体" w:cs="宋体"/>
          <w:sz w:val="21"/>
          <w:szCs w:val="21"/>
          <w:lang w:eastAsia="zh-CN"/>
        </w:rPr>
        <w:t>）</w:t>
      </w:r>
    </w:p>
    <w:p w14:paraId="46937219">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法定代表人或授权代表：</w:t>
      </w:r>
      <w:r>
        <w:rPr>
          <w:rFonts w:hint="eastAsia" w:ascii="宋体" w:hAnsi="宋体" w:cs="宋体"/>
          <w:sz w:val="21"/>
          <w:szCs w:val="21"/>
          <w:u w:val="single"/>
          <w:lang w:eastAsia="zh-CN"/>
        </w:rPr>
        <w:t>            </w:t>
      </w:r>
      <w:r>
        <w:rPr>
          <w:rFonts w:hint="eastAsia" w:ascii="宋体" w:hAnsi="宋体" w:cs="宋体"/>
          <w:sz w:val="21"/>
          <w:szCs w:val="21"/>
          <w:lang w:eastAsia="zh-CN"/>
        </w:rPr>
        <w:t>（</w:t>
      </w:r>
      <w:r>
        <w:rPr>
          <w:rFonts w:hint="eastAsia" w:ascii="宋体" w:hAnsi="宋体" w:cs="宋体"/>
          <w:sz w:val="21"/>
          <w:szCs w:val="21"/>
          <w:lang w:val="en-US" w:eastAsia="zh-CN"/>
        </w:rPr>
        <w:t>电子签名</w:t>
      </w:r>
      <w:r>
        <w:rPr>
          <w:rFonts w:hint="eastAsia" w:ascii="宋体" w:hAnsi="宋体" w:cs="宋体"/>
          <w:sz w:val="21"/>
          <w:szCs w:val="21"/>
          <w:lang w:eastAsia="zh-CN"/>
        </w:rPr>
        <w:t>或</w:t>
      </w:r>
      <w:r>
        <w:rPr>
          <w:rFonts w:hint="eastAsia" w:ascii="宋体" w:hAnsi="宋体" w:cs="宋体"/>
          <w:sz w:val="21"/>
          <w:szCs w:val="21"/>
          <w:lang w:val="en-US" w:eastAsia="zh-CN"/>
        </w:rPr>
        <w:t>签字</w:t>
      </w:r>
      <w:r>
        <w:rPr>
          <w:rFonts w:hint="eastAsia" w:ascii="宋体" w:hAnsi="宋体" w:cs="宋体"/>
          <w:sz w:val="21"/>
          <w:szCs w:val="21"/>
          <w:lang w:eastAsia="zh-CN"/>
        </w:rPr>
        <w:t>）</w:t>
      </w:r>
    </w:p>
    <w:p w14:paraId="1F6F30E0">
      <w:pPr>
        <w:pStyle w:val="10"/>
        <w:adjustRightInd w:val="0"/>
        <w:snapToGrid w:val="0"/>
        <w:spacing w:line="440" w:lineRule="exact"/>
        <w:ind w:left="1" w:leftChars="0" w:firstLine="420" w:firstLineChars="200"/>
        <w:rPr>
          <w:rFonts w:ascii="宋体" w:hAnsi="宋体" w:cs="宋体"/>
          <w:sz w:val="21"/>
          <w:szCs w:val="21"/>
          <w:lang w:eastAsia="zh-CN"/>
        </w:rPr>
      </w:pPr>
      <w:r>
        <w:rPr>
          <w:rFonts w:hint="eastAsia" w:ascii="宋体" w:hAnsi="宋体" w:cs="宋体"/>
          <w:sz w:val="21"/>
          <w:szCs w:val="21"/>
          <w:lang w:eastAsia="zh-CN"/>
        </w:rPr>
        <w:t>日</w:t>
      </w:r>
      <w:r>
        <w:rPr>
          <w:rFonts w:hint="eastAsia" w:ascii="宋体" w:hAnsi="宋体" w:cs="宋体"/>
          <w:sz w:val="21"/>
          <w:szCs w:val="21"/>
          <w:lang w:val="en-US" w:eastAsia="zh-CN"/>
        </w:rPr>
        <w:t xml:space="preserve">   </w:t>
      </w:r>
      <w:r>
        <w:rPr>
          <w:rFonts w:hint="eastAsia" w:ascii="宋体" w:hAnsi="宋体" w:cs="宋体"/>
          <w:sz w:val="21"/>
          <w:szCs w:val="21"/>
          <w:lang w:eastAsia="zh-CN"/>
        </w:rPr>
        <w:t>期：</w:t>
      </w:r>
      <w:r>
        <w:rPr>
          <w:rFonts w:hint="eastAsia" w:ascii="宋体" w:hAnsi="宋体" w:cs="宋体"/>
          <w:sz w:val="21"/>
          <w:szCs w:val="21"/>
          <w:u w:val="single"/>
          <w:lang w:eastAsia="zh-CN"/>
        </w:rPr>
        <w:t> </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年</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月</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 xml:space="preserve">日 </w:t>
      </w:r>
      <w:r>
        <w:rPr>
          <w:rFonts w:hint="eastAsia" w:ascii="宋体" w:hAnsi="宋体" w:cs="宋体"/>
          <w:sz w:val="21"/>
          <w:szCs w:val="21"/>
          <w:lang w:eastAsia="zh-CN"/>
        </w:rPr>
        <w:t>             </w:t>
      </w:r>
    </w:p>
    <w:p w14:paraId="56B69867">
      <w:pPr>
        <w:pStyle w:val="10"/>
        <w:adjustRightInd w:val="0"/>
        <w:snapToGrid w:val="0"/>
        <w:spacing w:line="440" w:lineRule="exact"/>
        <w:ind w:left="1" w:leftChars="0" w:firstLine="440" w:firstLineChars="200"/>
        <w:rPr>
          <w:rFonts w:ascii="宋体" w:hAnsi="宋体" w:cs="宋体"/>
          <w:szCs w:val="21"/>
          <w:lang w:eastAsia="zh-CN"/>
        </w:rPr>
      </w:pPr>
      <w:r>
        <w:rPr>
          <w:rFonts w:hint="eastAsia" w:ascii="宋体" w:hAnsi="宋体" w:cs="宋体"/>
          <w:szCs w:val="21"/>
          <w:lang w:eastAsia="zh-CN"/>
        </w:rPr>
        <w:t> </w:t>
      </w:r>
    </w:p>
    <w:p w14:paraId="34BC7537">
      <w:pPr>
        <w:spacing w:before="61"/>
        <w:ind w:left="4"/>
        <w:jc w:val="center"/>
        <w:outlineLvl w:val="2"/>
        <w:rPr>
          <w:b/>
          <w:sz w:val="28"/>
          <w:lang w:eastAsia="zh-CN"/>
        </w:rPr>
      </w:pPr>
      <w:r>
        <w:rPr>
          <w:b/>
          <w:sz w:val="28"/>
          <w:lang w:eastAsia="zh-CN"/>
        </w:rPr>
        <w:br w:type="page"/>
      </w:r>
      <w:bookmarkStart w:id="130" w:name="_Toc19394"/>
      <w:bookmarkStart w:id="131" w:name="_Toc5585"/>
      <w:r>
        <w:rPr>
          <w:rFonts w:hint="eastAsia"/>
          <w:b/>
          <w:sz w:val="28"/>
          <w:lang w:eastAsia="zh-CN"/>
        </w:rPr>
        <w:t>3.</w:t>
      </w:r>
      <w:r>
        <w:rPr>
          <w:b/>
          <w:sz w:val="28"/>
          <w:lang w:eastAsia="zh-CN"/>
        </w:rPr>
        <w:t>报价函</w:t>
      </w:r>
      <w:bookmarkEnd w:id="130"/>
      <w:bookmarkEnd w:id="131"/>
    </w:p>
    <w:p w14:paraId="134E43F8">
      <w:pPr>
        <w:pStyle w:val="6"/>
        <w:spacing w:before="4"/>
        <w:rPr>
          <w:sz w:val="21"/>
          <w:szCs w:val="21"/>
          <w:lang w:eastAsia="zh-CN"/>
        </w:rPr>
      </w:pPr>
    </w:p>
    <w:p w14:paraId="5BC6D72A">
      <w:pPr>
        <w:pStyle w:val="6"/>
        <w:keepNext w:val="0"/>
        <w:keepLines w:val="0"/>
        <w:pageBreakBefore w:val="0"/>
        <w:widowControl w:val="0"/>
        <w:tabs>
          <w:tab w:val="left" w:pos="1534"/>
        </w:tabs>
        <w:kinsoku/>
        <w:wordWrap/>
        <w:overflowPunct/>
        <w:topLinePunct w:val="0"/>
        <w:autoSpaceDE/>
        <w:autoSpaceDN/>
        <w:bidi w:val="0"/>
        <w:adjustRightInd/>
        <w:snapToGrid/>
        <w:spacing w:before="77" w:line="380" w:lineRule="exact"/>
        <w:ind w:left="274"/>
        <w:textAlignment w:val="auto"/>
        <w:rPr>
          <w:rFonts w:hint="default"/>
          <w:sz w:val="21"/>
          <w:szCs w:val="21"/>
          <w:lang w:val="en-US" w:eastAsia="zh-CN"/>
        </w:rPr>
      </w:pPr>
      <w:r>
        <w:rPr>
          <w:sz w:val="21"/>
          <w:szCs w:val="21"/>
          <w:lang w:eastAsia="zh-CN"/>
        </w:rPr>
        <w:t>致</w:t>
      </w:r>
      <w:r>
        <w:rPr>
          <w:sz w:val="21"/>
          <w:szCs w:val="21"/>
          <w:u w:val="none"/>
          <w:lang w:eastAsia="zh-CN"/>
        </w:rPr>
        <w:t>：</w:t>
      </w:r>
      <w:r>
        <w:rPr>
          <w:rFonts w:hint="eastAsia"/>
          <w:sz w:val="21"/>
          <w:szCs w:val="21"/>
          <w:u w:val="single"/>
          <w:lang w:val="en-US" w:eastAsia="zh-CN"/>
        </w:rPr>
        <w:t xml:space="preserve">  </w:t>
      </w:r>
      <w:r>
        <w:rPr>
          <w:sz w:val="21"/>
          <w:szCs w:val="21"/>
          <w:u w:val="single"/>
          <w:lang w:eastAsia="zh-CN"/>
        </w:rPr>
        <w:t>(采购人)</w:t>
      </w:r>
      <w:r>
        <w:rPr>
          <w:rFonts w:hint="eastAsia"/>
          <w:sz w:val="21"/>
          <w:szCs w:val="21"/>
          <w:u w:val="single"/>
          <w:lang w:val="en-US" w:eastAsia="zh-CN"/>
        </w:rPr>
        <w:t xml:space="preserve">     </w:t>
      </w:r>
    </w:p>
    <w:p w14:paraId="48163910">
      <w:pPr>
        <w:pStyle w:val="6"/>
        <w:keepNext w:val="0"/>
        <w:keepLines w:val="0"/>
        <w:pageBreakBefore w:val="0"/>
        <w:widowControl w:val="0"/>
        <w:kinsoku/>
        <w:wordWrap/>
        <w:overflowPunct/>
        <w:topLinePunct w:val="0"/>
        <w:autoSpaceDE/>
        <w:autoSpaceDN/>
        <w:bidi w:val="0"/>
        <w:adjustRightInd/>
        <w:snapToGrid/>
        <w:spacing w:line="380" w:lineRule="exact"/>
        <w:textAlignment w:val="auto"/>
        <w:rPr>
          <w:sz w:val="21"/>
          <w:szCs w:val="21"/>
          <w:lang w:eastAsia="zh-CN"/>
        </w:rPr>
      </w:pPr>
    </w:p>
    <w:p w14:paraId="7D7D54A9">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我们收到了</w:t>
      </w:r>
      <w:r>
        <w:rPr>
          <w:sz w:val="21"/>
          <w:szCs w:val="21"/>
          <w:u w:val="single"/>
          <w:lang w:eastAsia="zh-CN"/>
        </w:rPr>
        <w:t xml:space="preserve"> </w:t>
      </w:r>
      <w:r>
        <w:rPr>
          <w:sz w:val="21"/>
          <w:szCs w:val="21"/>
          <w:u w:val="single"/>
          <w:lang w:eastAsia="zh-CN"/>
        </w:rPr>
        <w:tab/>
      </w:r>
      <w:r>
        <w:rPr>
          <w:sz w:val="21"/>
          <w:szCs w:val="21"/>
          <w:u w:val="single"/>
          <w:lang w:eastAsia="zh-CN"/>
        </w:rPr>
        <w:t>(项目名称)</w:t>
      </w:r>
      <w:r>
        <w:rPr>
          <w:sz w:val="21"/>
          <w:szCs w:val="21"/>
          <w:u w:val="single"/>
          <w:lang w:eastAsia="zh-CN"/>
        </w:rPr>
        <w:tab/>
      </w:r>
      <w:r>
        <w:rPr>
          <w:sz w:val="21"/>
          <w:szCs w:val="21"/>
          <w:lang w:eastAsia="zh-CN"/>
        </w:rPr>
        <w:t>，项目编号为：</w:t>
      </w:r>
      <w:r>
        <w:rPr>
          <w:sz w:val="21"/>
          <w:szCs w:val="21"/>
          <w:u w:val="single"/>
          <w:lang w:eastAsia="zh-CN"/>
        </w:rPr>
        <w:t xml:space="preserve"> </w:t>
      </w:r>
      <w:r>
        <w:rPr>
          <w:sz w:val="21"/>
          <w:szCs w:val="21"/>
          <w:u w:val="single"/>
          <w:lang w:eastAsia="zh-CN"/>
        </w:rPr>
        <w:tab/>
      </w:r>
      <w:r>
        <w:rPr>
          <w:sz w:val="21"/>
          <w:szCs w:val="21"/>
          <w:lang w:eastAsia="zh-CN"/>
        </w:rPr>
        <w:t>的竞争性磋商文件，经详细研究，我们决定参加</w:t>
      </w:r>
      <w:r>
        <w:rPr>
          <w:sz w:val="21"/>
          <w:szCs w:val="21"/>
          <w:u w:val="single"/>
          <w:lang w:eastAsia="zh-CN"/>
        </w:rPr>
        <w:t xml:space="preserve"> </w:t>
      </w:r>
      <w:r>
        <w:rPr>
          <w:sz w:val="21"/>
          <w:szCs w:val="21"/>
          <w:u w:val="single"/>
          <w:lang w:eastAsia="zh-CN"/>
        </w:rPr>
        <w:tab/>
      </w:r>
      <w:r>
        <w:rPr>
          <w:rFonts w:hint="eastAsia"/>
          <w:sz w:val="21"/>
          <w:szCs w:val="21"/>
          <w:u w:val="single"/>
          <w:lang w:eastAsia="zh-CN"/>
        </w:rPr>
        <w:t>（项目名称）</w:t>
      </w:r>
      <w:r>
        <w:rPr>
          <w:rFonts w:hint="eastAsia"/>
          <w:sz w:val="21"/>
          <w:szCs w:val="21"/>
          <w:u w:val="single"/>
          <w:lang w:val="en-US" w:eastAsia="zh-CN"/>
        </w:rPr>
        <w:t xml:space="preserve">   </w:t>
      </w:r>
      <w:r>
        <w:rPr>
          <w:sz w:val="21"/>
          <w:szCs w:val="21"/>
          <w:lang w:eastAsia="zh-CN"/>
        </w:rPr>
        <w:t>的竞争性磋商采购活动，我们郑重声明以下诸点并负法律责任。</w:t>
      </w:r>
    </w:p>
    <w:p w14:paraId="6D830D42">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jc w:val="both"/>
        <w:textAlignment w:val="auto"/>
        <w:rPr>
          <w:sz w:val="21"/>
          <w:szCs w:val="21"/>
          <w:lang w:eastAsia="zh-CN"/>
        </w:rPr>
      </w:pPr>
      <w:r>
        <w:rPr>
          <w:sz w:val="21"/>
          <w:szCs w:val="21"/>
          <w:lang w:eastAsia="zh-CN"/>
        </w:rPr>
        <w:t>我单位经研究有关文件和考察了工程现场后</w:t>
      </w:r>
      <w:r>
        <w:rPr>
          <w:spacing w:val="-53"/>
          <w:sz w:val="21"/>
          <w:szCs w:val="21"/>
          <w:lang w:eastAsia="zh-CN"/>
        </w:rPr>
        <w:t>，</w:t>
      </w:r>
      <w:r>
        <w:rPr>
          <w:sz w:val="21"/>
          <w:szCs w:val="21"/>
          <w:lang w:eastAsia="zh-CN"/>
        </w:rPr>
        <w:t>我们愿意以</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的报价，按采购文件的条件要求承包上述项目。</w:t>
      </w:r>
    </w:p>
    <w:p w14:paraId="15DD2871">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1、我们同意所提交的响应文件，在采购文件</w:t>
      </w:r>
      <w:r>
        <w:rPr>
          <w:rFonts w:hint="eastAsia"/>
          <w:sz w:val="21"/>
          <w:szCs w:val="21"/>
          <w:lang w:eastAsia="zh-CN"/>
        </w:rPr>
        <w:t>响应单位</w:t>
      </w:r>
      <w:r>
        <w:rPr>
          <w:sz w:val="21"/>
          <w:szCs w:val="21"/>
          <w:lang w:eastAsia="zh-CN"/>
        </w:rPr>
        <w:t>须知前附表规定的竞争性磋商有效期内有效。</w:t>
      </w:r>
    </w:p>
    <w:p w14:paraId="1A66FD67">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2、我们已经详细审核了全部采购文件，包括修改、补充的文件和参考资料及有关附件，我们完全理解并同意放弃对这方面有不明及误解的权利。</w:t>
      </w:r>
    </w:p>
    <w:p w14:paraId="0371BAFC">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3、如果我们的响应文件被接受，我们将履行采购文件中规定的各项要求。</w:t>
      </w:r>
    </w:p>
    <w:p w14:paraId="66CB044F">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4、我方承诺在收到成交通知书后，在</w:t>
      </w:r>
      <w:r>
        <w:rPr>
          <w:rFonts w:hint="eastAsia"/>
          <w:sz w:val="21"/>
          <w:szCs w:val="21"/>
          <w:lang w:eastAsia="zh-CN"/>
        </w:rPr>
        <w:t>竞争性磋商文件</w:t>
      </w:r>
      <w:r>
        <w:rPr>
          <w:sz w:val="21"/>
          <w:szCs w:val="21"/>
          <w:lang w:eastAsia="zh-CN"/>
        </w:rPr>
        <w:t>规定的期限内与你方签订合同。</w:t>
      </w:r>
    </w:p>
    <w:p w14:paraId="2A9D663A">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5、我方承诺中标后按竞争性磋商文件中约定的标准向招标代理公司交纳招标代理费。</w:t>
      </w:r>
    </w:p>
    <w:p w14:paraId="777A5991">
      <w:pPr>
        <w:pStyle w:val="6"/>
        <w:keepNext w:val="0"/>
        <w:keepLines w:val="0"/>
        <w:pageBreakBefore w:val="0"/>
        <w:widowControl w:val="0"/>
        <w:tabs>
          <w:tab w:val="left" w:pos="2374"/>
          <w:tab w:val="left" w:pos="3319"/>
          <w:tab w:val="left" w:pos="4159"/>
          <w:tab w:val="left" w:pos="6365"/>
        </w:tabs>
        <w:kinsoku/>
        <w:wordWrap/>
        <w:overflowPunct/>
        <w:topLinePunct w:val="0"/>
        <w:autoSpaceDE/>
        <w:autoSpaceDN/>
        <w:bidi w:val="0"/>
        <w:adjustRightInd/>
        <w:snapToGrid/>
        <w:spacing w:before="76" w:line="380" w:lineRule="exact"/>
        <w:ind w:left="274" w:right="270" w:firstLine="525"/>
        <w:textAlignment w:val="auto"/>
        <w:rPr>
          <w:sz w:val="21"/>
          <w:szCs w:val="21"/>
          <w:lang w:eastAsia="zh-CN"/>
        </w:rPr>
      </w:pPr>
      <w:r>
        <w:rPr>
          <w:sz w:val="21"/>
          <w:szCs w:val="21"/>
          <w:lang w:eastAsia="zh-CN"/>
        </w:rPr>
        <w:t>6、与本采购有关的正式通讯地址：</w:t>
      </w:r>
    </w:p>
    <w:p w14:paraId="221CBB74">
      <w:pPr>
        <w:pStyle w:val="6"/>
        <w:keepNext w:val="0"/>
        <w:keepLines w:val="0"/>
        <w:pageBreakBefore w:val="0"/>
        <w:widowControl w:val="0"/>
        <w:kinsoku/>
        <w:wordWrap/>
        <w:overflowPunct/>
        <w:topLinePunct w:val="0"/>
        <w:autoSpaceDE/>
        <w:autoSpaceDN/>
        <w:bidi w:val="0"/>
        <w:adjustRightInd/>
        <w:snapToGrid/>
        <w:spacing w:line="380" w:lineRule="exact"/>
        <w:textAlignment w:val="auto"/>
        <w:rPr>
          <w:sz w:val="21"/>
          <w:szCs w:val="21"/>
          <w:lang w:eastAsia="zh-CN"/>
        </w:rPr>
      </w:pPr>
    </w:p>
    <w:p w14:paraId="1E9CD648">
      <w:pPr>
        <w:pStyle w:val="6"/>
        <w:keepNext w:val="0"/>
        <w:keepLines w:val="0"/>
        <w:pageBreakBefore w:val="0"/>
        <w:widowControl w:val="0"/>
        <w:kinsoku/>
        <w:wordWrap/>
        <w:overflowPunct/>
        <w:topLinePunct w:val="0"/>
        <w:autoSpaceDE/>
        <w:autoSpaceDN/>
        <w:bidi w:val="0"/>
        <w:adjustRightInd/>
        <w:snapToGrid/>
        <w:spacing w:line="380" w:lineRule="exact"/>
        <w:textAlignment w:val="auto"/>
        <w:rPr>
          <w:sz w:val="21"/>
          <w:szCs w:val="21"/>
          <w:lang w:eastAsia="zh-CN"/>
        </w:rPr>
      </w:pPr>
    </w:p>
    <w:p w14:paraId="56F92A8E">
      <w:pPr>
        <w:pStyle w:val="6"/>
        <w:keepNext w:val="0"/>
        <w:keepLines w:val="0"/>
        <w:pageBreakBefore w:val="0"/>
        <w:widowControl w:val="0"/>
        <w:kinsoku/>
        <w:wordWrap/>
        <w:overflowPunct/>
        <w:topLinePunct w:val="0"/>
        <w:autoSpaceDE/>
        <w:autoSpaceDN/>
        <w:bidi w:val="0"/>
        <w:adjustRightInd/>
        <w:snapToGrid/>
        <w:spacing w:before="1" w:line="380" w:lineRule="exact"/>
        <w:textAlignment w:val="auto"/>
        <w:rPr>
          <w:sz w:val="21"/>
          <w:szCs w:val="21"/>
          <w:lang w:eastAsia="zh-CN"/>
        </w:rPr>
      </w:pPr>
    </w:p>
    <w:p w14:paraId="1EE37845">
      <w:pPr>
        <w:pStyle w:val="6"/>
        <w:keepNext w:val="0"/>
        <w:keepLines w:val="0"/>
        <w:pageBreakBefore w:val="0"/>
        <w:widowControl w:val="0"/>
        <w:tabs>
          <w:tab w:val="left" w:pos="4368"/>
        </w:tabs>
        <w:kinsoku/>
        <w:wordWrap/>
        <w:overflowPunct/>
        <w:topLinePunct w:val="0"/>
        <w:autoSpaceDE/>
        <w:autoSpaceDN/>
        <w:bidi w:val="0"/>
        <w:adjustRightInd/>
        <w:snapToGrid/>
        <w:spacing w:line="380" w:lineRule="exact"/>
        <w:ind w:left="800"/>
        <w:textAlignment w:val="auto"/>
        <w:rPr>
          <w:sz w:val="21"/>
          <w:szCs w:val="21"/>
          <w:lang w:eastAsia="zh-CN"/>
        </w:rPr>
      </w:pPr>
      <w:r>
        <w:rPr>
          <w:sz w:val="21"/>
          <w:szCs w:val="21"/>
          <w:lang w:eastAsia="zh-CN"/>
        </w:rPr>
        <w:t>地址：</w:t>
      </w:r>
      <w:r>
        <w:rPr>
          <w:sz w:val="21"/>
          <w:szCs w:val="21"/>
          <w:lang w:eastAsia="zh-CN"/>
        </w:rPr>
        <w:tab/>
      </w:r>
      <w:r>
        <w:rPr>
          <w:sz w:val="21"/>
          <w:szCs w:val="21"/>
          <w:lang w:eastAsia="zh-CN"/>
        </w:rPr>
        <w:t>邮编：</w:t>
      </w:r>
    </w:p>
    <w:p w14:paraId="4261FDF3">
      <w:pPr>
        <w:pStyle w:val="6"/>
        <w:keepNext w:val="0"/>
        <w:keepLines w:val="0"/>
        <w:pageBreakBefore w:val="0"/>
        <w:widowControl w:val="0"/>
        <w:tabs>
          <w:tab w:val="left" w:pos="4368"/>
        </w:tabs>
        <w:kinsoku/>
        <w:wordWrap/>
        <w:overflowPunct/>
        <w:topLinePunct w:val="0"/>
        <w:autoSpaceDE/>
        <w:autoSpaceDN/>
        <w:bidi w:val="0"/>
        <w:adjustRightInd/>
        <w:snapToGrid/>
        <w:spacing w:line="380" w:lineRule="exact"/>
        <w:ind w:left="800"/>
        <w:textAlignment w:val="auto"/>
        <w:rPr>
          <w:sz w:val="21"/>
          <w:szCs w:val="21"/>
          <w:lang w:eastAsia="zh-CN"/>
        </w:rPr>
      </w:pPr>
    </w:p>
    <w:p w14:paraId="05F14F24">
      <w:pPr>
        <w:pStyle w:val="6"/>
        <w:keepNext w:val="0"/>
        <w:keepLines w:val="0"/>
        <w:pageBreakBefore w:val="0"/>
        <w:widowControl w:val="0"/>
        <w:tabs>
          <w:tab w:val="left" w:pos="4368"/>
        </w:tabs>
        <w:kinsoku/>
        <w:wordWrap/>
        <w:overflowPunct/>
        <w:topLinePunct w:val="0"/>
        <w:autoSpaceDE/>
        <w:autoSpaceDN/>
        <w:bidi w:val="0"/>
        <w:adjustRightInd/>
        <w:snapToGrid/>
        <w:spacing w:line="380" w:lineRule="exact"/>
        <w:ind w:left="800"/>
        <w:textAlignment w:val="auto"/>
        <w:rPr>
          <w:sz w:val="21"/>
          <w:szCs w:val="21"/>
          <w:lang w:eastAsia="zh-CN"/>
        </w:rPr>
      </w:pPr>
      <w:r>
        <w:rPr>
          <w:sz w:val="21"/>
          <w:szCs w:val="21"/>
          <w:lang w:eastAsia="zh-CN"/>
        </w:rPr>
        <w:t>电话：</w:t>
      </w:r>
      <w:r>
        <w:rPr>
          <w:sz w:val="21"/>
          <w:szCs w:val="21"/>
          <w:lang w:eastAsia="zh-CN"/>
        </w:rPr>
        <w:tab/>
      </w:r>
      <w:r>
        <w:rPr>
          <w:sz w:val="21"/>
          <w:szCs w:val="21"/>
          <w:lang w:eastAsia="zh-CN"/>
        </w:rPr>
        <w:t>传真：</w:t>
      </w:r>
    </w:p>
    <w:p w14:paraId="4BC8F5D2">
      <w:pPr>
        <w:pStyle w:val="6"/>
        <w:keepNext w:val="0"/>
        <w:keepLines w:val="0"/>
        <w:pageBreakBefore w:val="0"/>
        <w:widowControl w:val="0"/>
        <w:kinsoku/>
        <w:wordWrap/>
        <w:overflowPunct/>
        <w:topLinePunct w:val="0"/>
        <w:autoSpaceDE/>
        <w:autoSpaceDN/>
        <w:bidi w:val="0"/>
        <w:adjustRightInd/>
        <w:snapToGrid/>
        <w:spacing w:line="380" w:lineRule="exact"/>
        <w:textAlignment w:val="auto"/>
        <w:rPr>
          <w:sz w:val="21"/>
          <w:szCs w:val="21"/>
          <w:lang w:eastAsia="zh-CN"/>
        </w:rPr>
      </w:pPr>
    </w:p>
    <w:p w14:paraId="20AF2A6B">
      <w:pPr>
        <w:keepNext w:val="0"/>
        <w:keepLines w:val="0"/>
        <w:pageBreakBefore w:val="0"/>
        <w:widowControl w:val="0"/>
        <w:kinsoku/>
        <w:wordWrap/>
        <w:overflowPunct/>
        <w:topLinePunct w:val="0"/>
        <w:autoSpaceDE/>
        <w:autoSpaceDN/>
        <w:bidi w:val="0"/>
        <w:adjustRightInd/>
        <w:snapToGrid/>
        <w:spacing w:before="1" w:line="480" w:lineRule="auto"/>
        <w:ind w:left="274" w:right="660"/>
        <w:jc w:val="center"/>
        <w:textAlignment w:val="auto"/>
        <w:rPr>
          <w:rFonts w:ascii="宋体" w:hAnsi="宋体" w:cs="宋体"/>
          <w:sz w:val="21"/>
          <w:szCs w:val="21"/>
          <w:lang w:eastAsia="zh-CN"/>
        </w:rPr>
      </w:pPr>
      <w:r>
        <w:rPr>
          <w:rFonts w:hint="eastAsia" w:ascii="宋体" w:hAnsi="宋体" w:cs="宋体"/>
          <w:sz w:val="21"/>
          <w:szCs w:val="21"/>
          <w:lang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响应单位名称：</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电子签章</w:t>
      </w:r>
      <w:r>
        <w:rPr>
          <w:rFonts w:hint="eastAsia" w:ascii="宋体" w:hAnsi="宋体" w:cs="宋体"/>
          <w:sz w:val="21"/>
          <w:szCs w:val="21"/>
          <w:lang w:eastAsia="zh-CN"/>
        </w:rPr>
        <w:t>)</w:t>
      </w:r>
    </w:p>
    <w:p w14:paraId="0650A782">
      <w:pPr>
        <w:pStyle w:val="6"/>
        <w:keepNext w:val="0"/>
        <w:keepLines w:val="0"/>
        <w:pageBreakBefore w:val="0"/>
        <w:widowControl w:val="0"/>
        <w:kinsoku/>
        <w:wordWrap/>
        <w:overflowPunct/>
        <w:topLinePunct w:val="0"/>
        <w:autoSpaceDE/>
        <w:autoSpaceDN/>
        <w:bidi w:val="0"/>
        <w:adjustRightInd/>
        <w:snapToGrid/>
        <w:spacing w:line="480" w:lineRule="auto"/>
        <w:ind w:firstLine="2100" w:firstLineChars="1000"/>
        <w:textAlignment w:val="auto"/>
        <w:rPr>
          <w:sz w:val="21"/>
          <w:szCs w:val="21"/>
          <w:lang w:eastAsia="zh-CN"/>
        </w:rPr>
      </w:pPr>
      <w:r>
        <w:rPr>
          <w:sz w:val="21"/>
          <w:szCs w:val="21"/>
          <w:lang w:eastAsia="zh-CN"/>
        </w:rPr>
        <w:t>法定代表人或其授权代表：</w:t>
      </w:r>
      <w:r>
        <w:rPr>
          <w:rFonts w:hint="eastAsia"/>
          <w:sz w:val="21"/>
          <w:szCs w:val="21"/>
          <w:u w:val="single"/>
          <w:lang w:val="en-US" w:eastAsia="zh-CN"/>
        </w:rPr>
        <w:t xml:space="preserve">          </w:t>
      </w:r>
      <w:r>
        <w:rPr>
          <w:sz w:val="21"/>
          <w:szCs w:val="21"/>
          <w:lang w:eastAsia="zh-CN"/>
        </w:rPr>
        <w:t>（</w:t>
      </w:r>
      <w:r>
        <w:rPr>
          <w:rFonts w:hint="eastAsia"/>
          <w:sz w:val="21"/>
          <w:szCs w:val="21"/>
          <w:lang w:val="en-US" w:eastAsia="zh-CN"/>
        </w:rPr>
        <w:t>电子签名</w:t>
      </w:r>
      <w:r>
        <w:rPr>
          <w:sz w:val="21"/>
          <w:szCs w:val="21"/>
          <w:lang w:eastAsia="zh-CN"/>
        </w:rPr>
        <w:t>或</w:t>
      </w:r>
      <w:r>
        <w:rPr>
          <w:rFonts w:hint="eastAsia"/>
          <w:sz w:val="21"/>
          <w:szCs w:val="21"/>
          <w:lang w:val="en-US" w:eastAsia="zh-CN"/>
        </w:rPr>
        <w:t>签字</w:t>
      </w:r>
      <w:r>
        <w:rPr>
          <w:sz w:val="21"/>
          <w:szCs w:val="21"/>
          <w:lang w:eastAsia="zh-CN"/>
        </w:rPr>
        <w:t>）</w:t>
      </w:r>
    </w:p>
    <w:p w14:paraId="71B7D5B2">
      <w:pPr>
        <w:pStyle w:val="6"/>
        <w:keepNext w:val="0"/>
        <w:keepLines w:val="0"/>
        <w:pageBreakBefore w:val="0"/>
        <w:widowControl w:val="0"/>
        <w:kinsoku/>
        <w:wordWrap/>
        <w:overflowPunct/>
        <w:topLinePunct w:val="0"/>
        <w:autoSpaceDE/>
        <w:autoSpaceDN/>
        <w:bidi w:val="0"/>
        <w:adjustRightInd/>
        <w:snapToGrid/>
        <w:spacing w:line="480" w:lineRule="auto"/>
        <w:ind w:firstLine="2100" w:firstLineChars="1000"/>
        <w:textAlignment w:val="auto"/>
        <w:rPr>
          <w:sz w:val="21"/>
          <w:szCs w:val="21"/>
          <w:lang w:eastAsia="zh-CN"/>
        </w:rPr>
      </w:pPr>
      <w:r>
        <w:rPr>
          <w:sz w:val="21"/>
          <w:szCs w:val="21"/>
          <w:lang w:eastAsia="zh-CN"/>
        </w:rPr>
        <w:t>日</w:t>
      </w:r>
      <w:r>
        <w:rPr>
          <w:sz w:val="21"/>
          <w:szCs w:val="21"/>
          <w:lang w:eastAsia="zh-CN"/>
        </w:rPr>
        <w:tab/>
      </w:r>
      <w:r>
        <w:rPr>
          <w:rFonts w:hint="eastAsia"/>
          <w:sz w:val="21"/>
          <w:szCs w:val="21"/>
          <w:lang w:val="en-US" w:eastAsia="zh-CN"/>
        </w:rPr>
        <w:t xml:space="preserve">    </w:t>
      </w:r>
      <w:r>
        <w:rPr>
          <w:sz w:val="21"/>
          <w:szCs w:val="21"/>
          <w:lang w:eastAsia="zh-CN"/>
        </w:rPr>
        <w:t>期：</w:t>
      </w:r>
      <w:r>
        <w:rPr>
          <w:sz w:val="21"/>
          <w:szCs w:val="21"/>
          <w:u w:val="single"/>
          <w:lang w:eastAsia="zh-CN"/>
        </w:rPr>
        <w:t xml:space="preserve"> </w:t>
      </w:r>
      <w:r>
        <w:rPr>
          <w:sz w:val="21"/>
          <w:szCs w:val="21"/>
          <w:u w:val="single"/>
          <w:lang w:eastAsia="zh-CN"/>
        </w:rPr>
        <w:tab/>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sz w:val="21"/>
          <w:szCs w:val="21"/>
          <w:lang w:eastAsia="zh-CN"/>
        </w:rPr>
        <w:t>日</w:t>
      </w:r>
    </w:p>
    <w:p w14:paraId="76723400">
      <w:pPr>
        <w:spacing w:before="62"/>
        <w:ind w:left="1"/>
        <w:jc w:val="center"/>
        <w:outlineLvl w:val="2"/>
        <w:rPr>
          <w:b/>
          <w:sz w:val="28"/>
          <w:lang w:eastAsia="zh-CN"/>
        </w:rPr>
      </w:pPr>
      <w:bookmarkStart w:id="132" w:name="_bookmark11"/>
      <w:bookmarkEnd w:id="132"/>
      <w:bookmarkStart w:id="133" w:name="二、法定代表人身份证明及授权委托书"/>
      <w:bookmarkEnd w:id="133"/>
      <w:r>
        <w:rPr>
          <w:b/>
          <w:sz w:val="28"/>
          <w:lang w:eastAsia="zh-CN"/>
        </w:rPr>
        <w:br w:type="page"/>
      </w:r>
      <w:bookmarkStart w:id="134" w:name="_Toc30275"/>
      <w:bookmarkStart w:id="135" w:name="_Toc25831"/>
      <w:r>
        <w:rPr>
          <w:rFonts w:hint="eastAsia"/>
          <w:b/>
          <w:sz w:val="28"/>
          <w:lang w:eastAsia="zh-CN"/>
        </w:rPr>
        <w:t>4.</w:t>
      </w:r>
      <w:r>
        <w:rPr>
          <w:b/>
          <w:sz w:val="28"/>
          <w:lang w:eastAsia="zh-CN"/>
        </w:rPr>
        <w:t>法定代表人身份证明及授权委托书</w:t>
      </w:r>
      <w:bookmarkEnd w:id="134"/>
      <w:bookmarkEnd w:id="135"/>
    </w:p>
    <w:p w14:paraId="5CC723C2">
      <w:pPr>
        <w:pStyle w:val="6"/>
        <w:spacing w:before="12"/>
        <w:rPr>
          <w:b/>
          <w:sz w:val="31"/>
          <w:lang w:eastAsia="zh-CN"/>
        </w:rPr>
      </w:pPr>
    </w:p>
    <w:p w14:paraId="5D74EA96">
      <w:pPr>
        <w:pStyle w:val="5"/>
        <w:ind w:left="9"/>
        <w:jc w:val="center"/>
        <w:rPr>
          <w:lang w:eastAsia="zh-CN"/>
        </w:rPr>
      </w:pPr>
      <w:r>
        <w:rPr>
          <w:rFonts w:hint="eastAsia"/>
          <w:lang w:eastAsia="zh-CN"/>
        </w:rPr>
        <w:t>4.1</w:t>
      </w:r>
      <w:r>
        <w:rPr>
          <w:lang w:eastAsia="zh-CN"/>
        </w:rPr>
        <w:t>法定代表人身份证明</w:t>
      </w:r>
    </w:p>
    <w:p w14:paraId="091D7426">
      <w:pPr>
        <w:pStyle w:val="6"/>
        <w:rPr>
          <w:b/>
          <w:sz w:val="20"/>
          <w:lang w:eastAsia="zh-CN"/>
        </w:rPr>
      </w:pPr>
    </w:p>
    <w:p w14:paraId="7BDC2910">
      <w:pPr>
        <w:pStyle w:val="6"/>
        <w:tabs>
          <w:tab w:val="left" w:pos="1325"/>
        </w:tabs>
        <w:spacing w:line="360" w:lineRule="auto"/>
        <w:ind w:left="0" w:firstLine="630" w:firstLineChars="300"/>
        <w:rPr>
          <w:spacing w:val="-14"/>
          <w:sz w:val="21"/>
          <w:szCs w:val="21"/>
          <w:lang w:eastAsia="zh-CN"/>
        </w:rPr>
      </w:pPr>
      <w:r>
        <w:rPr>
          <w:rFonts w:hint="eastAsia"/>
          <w:sz w:val="21"/>
          <w:szCs w:val="21"/>
          <w:lang w:eastAsia="zh-CN"/>
        </w:rPr>
        <w:t>响应单位</w:t>
      </w:r>
      <w:r>
        <w:rPr>
          <w:sz w:val="21"/>
          <w:szCs w:val="21"/>
          <w:lang w:eastAsia="zh-CN"/>
        </w:rPr>
        <w:t>名称</w:t>
      </w:r>
      <w:r>
        <w:rPr>
          <w:spacing w:val="-14"/>
          <w:sz w:val="21"/>
          <w:szCs w:val="21"/>
          <w:lang w:eastAsia="zh-CN"/>
        </w:rPr>
        <w:t>：</w:t>
      </w:r>
      <w:r>
        <w:rPr>
          <w:rFonts w:hint="eastAsia"/>
          <w:spacing w:val="-14"/>
          <w:sz w:val="21"/>
          <w:szCs w:val="21"/>
          <w:u w:val="single"/>
          <w:lang w:val="en-US" w:eastAsia="zh-CN"/>
        </w:rPr>
        <w:t xml:space="preserve">                             </w:t>
      </w:r>
      <w:r>
        <w:rPr>
          <w:rFonts w:hint="eastAsia"/>
          <w:spacing w:val="-14"/>
          <w:sz w:val="21"/>
          <w:szCs w:val="21"/>
          <w:lang w:eastAsia="zh-CN"/>
        </w:rPr>
        <w:t xml:space="preserve">                         </w:t>
      </w:r>
    </w:p>
    <w:p w14:paraId="5DF23088">
      <w:pPr>
        <w:pStyle w:val="6"/>
        <w:tabs>
          <w:tab w:val="left" w:pos="1325"/>
        </w:tabs>
        <w:spacing w:line="360" w:lineRule="auto"/>
        <w:ind w:left="0" w:firstLine="630" w:firstLineChars="300"/>
        <w:rPr>
          <w:sz w:val="21"/>
          <w:szCs w:val="21"/>
          <w:lang w:eastAsia="zh-CN"/>
        </w:rPr>
      </w:pPr>
      <w:r>
        <w:rPr>
          <w:sz w:val="21"/>
          <w:szCs w:val="21"/>
          <w:lang w:eastAsia="zh-CN"/>
        </w:rPr>
        <w:t>单位性质：</w:t>
      </w:r>
      <w:r>
        <w:rPr>
          <w:rFonts w:hint="eastAsia"/>
          <w:sz w:val="21"/>
          <w:szCs w:val="21"/>
          <w:u w:val="single"/>
          <w:lang w:eastAsia="zh-CN"/>
        </w:rPr>
        <w:t xml:space="preserve">                        </w:t>
      </w:r>
    </w:p>
    <w:p w14:paraId="22B557B3">
      <w:pPr>
        <w:pStyle w:val="6"/>
        <w:tabs>
          <w:tab w:val="left" w:pos="1325"/>
        </w:tabs>
        <w:spacing w:line="360" w:lineRule="auto"/>
        <w:ind w:left="0" w:firstLine="630" w:firstLineChars="300"/>
        <w:rPr>
          <w:sz w:val="21"/>
          <w:szCs w:val="21"/>
          <w:u w:val="single"/>
          <w:lang w:eastAsia="zh-CN"/>
        </w:rPr>
      </w:pPr>
      <w:r>
        <w:rPr>
          <w:sz w:val="21"/>
          <w:szCs w:val="21"/>
          <w:lang w:eastAsia="zh-CN"/>
        </w:rPr>
        <w:t>地</w:t>
      </w:r>
      <w:r>
        <w:rPr>
          <w:sz w:val="21"/>
          <w:szCs w:val="21"/>
          <w:lang w:eastAsia="zh-CN"/>
        </w:rPr>
        <w:tab/>
      </w:r>
      <w:r>
        <w:rPr>
          <w:sz w:val="21"/>
          <w:szCs w:val="21"/>
          <w:lang w:eastAsia="zh-CN"/>
        </w:rPr>
        <w:t>址：</w:t>
      </w:r>
      <w:r>
        <w:rPr>
          <w:rFonts w:hint="eastAsia"/>
          <w:sz w:val="21"/>
          <w:szCs w:val="21"/>
          <w:u w:val="single"/>
          <w:lang w:eastAsia="zh-CN"/>
        </w:rPr>
        <w:t xml:space="preserve">                        </w:t>
      </w:r>
    </w:p>
    <w:p w14:paraId="172365E0">
      <w:pPr>
        <w:pStyle w:val="6"/>
        <w:tabs>
          <w:tab w:val="left" w:pos="3528"/>
          <w:tab w:val="left" w:pos="5208"/>
          <w:tab w:val="left" w:pos="6888"/>
        </w:tabs>
        <w:spacing w:line="360" w:lineRule="auto"/>
        <w:ind w:left="0" w:right="3107" w:firstLine="630" w:firstLineChars="300"/>
        <w:rPr>
          <w:sz w:val="21"/>
          <w:szCs w:val="21"/>
          <w:lang w:eastAsia="zh-CN"/>
        </w:rPr>
      </w:pPr>
      <w:r>
        <w:rPr>
          <w:sz w:val="21"/>
          <w:szCs w:val="21"/>
          <w:lang w:eastAsia="zh-CN"/>
        </w:rPr>
        <w:t>成立时间：</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Pr>
          <w:rFonts w:hint="eastAsia"/>
          <w:sz w:val="21"/>
          <w:szCs w:val="21"/>
          <w:lang w:eastAsia="zh-CN"/>
        </w:rPr>
        <w:t>日</w:t>
      </w:r>
    </w:p>
    <w:p w14:paraId="54E26400">
      <w:pPr>
        <w:pStyle w:val="6"/>
        <w:tabs>
          <w:tab w:val="left" w:pos="3528"/>
          <w:tab w:val="left" w:pos="5208"/>
          <w:tab w:val="left" w:pos="6888"/>
        </w:tabs>
        <w:spacing w:line="360" w:lineRule="auto"/>
        <w:ind w:left="0" w:right="3107" w:firstLine="630" w:firstLineChars="300"/>
        <w:rPr>
          <w:sz w:val="21"/>
          <w:szCs w:val="21"/>
          <w:u w:val="single"/>
          <w:lang w:eastAsia="zh-CN"/>
        </w:rPr>
      </w:pPr>
      <w:r>
        <w:rPr>
          <w:sz w:val="21"/>
          <w:szCs w:val="21"/>
          <w:lang w:eastAsia="zh-CN"/>
        </w:rPr>
        <w:t>经营期限：</w:t>
      </w:r>
      <w:r>
        <w:rPr>
          <w:rFonts w:hint="eastAsia"/>
          <w:sz w:val="21"/>
          <w:szCs w:val="21"/>
          <w:u w:val="single"/>
          <w:lang w:eastAsia="zh-CN"/>
        </w:rPr>
        <w:t xml:space="preserve">                      </w:t>
      </w:r>
    </w:p>
    <w:p w14:paraId="2CC4AC87">
      <w:pPr>
        <w:pStyle w:val="6"/>
        <w:tabs>
          <w:tab w:val="left" w:pos="1325"/>
          <w:tab w:val="left" w:pos="4474"/>
          <w:tab w:val="left" w:pos="5208"/>
        </w:tabs>
        <w:spacing w:line="360" w:lineRule="auto"/>
        <w:ind w:left="0" w:firstLine="630" w:firstLineChars="300"/>
        <w:rPr>
          <w:sz w:val="21"/>
          <w:szCs w:val="21"/>
          <w:u w:val="single"/>
          <w:lang w:eastAsia="zh-CN"/>
        </w:rPr>
      </w:pPr>
      <w:r>
        <w:rPr>
          <w:sz w:val="21"/>
          <w:szCs w:val="21"/>
          <w:lang w:eastAsia="zh-CN"/>
        </w:rPr>
        <w:t>姓</w:t>
      </w:r>
      <w:r>
        <w:rPr>
          <w:sz w:val="21"/>
          <w:szCs w:val="21"/>
          <w:lang w:eastAsia="zh-CN"/>
        </w:rPr>
        <w:tab/>
      </w:r>
      <w:r>
        <w:rPr>
          <w:sz w:val="21"/>
          <w:szCs w:val="21"/>
          <w:lang w:eastAsia="zh-CN"/>
        </w:rPr>
        <w:t>名：</w:t>
      </w:r>
      <w:r>
        <w:rPr>
          <w:rFonts w:hint="eastAsia"/>
          <w:sz w:val="21"/>
          <w:szCs w:val="21"/>
          <w:u w:val="single"/>
          <w:lang w:eastAsia="zh-CN"/>
        </w:rPr>
        <w:t xml:space="preserve">      </w:t>
      </w:r>
    </w:p>
    <w:p w14:paraId="2878D7C8">
      <w:pPr>
        <w:pStyle w:val="6"/>
        <w:tabs>
          <w:tab w:val="left" w:pos="1325"/>
          <w:tab w:val="left" w:pos="4474"/>
          <w:tab w:val="left" w:pos="5208"/>
        </w:tabs>
        <w:spacing w:line="360" w:lineRule="auto"/>
        <w:ind w:left="0" w:firstLine="630" w:firstLineChars="300"/>
        <w:rPr>
          <w:spacing w:val="-16"/>
          <w:sz w:val="21"/>
          <w:szCs w:val="21"/>
          <w:u w:val="single"/>
          <w:lang w:eastAsia="zh-CN"/>
        </w:rPr>
      </w:pPr>
      <w:r>
        <w:rPr>
          <w:sz w:val="21"/>
          <w:szCs w:val="21"/>
          <w:lang w:eastAsia="zh-CN"/>
        </w:rPr>
        <w:t>性</w:t>
      </w:r>
      <w:r>
        <w:rPr>
          <w:sz w:val="21"/>
          <w:szCs w:val="21"/>
          <w:lang w:eastAsia="zh-CN"/>
        </w:rPr>
        <w:tab/>
      </w:r>
      <w:r>
        <w:rPr>
          <w:sz w:val="21"/>
          <w:szCs w:val="21"/>
          <w:lang w:eastAsia="zh-CN"/>
        </w:rPr>
        <w:t>别</w:t>
      </w:r>
      <w:r>
        <w:rPr>
          <w:spacing w:val="-16"/>
          <w:sz w:val="21"/>
          <w:szCs w:val="21"/>
          <w:lang w:eastAsia="zh-CN"/>
        </w:rPr>
        <w:t xml:space="preserve">： </w:t>
      </w:r>
      <w:r>
        <w:rPr>
          <w:rFonts w:hint="eastAsia"/>
          <w:spacing w:val="-16"/>
          <w:sz w:val="21"/>
          <w:szCs w:val="21"/>
          <w:u w:val="single"/>
          <w:lang w:eastAsia="zh-CN"/>
        </w:rPr>
        <w:t xml:space="preserve">   </w:t>
      </w:r>
      <w:r>
        <w:rPr>
          <w:rFonts w:hint="eastAsia"/>
          <w:spacing w:val="-16"/>
          <w:sz w:val="21"/>
          <w:szCs w:val="21"/>
          <w:u w:val="single"/>
          <w:lang w:val="en-US" w:eastAsia="zh-CN"/>
        </w:rPr>
        <w:t xml:space="preserve">     </w:t>
      </w:r>
    </w:p>
    <w:p w14:paraId="74AB2BB0">
      <w:pPr>
        <w:pStyle w:val="6"/>
        <w:tabs>
          <w:tab w:val="left" w:pos="1325"/>
          <w:tab w:val="left" w:pos="4474"/>
          <w:tab w:val="left" w:pos="5208"/>
        </w:tabs>
        <w:spacing w:line="360" w:lineRule="auto"/>
        <w:ind w:left="0" w:firstLine="630" w:firstLineChars="300"/>
        <w:rPr>
          <w:rFonts w:hint="default"/>
          <w:sz w:val="21"/>
          <w:szCs w:val="21"/>
          <w:u w:val="single"/>
          <w:lang w:val="en-US" w:eastAsia="zh-CN"/>
        </w:rPr>
      </w:pPr>
      <w:r>
        <w:rPr>
          <w:sz w:val="21"/>
          <w:szCs w:val="21"/>
          <w:lang w:eastAsia="zh-CN"/>
        </w:rPr>
        <w:t>年</w:t>
      </w:r>
      <w:r>
        <w:rPr>
          <w:sz w:val="21"/>
          <w:szCs w:val="21"/>
          <w:lang w:eastAsia="zh-CN"/>
        </w:rPr>
        <w:tab/>
      </w:r>
      <w:r>
        <w:rPr>
          <w:sz w:val="21"/>
          <w:szCs w:val="21"/>
          <w:lang w:eastAsia="zh-CN"/>
        </w:rPr>
        <w:t>龄：</w:t>
      </w:r>
      <w:r>
        <w:rPr>
          <w:rFonts w:hint="eastAsia"/>
          <w:sz w:val="21"/>
          <w:szCs w:val="21"/>
          <w:u w:val="single"/>
          <w:lang w:eastAsia="zh-CN"/>
        </w:rPr>
        <w:t xml:space="preserve">    </w:t>
      </w:r>
      <w:r>
        <w:rPr>
          <w:rFonts w:hint="eastAsia"/>
          <w:sz w:val="21"/>
          <w:szCs w:val="21"/>
          <w:u w:val="single"/>
          <w:lang w:val="en-US" w:eastAsia="zh-CN"/>
        </w:rPr>
        <w:t xml:space="preserve">  </w:t>
      </w:r>
    </w:p>
    <w:p w14:paraId="2B2BAA16">
      <w:pPr>
        <w:pStyle w:val="6"/>
        <w:tabs>
          <w:tab w:val="left" w:pos="1325"/>
          <w:tab w:val="left" w:pos="4474"/>
          <w:tab w:val="left" w:pos="5208"/>
        </w:tabs>
        <w:spacing w:line="360" w:lineRule="auto"/>
        <w:ind w:left="0" w:firstLine="630" w:firstLineChars="300"/>
        <w:rPr>
          <w:sz w:val="21"/>
          <w:szCs w:val="21"/>
          <w:u w:val="single"/>
          <w:lang w:eastAsia="zh-CN"/>
        </w:rPr>
      </w:pPr>
      <w:r>
        <w:rPr>
          <w:sz w:val="21"/>
          <w:szCs w:val="21"/>
          <w:lang w:eastAsia="zh-CN"/>
        </w:rPr>
        <w:t>职</w:t>
      </w:r>
      <w:r>
        <w:rPr>
          <w:sz w:val="21"/>
          <w:szCs w:val="21"/>
          <w:lang w:eastAsia="zh-CN"/>
        </w:rPr>
        <w:tab/>
      </w:r>
      <w:r>
        <w:rPr>
          <w:sz w:val="21"/>
          <w:szCs w:val="21"/>
          <w:lang w:eastAsia="zh-CN"/>
        </w:rPr>
        <w:t>务</w:t>
      </w:r>
      <w:r>
        <w:rPr>
          <w:spacing w:val="-16"/>
          <w:sz w:val="21"/>
          <w:szCs w:val="21"/>
          <w:lang w:eastAsia="zh-CN"/>
        </w:rPr>
        <w:t>：</w:t>
      </w:r>
      <w:r>
        <w:rPr>
          <w:rFonts w:hint="eastAsia"/>
          <w:spacing w:val="-16"/>
          <w:sz w:val="21"/>
          <w:szCs w:val="21"/>
          <w:u w:val="single"/>
          <w:lang w:eastAsia="zh-CN"/>
        </w:rPr>
        <w:t xml:space="preserve">           </w:t>
      </w:r>
    </w:p>
    <w:p w14:paraId="10E1F3E9">
      <w:pPr>
        <w:pStyle w:val="6"/>
        <w:tabs>
          <w:tab w:val="left" w:pos="6048"/>
        </w:tabs>
        <w:ind w:left="0" w:firstLine="630" w:firstLineChars="300"/>
        <w:rPr>
          <w:spacing w:val="-10"/>
          <w:sz w:val="21"/>
          <w:szCs w:val="21"/>
          <w:lang w:eastAsia="zh-CN"/>
        </w:rPr>
      </w:pPr>
      <w:r>
        <w:rPr>
          <w:sz w:val="21"/>
          <w:szCs w:val="21"/>
          <w:lang w:eastAsia="zh-CN"/>
        </w:rPr>
        <w:t>系</w:t>
      </w:r>
      <w:r>
        <w:rPr>
          <w:rFonts w:hint="eastAsia"/>
          <w:sz w:val="21"/>
          <w:szCs w:val="21"/>
          <w:u w:val="single"/>
          <w:lang w:eastAsia="zh-CN"/>
        </w:rPr>
        <w:t xml:space="preserve">          </w:t>
      </w:r>
      <w:r>
        <w:rPr>
          <w:sz w:val="21"/>
          <w:szCs w:val="21"/>
          <w:u w:val="single"/>
          <w:lang w:eastAsia="zh-CN"/>
        </w:rPr>
        <w:t>（</w:t>
      </w:r>
      <w:r>
        <w:rPr>
          <w:rFonts w:hint="eastAsia"/>
          <w:sz w:val="21"/>
          <w:szCs w:val="21"/>
          <w:u w:val="single"/>
          <w:lang w:eastAsia="zh-CN"/>
        </w:rPr>
        <w:t>响应单位</w:t>
      </w:r>
      <w:r>
        <w:rPr>
          <w:sz w:val="21"/>
          <w:szCs w:val="21"/>
          <w:u w:val="single"/>
          <w:lang w:eastAsia="zh-CN"/>
        </w:rPr>
        <w:t>名称）</w:t>
      </w:r>
      <w:r>
        <w:rPr>
          <w:rFonts w:hint="eastAsia"/>
          <w:sz w:val="21"/>
          <w:szCs w:val="21"/>
          <w:u w:val="single"/>
          <w:lang w:eastAsia="zh-CN"/>
        </w:rPr>
        <w:t xml:space="preserve">          </w:t>
      </w:r>
      <w:r>
        <w:rPr>
          <w:sz w:val="21"/>
          <w:szCs w:val="21"/>
          <w:lang w:eastAsia="zh-CN"/>
        </w:rPr>
        <w:t>的法定代表人</w:t>
      </w:r>
      <w:r>
        <w:rPr>
          <w:spacing w:val="-10"/>
          <w:sz w:val="21"/>
          <w:szCs w:val="21"/>
          <w:lang w:eastAsia="zh-CN"/>
        </w:rPr>
        <w:t>。</w:t>
      </w:r>
    </w:p>
    <w:p w14:paraId="10521543">
      <w:pPr>
        <w:pStyle w:val="6"/>
        <w:tabs>
          <w:tab w:val="left" w:pos="6048"/>
        </w:tabs>
        <w:ind w:left="0" w:firstLine="630" w:firstLineChars="300"/>
        <w:rPr>
          <w:sz w:val="21"/>
          <w:szCs w:val="21"/>
          <w:lang w:eastAsia="zh-CN"/>
        </w:rPr>
      </w:pPr>
    </w:p>
    <w:p w14:paraId="6BB42627">
      <w:pPr>
        <w:pStyle w:val="6"/>
        <w:tabs>
          <w:tab w:val="left" w:pos="6048"/>
        </w:tabs>
        <w:ind w:left="0" w:firstLine="630" w:firstLineChars="300"/>
        <w:rPr>
          <w:sz w:val="21"/>
          <w:szCs w:val="21"/>
          <w:lang w:eastAsia="zh-CN"/>
        </w:rPr>
      </w:pPr>
      <w:r>
        <w:rPr>
          <w:sz w:val="21"/>
          <w:szCs w:val="21"/>
          <w:lang w:eastAsia="zh-CN"/>
        </w:rPr>
        <w:t>特此证明。</w:t>
      </w:r>
    </w:p>
    <w:p w14:paraId="2D504DB2">
      <w:pPr>
        <w:pStyle w:val="6"/>
        <w:tabs>
          <w:tab w:val="left" w:pos="6048"/>
        </w:tabs>
        <w:ind w:left="0" w:firstLine="630" w:firstLineChars="300"/>
        <w:rPr>
          <w:sz w:val="21"/>
          <w:szCs w:val="21"/>
          <w:lang w:eastAsia="zh-CN"/>
        </w:rPr>
      </w:pPr>
      <w:r>
        <w:rPr>
          <w:rFonts w:hint="eastAsia"/>
          <w:sz w:val="21"/>
          <w:szCs w:val="21"/>
          <w:lang w:val="en-US" w:eastAsia="zh-CN"/>
        </w:rPr>
        <w:t>附：法定代表人身份证扫描件。</w:t>
      </w:r>
    </w:p>
    <w:p w14:paraId="20E072E2">
      <w:pPr>
        <w:pStyle w:val="6"/>
        <w:rPr>
          <w:sz w:val="21"/>
          <w:szCs w:val="21"/>
          <w:lang w:eastAsia="zh-CN"/>
        </w:rPr>
      </w:pPr>
    </w:p>
    <w:p w14:paraId="6F81CDB6">
      <w:pPr>
        <w:pStyle w:val="6"/>
        <w:rPr>
          <w:sz w:val="20"/>
          <w:lang w:eastAsia="zh-CN"/>
        </w:rPr>
      </w:pPr>
    </w:p>
    <w:p w14:paraId="2B72380A">
      <w:pPr>
        <w:pStyle w:val="7"/>
        <w:rPr>
          <w:sz w:val="20"/>
          <w:lang w:eastAsia="zh-CN"/>
        </w:rPr>
      </w:pPr>
    </w:p>
    <w:p w14:paraId="018446D3">
      <w:pPr>
        <w:pStyle w:val="7"/>
        <w:rPr>
          <w:sz w:val="20"/>
          <w:lang w:eastAsia="zh-CN"/>
        </w:rPr>
      </w:pPr>
    </w:p>
    <w:p w14:paraId="69EA492A">
      <w:pPr>
        <w:pStyle w:val="7"/>
        <w:rPr>
          <w:sz w:val="20"/>
          <w:lang w:eastAsia="zh-CN"/>
        </w:rPr>
      </w:pPr>
    </w:p>
    <w:p w14:paraId="2E5B5B80">
      <w:pPr>
        <w:pStyle w:val="6"/>
        <w:spacing w:before="2"/>
        <w:rPr>
          <w:lang w:eastAsia="zh-CN"/>
        </w:rPr>
      </w:pPr>
    </w:p>
    <w:p w14:paraId="6F1E3E15">
      <w:pPr>
        <w:ind w:left="31"/>
        <w:jc w:val="center"/>
        <w:rPr>
          <w:sz w:val="21"/>
          <w:lang w:eastAsia="zh-CN"/>
        </w:rPr>
      </w:pPr>
      <w:r>
        <w:rPr>
          <w:rFonts w:hint="eastAsia"/>
          <w:sz w:val="21"/>
          <w:lang w:eastAsia="zh-CN"/>
        </w:rPr>
        <w:t>响应单位</w:t>
      </w:r>
      <w:r>
        <w:rPr>
          <w:sz w:val="21"/>
          <w:lang w:eastAsia="zh-CN"/>
        </w:rPr>
        <w:t>：</w:t>
      </w:r>
      <w:r>
        <w:rPr>
          <w:rFonts w:hint="eastAsia"/>
          <w:sz w:val="21"/>
          <w:u w:val="single"/>
          <w:lang w:val="en-US" w:eastAsia="zh-CN"/>
        </w:rPr>
        <w:t xml:space="preserve">                              </w:t>
      </w:r>
      <w:r>
        <w:rPr>
          <w:sz w:val="21"/>
          <w:lang w:eastAsia="zh-CN"/>
        </w:rPr>
        <w:t>(</w:t>
      </w:r>
      <w:r>
        <w:rPr>
          <w:rFonts w:hint="eastAsia"/>
          <w:lang w:val="en-US" w:eastAsia="zh-CN"/>
        </w:rPr>
        <w:t>电子签章</w:t>
      </w:r>
      <w:r>
        <w:rPr>
          <w:sz w:val="21"/>
          <w:lang w:eastAsia="zh-CN"/>
        </w:rPr>
        <w:t>)</w:t>
      </w:r>
    </w:p>
    <w:p w14:paraId="12B4F37C">
      <w:pPr>
        <w:pStyle w:val="6"/>
        <w:spacing w:before="3"/>
        <w:rPr>
          <w:sz w:val="22"/>
          <w:lang w:eastAsia="zh-CN"/>
        </w:rPr>
      </w:pPr>
    </w:p>
    <w:p w14:paraId="01581FD5">
      <w:pPr>
        <w:ind w:left="31"/>
        <w:jc w:val="center"/>
        <w:rPr>
          <w:sz w:val="21"/>
          <w:lang w:eastAsia="zh-CN"/>
        </w:rPr>
      </w:pPr>
      <w:r>
        <w:rPr>
          <w:rFonts w:hint="eastAsia"/>
          <w:sz w:val="21"/>
          <w:lang w:eastAsia="zh-CN"/>
        </w:rPr>
        <w:t xml:space="preserve">  </w:t>
      </w:r>
      <w:r>
        <w:rPr>
          <w:rFonts w:hint="eastAsia"/>
          <w:sz w:val="21"/>
          <w:u w:val="single"/>
          <w:lang w:val="en-US" w:eastAsia="zh-CN"/>
        </w:rPr>
        <w:t xml:space="preserve">       </w:t>
      </w:r>
      <w:r>
        <w:rPr>
          <w:rFonts w:hint="eastAsia"/>
          <w:sz w:val="21"/>
          <w:lang w:eastAsia="zh-CN"/>
        </w:rPr>
        <w:t>年</w:t>
      </w:r>
      <w:r>
        <w:rPr>
          <w:rFonts w:hint="eastAsia"/>
          <w:sz w:val="21"/>
          <w:u w:val="single"/>
          <w:lang w:val="en-US" w:eastAsia="zh-CN"/>
        </w:rPr>
        <w:t xml:space="preserve">    </w:t>
      </w:r>
      <w:r>
        <w:rPr>
          <w:rFonts w:hint="eastAsia"/>
          <w:sz w:val="21"/>
          <w:lang w:eastAsia="zh-CN"/>
        </w:rPr>
        <w:t>月</w:t>
      </w:r>
      <w:r>
        <w:rPr>
          <w:rFonts w:hint="eastAsia"/>
          <w:sz w:val="21"/>
          <w:u w:val="single"/>
          <w:lang w:val="en-US" w:eastAsia="zh-CN"/>
        </w:rPr>
        <w:t xml:space="preserve">    </w:t>
      </w:r>
      <w:r>
        <w:rPr>
          <w:rFonts w:hint="eastAsia"/>
          <w:sz w:val="21"/>
          <w:lang w:eastAsia="zh-CN"/>
        </w:rPr>
        <w:t xml:space="preserve">日  </w:t>
      </w:r>
    </w:p>
    <w:p w14:paraId="10570CBF">
      <w:pPr>
        <w:pStyle w:val="6"/>
        <w:rPr>
          <w:sz w:val="20"/>
          <w:lang w:eastAsia="zh-CN"/>
        </w:rPr>
      </w:pPr>
    </w:p>
    <w:p w14:paraId="5B5AA49E">
      <w:pPr>
        <w:pStyle w:val="6"/>
        <w:rPr>
          <w:sz w:val="20"/>
          <w:lang w:eastAsia="zh-CN"/>
        </w:rPr>
      </w:pPr>
    </w:p>
    <w:p w14:paraId="27CB131C">
      <w:pPr>
        <w:pStyle w:val="6"/>
        <w:spacing w:before="2"/>
        <w:rPr>
          <w:lang w:eastAsia="zh-CN"/>
        </w:rPr>
      </w:pPr>
    </w:p>
    <w:p w14:paraId="0AF24A67">
      <w:pPr>
        <w:rPr>
          <w:lang w:eastAsia="zh-CN"/>
        </w:rPr>
      </w:pPr>
    </w:p>
    <w:p w14:paraId="1BE75139">
      <w:pPr>
        <w:pStyle w:val="19"/>
        <w:ind w:firstLine="210"/>
      </w:pPr>
    </w:p>
    <w:p w14:paraId="58F6176F">
      <w:pPr>
        <w:pStyle w:val="5"/>
        <w:spacing w:before="59"/>
        <w:jc w:val="center"/>
        <w:rPr>
          <w:lang w:eastAsia="zh-CN"/>
        </w:rPr>
      </w:pPr>
      <w:r>
        <w:rPr>
          <w:lang w:eastAsia="zh-CN"/>
        </w:rPr>
        <w:br w:type="page"/>
      </w:r>
      <w:r>
        <w:rPr>
          <w:rFonts w:hint="eastAsia"/>
          <w:lang w:eastAsia="zh-CN"/>
        </w:rPr>
        <w:t>4.2</w:t>
      </w:r>
      <w:r>
        <w:rPr>
          <w:lang w:eastAsia="zh-CN"/>
        </w:rPr>
        <w:t>授权委托书</w:t>
      </w:r>
    </w:p>
    <w:p w14:paraId="103A7022">
      <w:pPr>
        <w:pStyle w:val="6"/>
        <w:rPr>
          <w:b/>
          <w:sz w:val="20"/>
          <w:lang w:eastAsia="zh-CN"/>
        </w:rPr>
      </w:pPr>
    </w:p>
    <w:p w14:paraId="17C3CFDF">
      <w:pPr>
        <w:pStyle w:val="6"/>
        <w:rPr>
          <w:b/>
          <w:sz w:val="20"/>
          <w:lang w:eastAsia="zh-CN"/>
        </w:rPr>
      </w:pPr>
    </w:p>
    <w:p w14:paraId="1E58BD07">
      <w:pPr>
        <w:pStyle w:val="6"/>
        <w:keepNext w:val="0"/>
        <w:keepLines w:val="0"/>
        <w:pageBreakBefore w:val="0"/>
        <w:widowControl w:val="0"/>
        <w:kinsoku/>
        <w:wordWrap/>
        <w:overflowPunct/>
        <w:topLinePunct w:val="0"/>
        <w:autoSpaceDE/>
        <w:autoSpaceDN/>
        <w:bidi w:val="0"/>
        <w:adjustRightInd/>
        <w:snapToGrid/>
        <w:spacing w:line="440" w:lineRule="exact"/>
        <w:ind w:left="0" w:firstLine="630" w:firstLineChars="300"/>
        <w:textAlignment w:val="auto"/>
        <w:rPr>
          <w:rFonts w:cs="宋体"/>
          <w:sz w:val="21"/>
          <w:szCs w:val="21"/>
          <w:u w:val="single"/>
          <w:lang w:eastAsia="zh-CN"/>
        </w:rPr>
      </w:pPr>
      <w:r>
        <w:rPr>
          <w:rFonts w:hint="eastAsia" w:cs="宋体"/>
          <w:sz w:val="21"/>
          <w:szCs w:val="21"/>
          <w:lang w:eastAsia="zh-CN"/>
        </w:rPr>
        <w:t>本人</w:t>
      </w:r>
      <w:r>
        <w:rPr>
          <w:rFonts w:hint="eastAsia" w:cs="宋体"/>
          <w:sz w:val="21"/>
          <w:szCs w:val="21"/>
          <w:u w:val="single"/>
          <w:lang w:eastAsia="zh-CN"/>
        </w:rPr>
        <w:t>（姓名）</w:t>
      </w:r>
      <w:r>
        <w:rPr>
          <w:rFonts w:hint="eastAsia" w:cs="宋体"/>
          <w:sz w:val="21"/>
          <w:szCs w:val="21"/>
          <w:lang w:eastAsia="zh-CN"/>
        </w:rPr>
        <w:t>系</w:t>
      </w:r>
      <w:r>
        <w:rPr>
          <w:rFonts w:hint="eastAsia" w:cs="宋体"/>
          <w:sz w:val="21"/>
          <w:szCs w:val="21"/>
          <w:u w:val="single"/>
          <w:lang w:eastAsia="zh-CN"/>
        </w:rPr>
        <w:t xml:space="preserve"> （响应单位名称）</w:t>
      </w:r>
      <w:r>
        <w:rPr>
          <w:rFonts w:hint="eastAsia" w:cs="宋体"/>
          <w:sz w:val="21"/>
          <w:szCs w:val="21"/>
          <w:lang w:eastAsia="zh-CN"/>
        </w:rPr>
        <w:t>的法定代表人，现委托</w:t>
      </w:r>
      <w:r>
        <w:rPr>
          <w:rFonts w:hint="eastAsia" w:cs="宋体"/>
          <w:sz w:val="21"/>
          <w:szCs w:val="21"/>
          <w:u w:val="single"/>
          <w:lang w:eastAsia="zh-CN"/>
        </w:rPr>
        <w:t xml:space="preserve"> （姓名）</w:t>
      </w:r>
      <w:r>
        <w:rPr>
          <w:rFonts w:hint="eastAsia" w:cs="宋体"/>
          <w:sz w:val="21"/>
          <w:szCs w:val="21"/>
          <w:lang w:eastAsia="zh-CN"/>
        </w:rPr>
        <w:t>为我方代理人</w:t>
      </w:r>
      <w:r>
        <w:rPr>
          <w:rFonts w:hint="eastAsia" w:cs="宋体"/>
          <w:spacing w:val="-10"/>
          <w:sz w:val="21"/>
          <w:szCs w:val="21"/>
          <w:lang w:eastAsia="zh-CN"/>
        </w:rPr>
        <w:t>。</w:t>
      </w:r>
      <w:r>
        <w:rPr>
          <w:rFonts w:hint="eastAsia" w:cs="宋体"/>
          <w:sz w:val="21"/>
          <w:szCs w:val="21"/>
          <w:lang w:eastAsia="zh-CN"/>
        </w:rPr>
        <w:t>代理人根据授权</w:t>
      </w:r>
      <w:r>
        <w:rPr>
          <w:rFonts w:hint="eastAsia" w:cs="宋体"/>
          <w:spacing w:val="-10"/>
          <w:sz w:val="21"/>
          <w:szCs w:val="21"/>
          <w:lang w:eastAsia="zh-CN"/>
        </w:rPr>
        <w:t>，</w:t>
      </w:r>
      <w:r>
        <w:rPr>
          <w:rFonts w:hint="eastAsia" w:cs="宋体"/>
          <w:sz w:val="21"/>
          <w:szCs w:val="21"/>
          <w:lang w:eastAsia="zh-CN"/>
        </w:rPr>
        <w:t>以我方名义签署</w:t>
      </w:r>
      <w:r>
        <w:rPr>
          <w:rFonts w:hint="eastAsia" w:cs="宋体"/>
          <w:spacing w:val="-10"/>
          <w:sz w:val="21"/>
          <w:szCs w:val="21"/>
          <w:lang w:eastAsia="zh-CN"/>
        </w:rPr>
        <w:t>、</w:t>
      </w:r>
      <w:r>
        <w:rPr>
          <w:rFonts w:hint="eastAsia" w:cs="宋体"/>
          <w:sz w:val="21"/>
          <w:szCs w:val="21"/>
          <w:lang w:eastAsia="zh-CN"/>
        </w:rPr>
        <w:t>澄清</w:t>
      </w:r>
      <w:r>
        <w:rPr>
          <w:rFonts w:hint="eastAsia" w:cs="宋体"/>
          <w:spacing w:val="-13"/>
          <w:sz w:val="21"/>
          <w:szCs w:val="21"/>
          <w:lang w:eastAsia="zh-CN"/>
        </w:rPr>
        <w:t>、</w:t>
      </w:r>
      <w:r>
        <w:rPr>
          <w:rFonts w:hint="eastAsia" w:cs="宋体"/>
          <w:sz w:val="21"/>
          <w:szCs w:val="21"/>
          <w:lang w:eastAsia="zh-CN"/>
        </w:rPr>
        <w:t>说明</w:t>
      </w:r>
      <w:r>
        <w:rPr>
          <w:rFonts w:hint="eastAsia" w:cs="宋体"/>
          <w:spacing w:val="-10"/>
          <w:sz w:val="21"/>
          <w:szCs w:val="21"/>
          <w:lang w:eastAsia="zh-CN"/>
        </w:rPr>
        <w:t>、</w:t>
      </w:r>
      <w:r>
        <w:rPr>
          <w:rFonts w:hint="eastAsia" w:cs="宋体"/>
          <w:sz w:val="21"/>
          <w:szCs w:val="21"/>
          <w:lang w:eastAsia="zh-CN"/>
        </w:rPr>
        <w:t>补正</w:t>
      </w:r>
      <w:r>
        <w:rPr>
          <w:rFonts w:hint="eastAsia" w:cs="宋体"/>
          <w:spacing w:val="-13"/>
          <w:sz w:val="21"/>
          <w:szCs w:val="21"/>
          <w:lang w:eastAsia="zh-CN"/>
        </w:rPr>
        <w:t>、</w:t>
      </w:r>
      <w:r>
        <w:rPr>
          <w:rFonts w:hint="eastAsia" w:cs="宋体"/>
          <w:sz w:val="21"/>
          <w:szCs w:val="21"/>
          <w:lang w:eastAsia="zh-CN"/>
        </w:rPr>
        <w:t>递交</w:t>
      </w:r>
      <w:r>
        <w:rPr>
          <w:rFonts w:hint="eastAsia" w:cs="宋体"/>
          <w:spacing w:val="-10"/>
          <w:sz w:val="21"/>
          <w:szCs w:val="21"/>
          <w:lang w:eastAsia="zh-CN"/>
        </w:rPr>
        <w:t>、</w:t>
      </w:r>
      <w:r>
        <w:rPr>
          <w:rFonts w:hint="eastAsia" w:cs="宋体"/>
          <w:sz w:val="21"/>
          <w:szCs w:val="21"/>
          <w:lang w:eastAsia="zh-CN"/>
        </w:rPr>
        <w:t>撤回</w:t>
      </w:r>
      <w:r>
        <w:rPr>
          <w:rFonts w:hint="eastAsia" w:cs="宋体"/>
          <w:spacing w:val="-10"/>
          <w:sz w:val="21"/>
          <w:szCs w:val="21"/>
          <w:lang w:eastAsia="zh-CN"/>
        </w:rPr>
        <w:t>、</w:t>
      </w:r>
      <w:r>
        <w:rPr>
          <w:rFonts w:hint="eastAsia" w:cs="宋体"/>
          <w:sz w:val="21"/>
          <w:szCs w:val="21"/>
          <w:lang w:eastAsia="zh-CN"/>
        </w:rPr>
        <w:t>修改</w:t>
      </w:r>
      <w:r>
        <w:rPr>
          <w:rFonts w:hint="eastAsia" w:cs="宋体"/>
          <w:sz w:val="21"/>
          <w:szCs w:val="21"/>
          <w:u w:val="single"/>
          <w:lang w:eastAsia="zh-CN"/>
        </w:rPr>
        <w:t xml:space="preserve"> </w:t>
      </w:r>
      <w:r>
        <w:rPr>
          <w:rFonts w:hint="eastAsia" w:cs="宋体"/>
          <w:sz w:val="21"/>
          <w:szCs w:val="21"/>
          <w:u w:val="single"/>
          <w:lang w:eastAsia="zh-CN"/>
        </w:rPr>
        <w:tab/>
      </w:r>
      <w:r>
        <w:rPr>
          <w:rFonts w:hint="eastAsia" w:cs="宋体"/>
          <w:sz w:val="21"/>
          <w:szCs w:val="21"/>
          <w:u w:val="single"/>
          <w:lang w:eastAsia="zh-CN"/>
        </w:rPr>
        <w:t>（项目</w:t>
      </w:r>
      <w:r>
        <w:rPr>
          <w:rFonts w:hint="eastAsia" w:cs="宋体"/>
          <w:spacing w:val="-16"/>
          <w:sz w:val="21"/>
          <w:szCs w:val="21"/>
          <w:u w:val="single"/>
          <w:lang w:eastAsia="zh-CN"/>
        </w:rPr>
        <w:t>名</w:t>
      </w:r>
      <w:r>
        <w:rPr>
          <w:rFonts w:hint="eastAsia" w:cs="宋体"/>
          <w:sz w:val="21"/>
          <w:szCs w:val="21"/>
          <w:u w:val="single"/>
          <w:lang w:eastAsia="zh-CN"/>
        </w:rPr>
        <w:t>称）</w:t>
      </w:r>
      <w:r>
        <w:rPr>
          <w:rFonts w:hint="eastAsia" w:cs="宋体"/>
          <w:sz w:val="21"/>
          <w:szCs w:val="21"/>
          <w:lang w:eastAsia="zh-CN"/>
        </w:rPr>
        <w:t>竞争性磋商响应文件、签订合同和处理有关事宜，其法律后果由我方承担。</w:t>
      </w:r>
    </w:p>
    <w:p w14:paraId="7F123547">
      <w:pPr>
        <w:pStyle w:val="6"/>
        <w:keepNext w:val="0"/>
        <w:keepLines w:val="0"/>
        <w:pageBreakBefore w:val="0"/>
        <w:widowControl w:val="0"/>
        <w:tabs>
          <w:tab w:val="left" w:pos="7728"/>
        </w:tabs>
        <w:kinsoku/>
        <w:wordWrap/>
        <w:overflowPunct/>
        <w:topLinePunct w:val="0"/>
        <w:autoSpaceDE/>
        <w:autoSpaceDN/>
        <w:bidi w:val="0"/>
        <w:adjustRightInd/>
        <w:snapToGrid/>
        <w:spacing w:line="440" w:lineRule="exact"/>
        <w:ind w:left="0" w:leftChars="0" w:firstLine="630" w:firstLineChars="300"/>
        <w:textAlignment w:val="auto"/>
        <w:rPr>
          <w:rFonts w:cs="宋体"/>
          <w:sz w:val="21"/>
          <w:szCs w:val="21"/>
          <w:lang w:eastAsia="zh-CN"/>
        </w:rPr>
      </w:pPr>
      <w:r>
        <w:rPr>
          <w:rFonts w:hint="eastAsia" w:cs="宋体"/>
          <w:sz w:val="21"/>
          <w:szCs w:val="21"/>
          <w:lang w:eastAsia="zh-CN"/>
        </w:rPr>
        <w:t>委托期限：</w:t>
      </w:r>
      <w:r>
        <w:rPr>
          <w:rFonts w:hint="eastAsia" w:cs="宋体"/>
          <w:sz w:val="21"/>
          <w:szCs w:val="21"/>
          <w:u w:val="single"/>
          <w:lang w:eastAsia="zh-CN"/>
        </w:rPr>
        <w:t xml:space="preserve">               </w:t>
      </w:r>
    </w:p>
    <w:p w14:paraId="5BBB4D55">
      <w:pPr>
        <w:pStyle w:val="6"/>
        <w:tabs>
          <w:tab w:val="left" w:pos="7728"/>
        </w:tabs>
        <w:ind w:left="0" w:firstLine="630" w:firstLineChars="300"/>
        <w:rPr>
          <w:rFonts w:hint="eastAsia" w:cs="宋体"/>
          <w:sz w:val="21"/>
          <w:szCs w:val="21"/>
          <w:lang w:eastAsia="zh-CN"/>
        </w:rPr>
      </w:pPr>
    </w:p>
    <w:p w14:paraId="6F6D31F2">
      <w:pPr>
        <w:pStyle w:val="6"/>
        <w:tabs>
          <w:tab w:val="left" w:pos="7728"/>
        </w:tabs>
        <w:ind w:left="0" w:firstLine="630" w:firstLineChars="300"/>
        <w:rPr>
          <w:rFonts w:cs="宋体"/>
          <w:sz w:val="21"/>
          <w:szCs w:val="21"/>
          <w:lang w:eastAsia="zh-CN"/>
        </w:rPr>
      </w:pPr>
      <w:r>
        <w:rPr>
          <w:rFonts w:hint="eastAsia" w:cs="宋体"/>
          <w:sz w:val="21"/>
          <w:szCs w:val="21"/>
          <w:lang w:eastAsia="zh-CN"/>
        </w:rPr>
        <w:t>代理人无转委托权。</w:t>
      </w:r>
    </w:p>
    <w:p w14:paraId="152D714E">
      <w:pPr>
        <w:pStyle w:val="6"/>
        <w:ind w:left="0" w:firstLine="840" w:firstLineChars="400"/>
        <w:rPr>
          <w:rFonts w:cs="宋体"/>
          <w:sz w:val="21"/>
          <w:szCs w:val="21"/>
          <w:lang w:eastAsia="zh-CN"/>
        </w:rPr>
      </w:pPr>
    </w:p>
    <w:p w14:paraId="39AE0893">
      <w:pPr>
        <w:pStyle w:val="6"/>
        <w:tabs>
          <w:tab w:val="left" w:pos="7728"/>
        </w:tabs>
        <w:ind w:left="0" w:firstLine="630" w:firstLineChars="300"/>
        <w:rPr>
          <w:rFonts w:hint="eastAsia" w:cs="宋体"/>
          <w:sz w:val="21"/>
          <w:szCs w:val="21"/>
          <w:lang w:eastAsia="zh-CN"/>
        </w:rPr>
      </w:pPr>
      <w:r>
        <w:rPr>
          <w:rFonts w:hint="eastAsia" w:cs="宋体"/>
          <w:sz w:val="21"/>
          <w:szCs w:val="21"/>
          <w:lang w:eastAsia="zh-CN"/>
        </w:rPr>
        <w:t>附：</w:t>
      </w:r>
      <w:r>
        <w:rPr>
          <w:rFonts w:hint="eastAsia" w:cs="宋体"/>
          <w:sz w:val="21"/>
          <w:szCs w:val="21"/>
          <w:lang w:val="en-US" w:eastAsia="zh-CN"/>
        </w:rPr>
        <w:t>法定代表人身份证扫描件及委托代理人身份证扫描件</w:t>
      </w:r>
    </w:p>
    <w:p w14:paraId="30ABD2D7">
      <w:pPr>
        <w:pStyle w:val="6"/>
        <w:ind w:left="0" w:firstLine="630" w:firstLineChars="300"/>
        <w:rPr>
          <w:rFonts w:cs="宋体"/>
          <w:sz w:val="21"/>
          <w:szCs w:val="21"/>
          <w:lang w:eastAsia="zh-CN"/>
        </w:rPr>
      </w:pPr>
    </w:p>
    <w:p w14:paraId="61D7A75C">
      <w:pPr>
        <w:pStyle w:val="6"/>
        <w:rPr>
          <w:rFonts w:cs="宋体"/>
          <w:sz w:val="21"/>
          <w:szCs w:val="21"/>
          <w:lang w:eastAsia="zh-CN"/>
        </w:rPr>
      </w:pPr>
    </w:p>
    <w:p w14:paraId="217D9571">
      <w:pPr>
        <w:pStyle w:val="6"/>
        <w:rPr>
          <w:rFonts w:cs="宋体"/>
          <w:sz w:val="21"/>
          <w:szCs w:val="21"/>
          <w:lang w:eastAsia="zh-CN"/>
        </w:rPr>
      </w:pPr>
    </w:p>
    <w:p w14:paraId="2F783FFF">
      <w:pPr>
        <w:pStyle w:val="6"/>
        <w:spacing w:before="3"/>
        <w:rPr>
          <w:rFonts w:cs="宋体"/>
          <w:sz w:val="21"/>
          <w:szCs w:val="21"/>
          <w:lang w:eastAsia="zh-CN"/>
        </w:rPr>
      </w:pPr>
    </w:p>
    <w:p w14:paraId="3A13A31D">
      <w:pPr>
        <w:ind w:firstLine="630" w:firstLineChars="300"/>
        <w:rPr>
          <w:rFonts w:ascii="宋体" w:hAnsi="宋体" w:cs="宋体"/>
          <w:sz w:val="21"/>
          <w:szCs w:val="21"/>
          <w:lang w:eastAsia="zh-CN"/>
        </w:rPr>
      </w:pPr>
      <w:r>
        <w:rPr>
          <w:rFonts w:hint="eastAsia" w:ascii="宋体" w:hAnsi="宋体" w:cs="宋体"/>
          <w:sz w:val="21"/>
          <w:szCs w:val="21"/>
          <w:lang w:eastAsia="zh-CN"/>
        </w:rPr>
        <w:t>响应单位：</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电子签章</w:t>
      </w:r>
      <w:r>
        <w:rPr>
          <w:rFonts w:hint="eastAsia" w:ascii="宋体" w:hAnsi="宋体" w:cs="宋体"/>
          <w:sz w:val="21"/>
          <w:szCs w:val="21"/>
          <w:lang w:eastAsia="zh-CN"/>
        </w:rPr>
        <w:t>)</w:t>
      </w:r>
    </w:p>
    <w:p w14:paraId="3637667A">
      <w:pPr>
        <w:pStyle w:val="6"/>
        <w:rPr>
          <w:rFonts w:cs="宋体"/>
          <w:sz w:val="21"/>
          <w:szCs w:val="21"/>
          <w:lang w:eastAsia="zh-CN"/>
        </w:rPr>
      </w:pPr>
    </w:p>
    <w:p w14:paraId="56B5EB43">
      <w:pPr>
        <w:pStyle w:val="6"/>
        <w:spacing w:before="1"/>
        <w:ind w:left="0" w:leftChars="0" w:firstLine="0" w:firstLineChars="0"/>
        <w:rPr>
          <w:rFonts w:cs="宋体"/>
          <w:sz w:val="21"/>
          <w:szCs w:val="21"/>
          <w:lang w:eastAsia="zh-CN"/>
        </w:rPr>
      </w:pPr>
    </w:p>
    <w:p w14:paraId="09CD2CDC">
      <w:pPr>
        <w:keepNext w:val="0"/>
        <w:keepLines w:val="0"/>
        <w:widowControl/>
        <w:suppressLineNumbers w:val="0"/>
        <w:ind w:firstLine="630" w:firstLineChars="300"/>
        <w:jc w:val="left"/>
        <w:rPr>
          <w:rFonts w:cs="宋体"/>
          <w:sz w:val="21"/>
          <w:szCs w:val="21"/>
          <w:lang w:eastAsia="zh-CN"/>
        </w:rPr>
      </w:pPr>
      <w:r>
        <w:rPr>
          <w:rFonts w:hint="eastAsia" w:cs="宋体"/>
          <w:sz w:val="21"/>
          <w:szCs w:val="21"/>
          <w:lang w:eastAsia="zh-CN"/>
        </w:rPr>
        <w:t>法定代表人：</w:t>
      </w:r>
      <w:r>
        <w:rPr>
          <w:rFonts w:hint="eastAsia" w:cs="宋体"/>
          <w:sz w:val="21"/>
          <w:szCs w:val="21"/>
          <w:u w:val="single"/>
          <w:lang w:val="en-US" w:eastAsia="zh-CN"/>
        </w:rPr>
        <w:t xml:space="preserve">               </w:t>
      </w:r>
      <w:r>
        <w:rPr>
          <w:rFonts w:hint="eastAsia" w:cs="宋体"/>
          <w:sz w:val="21"/>
          <w:szCs w:val="21"/>
          <w:lang w:eastAsia="zh-CN"/>
        </w:rPr>
        <w:t>（</w:t>
      </w:r>
      <w:r>
        <w:rPr>
          <w:rFonts w:hint="eastAsia" w:ascii="宋体" w:hAnsi="宋体" w:eastAsia="宋体" w:cs="宋体"/>
          <w:color w:val="000000"/>
          <w:kern w:val="0"/>
          <w:sz w:val="20"/>
          <w:szCs w:val="20"/>
          <w:lang w:val="en-US" w:eastAsia="zh-CN" w:bidi="ar"/>
        </w:rPr>
        <w:t>签字或电子签章</w:t>
      </w:r>
      <w:r>
        <w:rPr>
          <w:rFonts w:hint="eastAsia" w:cs="宋体"/>
          <w:sz w:val="21"/>
          <w:szCs w:val="21"/>
          <w:lang w:eastAsia="zh-CN"/>
        </w:rPr>
        <w:t>）</w:t>
      </w:r>
    </w:p>
    <w:p w14:paraId="407733F3">
      <w:pPr>
        <w:pStyle w:val="6"/>
        <w:rPr>
          <w:rFonts w:cs="宋体"/>
          <w:sz w:val="21"/>
          <w:szCs w:val="21"/>
          <w:lang w:eastAsia="zh-CN"/>
        </w:rPr>
      </w:pPr>
    </w:p>
    <w:p w14:paraId="1EF1E9C9">
      <w:pPr>
        <w:pStyle w:val="6"/>
        <w:rPr>
          <w:rFonts w:cs="宋体"/>
          <w:sz w:val="21"/>
          <w:szCs w:val="21"/>
          <w:lang w:eastAsia="zh-CN"/>
        </w:rPr>
      </w:pPr>
    </w:p>
    <w:p w14:paraId="36AEA76B">
      <w:pPr>
        <w:pStyle w:val="6"/>
        <w:ind w:left="0" w:firstLine="630" w:firstLineChars="300"/>
        <w:rPr>
          <w:rFonts w:cs="宋体"/>
          <w:sz w:val="21"/>
          <w:szCs w:val="21"/>
          <w:u w:val="single"/>
          <w:lang w:eastAsia="zh-CN"/>
        </w:rPr>
      </w:pPr>
      <w:r>
        <w:rPr>
          <w:rFonts w:hint="eastAsia" w:cs="宋体"/>
          <w:sz w:val="21"/>
          <w:szCs w:val="21"/>
          <w:lang w:eastAsia="zh-CN"/>
        </w:rPr>
        <w:t>身份证号码：</w:t>
      </w:r>
      <w:r>
        <w:rPr>
          <w:rFonts w:hint="eastAsia" w:cs="宋体"/>
          <w:sz w:val="21"/>
          <w:szCs w:val="21"/>
          <w:u w:val="single"/>
          <w:lang w:eastAsia="zh-CN"/>
        </w:rPr>
        <w:t xml:space="preserve">                      </w:t>
      </w:r>
    </w:p>
    <w:p w14:paraId="2724F568">
      <w:pPr>
        <w:pStyle w:val="6"/>
        <w:rPr>
          <w:rFonts w:cs="宋体"/>
          <w:sz w:val="21"/>
          <w:szCs w:val="21"/>
          <w:lang w:eastAsia="zh-CN"/>
        </w:rPr>
      </w:pPr>
    </w:p>
    <w:p w14:paraId="68673E1B">
      <w:pPr>
        <w:pStyle w:val="6"/>
        <w:spacing w:before="5"/>
        <w:rPr>
          <w:rFonts w:cs="宋体"/>
          <w:sz w:val="21"/>
          <w:szCs w:val="21"/>
          <w:lang w:eastAsia="zh-CN"/>
        </w:rPr>
      </w:pPr>
    </w:p>
    <w:p w14:paraId="6516DA91">
      <w:pPr>
        <w:pStyle w:val="6"/>
        <w:ind w:left="0" w:firstLine="630" w:firstLineChars="300"/>
        <w:rPr>
          <w:rFonts w:hint="eastAsia" w:cs="宋体"/>
          <w:sz w:val="21"/>
          <w:szCs w:val="21"/>
          <w:u w:val="none"/>
          <w:lang w:eastAsia="zh-CN"/>
        </w:rPr>
      </w:pPr>
      <w:r>
        <w:rPr>
          <w:rFonts w:hint="eastAsia" w:cs="宋体"/>
          <w:sz w:val="21"/>
          <w:szCs w:val="21"/>
          <w:lang w:val="en-US" w:eastAsia="zh-CN"/>
        </w:rPr>
        <w:t>委托代理人</w:t>
      </w:r>
      <w:r>
        <w:rPr>
          <w:rFonts w:hint="eastAsia" w:cs="宋体"/>
          <w:sz w:val="21"/>
          <w:szCs w:val="21"/>
          <w:lang w:eastAsia="zh-CN"/>
        </w:rPr>
        <w:t>：</w:t>
      </w:r>
      <w:r>
        <w:rPr>
          <w:rFonts w:hint="eastAsia" w:cs="宋体"/>
          <w:sz w:val="21"/>
          <w:szCs w:val="21"/>
          <w:u w:val="single"/>
          <w:lang w:eastAsia="zh-CN"/>
        </w:rPr>
        <w:t xml:space="preserve">    </w:t>
      </w:r>
      <w:r>
        <w:rPr>
          <w:rFonts w:hint="eastAsia" w:cs="宋体"/>
          <w:sz w:val="21"/>
          <w:szCs w:val="21"/>
          <w:u w:val="single"/>
          <w:lang w:val="en-US" w:eastAsia="zh-CN"/>
        </w:rPr>
        <w:t xml:space="preserve">         </w:t>
      </w:r>
      <w:r>
        <w:rPr>
          <w:rFonts w:hint="eastAsia" w:cs="宋体"/>
          <w:sz w:val="21"/>
          <w:szCs w:val="21"/>
          <w:u w:val="none"/>
          <w:lang w:val="en-US" w:eastAsia="zh-CN"/>
        </w:rPr>
        <w:t>（签字</w:t>
      </w:r>
      <w:r>
        <w:rPr>
          <w:rFonts w:hint="eastAsia" w:cs="宋体"/>
          <w:sz w:val="21"/>
          <w:szCs w:val="21"/>
          <w:u w:val="none"/>
          <w:lang w:eastAsia="zh-CN"/>
        </w:rPr>
        <w:t>）</w:t>
      </w:r>
    </w:p>
    <w:p w14:paraId="32B03523">
      <w:pPr>
        <w:pStyle w:val="7"/>
        <w:rPr>
          <w:lang w:eastAsia="zh-CN"/>
        </w:rPr>
      </w:pPr>
    </w:p>
    <w:p w14:paraId="0A274672">
      <w:pPr>
        <w:pStyle w:val="6"/>
        <w:ind w:left="0" w:firstLine="552" w:firstLineChars="300"/>
        <w:rPr>
          <w:rFonts w:cs="宋体"/>
          <w:spacing w:val="-13"/>
          <w:sz w:val="21"/>
          <w:szCs w:val="21"/>
          <w:lang w:eastAsia="zh-CN"/>
        </w:rPr>
      </w:pPr>
    </w:p>
    <w:p w14:paraId="76595666">
      <w:pPr>
        <w:pStyle w:val="6"/>
        <w:ind w:left="0" w:firstLine="630" w:firstLineChars="300"/>
        <w:rPr>
          <w:rFonts w:cs="宋体"/>
          <w:sz w:val="21"/>
          <w:szCs w:val="21"/>
          <w:u w:val="single"/>
          <w:lang w:eastAsia="zh-CN"/>
        </w:rPr>
      </w:pPr>
      <w:r>
        <w:rPr>
          <w:rFonts w:hint="eastAsia" w:cs="宋体"/>
          <w:sz w:val="21"/>
          <w:szCs w:val="21"/>
          <w:lang w:eastAsia="zh-CN"/>
        </w:rPr>
        <w:t>身份证号码：</w:t>
      </w:r>
      <w:r>
        <w:rPr>
          <w:rFonts w:hint="eastAsia" w:cs="宋体"/>
          <w:sz w:val="21"/>
          <w:szCs w:val="21"/>
          <w:u w:val="single"/>
          <w:lang w:eastAsia="zh-CN"/>
        </w:rPr>
        <w:t xml:space="preserve">                      </w:t>
      </w:r>
    </w:p>
    <w:p w14:paraId="0361F792">
      <w:pPr>
        <w:pStyle w:val="6"/>
        <w:ind w:left="0" w:firstLine="630" w:firstLineChars="300"/>
        <w:rPr>
          <w:rFonts w:cs="宋体"/>
          <w:sz w:val="21"/>
          <w:szCs w:val="21"/>
          <w:lang w:eastAsia="zh-CN"/>
        </w:rPr>
      </w:pPr>
    </w:p>
    <w:p w14:paraId="2C2C2ED3">
      <w:pPr>
        <w:pStyle w:val="6"/>
        <w:ind w:left="0" w:firstLine="630" w:firstLineChars="300"/>
        <w:rPr>
          <w:rFonts w:cs="宋体"/>
          <w:sz w:val="21"/>
          <w:szCs w:val="21"/>
          <w:lang w:eastAsia="zh-CN"/>
        </w:rPr>
      </w:pPr>
    </w:p>
    <w:p w14:paraId="042620E6">
      <w:pPr>
        <w:pStyle w:val="20"/>
        <w:ind w:left="0" w:leftChars="0" w:firstLine="630" w:firstLineChars="300"/>
        <w:rPr>
          <w:rFonts w:ascii="宋体" w:hAnsi="宋体" w:cs="宋体"/>
          <w:szCs w:val="21"/>
          <w:lang w:eastAsia="zh-CN"/>
        </w:rPr>
      </w:pPr>
      <w:r>
        <w:rPr>
          <w:rFonts w:hint="eastAsia" w:ascii="宋体" w:hAnsi="宋体" w:cs="宋体"/>
          <w:szCs w:val="21"/>
          <w:lang w:eastAsia="zh-CN"/>
        </w:rPr>
        <w:t>日</w:t>
      </w:r>
      <w:r>
        <w:rPr>
          <w:rFonts w:hint="eastAsia" w:ascii="宋体" w:hAnsi="宋体" w:cs="宋体"/>
          <w:szCs w:val="21"/>
          <w:lang w:eastAsia="zh-CN"/>
        </w:rPr>
        <w:tab/>
      </w:r>
      <w:r>
        <w:rPr>
          <w:rFonts w:hint="eastAsia" w:ascii="宋体" w:hAnsi="宋体" w:cs="宋体"/>
          <w:szCs w:val="21"/>
          <w:lang w:eastAsia="zh-CN"/>
        </w:rPr>
        <w:t xml:space="preserve">   期：</w:t>
      </w:r>
      <w:r>
        <w:rPr>
          <w:rFonts w:hint="eastAsia" w:ascii="宋体" w:hAnsi="宋体" w:cs="宋体"/>
          <w:szCs w:val="21"/>
          <w:u w:val="single"/>
          <w:lang w:eastAsia="zh-CN"/>
        </w:rPr>
        <w:t xml:space="preserve">      </w:t>
      </w:r>
      <w:r>
        <w:rPr>
          <w:rFonts w:hint="eastAsia" w:ascii="宋体" w:hAnsi="宋体" w:cs="宋体"/>
          <w:szCs w:val="21"/>
          <w:lang w:eastAsia="zh-CN"/>
        </w:rPr>
        <w:t>年</w:t>
      </w:r>
      <w:r>
        <w:rPr>
          <w:rFonts w:hint="eastAsia" w:ascii="宋体" w:hAnsi="宋体" w:cs="宋体"/>
          <w:szCs w:val="21"/>
          <w:u w:val="single"/>
          <w:lang w:eastAsia="zh-CN"/>
        </w:rPr>
        <w:t xml:space="preserve">      </w:t>
      </w:r>
      <w:r>
        <w:rPr>
          <w:rFonts w:hint="eastAsia" w:ascii="宋体" w:hAnsi="宋体" w:cs="宋体"/>
          <w:szCs w:val="21"/>
          <w:lang w:eastAsia="zh-CN"/>
        </w:rPr>
        <w:t>月</w:t>
      </w:r>
      <w:r>
        <w:rPr>
          <w:rFonts w:hint="eastAsia" w:ascii="宋体" w:hAnsi="宋体" w:cs="宋体"/>
          <w:szCs w:val="21"/>
          <w:u w:val="single"/>
          <w:lang w:eastAsia="zh-CN"/>
        </w:rPr>
        <w:t xml:space="preserve">      </w:t>
      </w:r>
      <w:r>
        <w:rPr>
          <w:rFonts w:hint="eastAsia" w:ascii="宋体" w:hAnsi="宋体" w:cs="宋体"/>
          <w:szCs w:val="21"/>
          <w:lang w:eastAsia="zh-CN"/>
        </w:rPr>
        <w:t>日</w:t>
      </w:r>
    </w:p>
    <w:p w14:paraId="00975F07">
      <w:pPr>
        <w:pStyle w:val="20"/>
        <w:ind w:left="440"/>
        <w:rPr>
          <w:lang w:eastAsia="zh-CN"/>
        </w:rPr>
      </w:pPr>
    </w:p>
    <w:p w14:paraId="05769D74">
      <w:pPr>
        <w:jc w:val="center"/>
        <w:outlineLvl w:val="2"/>
        <w:rPr>
          <w:rFonts w:ascii="Times New Roman" w:hAnsi="Times New Roman"/>
          <w:b/>
          <w:kern w:val="2"/>
          <w:sz w:val="28"/>
          <w:lang w:eastAsia="zh-CN"/>
        </w:rPr>
      </w:pPr>
    </w:p>
    <w:p w14:paraId="27406657">
      <w:pPr>
        <w:jc w:val="center"/>
        <w:outlineLvl w:val="2"/>
        <w:rPr>
          <w:rFonts w:ascii="Times New Roman" w:hAnsi="Times New Roman"/>
          <w:b/>
          <w:kern w:val="2"/>
          <w:sz w:val="28"/>
          <w:lang w:eastAsia="zh-CN"/>
        </w:rPr>
      </w:pPr>
    </w:p>
    <w:p w14:paraId="6933F8B7">
      <w:pPr>
        <w:jc w:val="center"/>
        <w:outlineLvl w:val="2"/>
        <w:rPr>
          <w:rFonts w:ascii="Times New Roman" w:hAnsi="Times New Roman"/>
          <w:b/>
          <w:kern w:val="2"/>
          <w:sz w:val="28"/>
          <w:lang w:eastAsia="zh-CN"/>
        </w:rPr>
      </w:pPr>
    </w:p>
    <w:p w14:paraId="378D6B73">
      <w:pPr>
        <w:jc w:val="both"/>
        <w:outlineLvl w:val="2"/>
        <w:rPr>
          <w:rFonts w:ascii="Times New Roman" w:hAnsi="Times New Roman"/>
          <w:b/>
          <w:kern w:val="2"/>
          <w:sz w:val="28"/>
          <w:lang w:eastAsia="zh-CN"/>
        </w:rPr>
      </w:pPr>
    </w:p>
    <w:p w14:paraId="132C79AC">
      <w:pPr>
        <w:jc w:val="center"/>
        <w:outlineLvl w:val="2"/>
        <w:rPr>
          <w:rFonts w:ascii="Times New Roman" w:hAnsi="Times New Roman"/>
          <w:b/>
          <w:kern w:val="2"/>
          <w:sz w:val="28"/>
          <w:lang w:eastAsia="zh-CN"/>
        </w:rPr>
      </w:pPr>
      <w:r>
        <w:rPr>
          <w:rFonts w:hint="eastAsia" w:ascii="Times New Roman" w:hAnsi="Times New Roman"/>
          <w:bCs/>
          <w:kern w:val="2"/>
          <w:sz w:val="21"/>
          <w:szCs w:val="21"/>
          <w:lang w:eastAsia="zh-CN"/>
        </w:rPr>
        <w:br w:type="page"/>
      </w:r>
      <w:bookmarkStart w:id="136" w:name="_Toc30314"/>
      <w:bookmarkStart w:id="137" w:name="_Toc30501"/>
      <w:r>
        <w:rPr>
          <w:rFonts w:hint="eastAsia" w:ascii="Times New Roman" w:hAnsi="Times New Roman"/>
          <w:b/>
          <w:kern w:val="2"/>
          <w:sz w:val="28"/>
          <w:lang w:eastAsia="zh-CN"/>
        </w:rPr>
        <w:t>5.竞争性磋商报价表格</w:t>
      </w:r>
      <w:bookmarkEnd w:id="136"/>
      <w:bookmarkEnd w:id="137"/>
      <w:bookmarkStart w:id="138" w:name="_Toc4597"/>
      <w:bookmarkStart w:id="139" w:name="_Toc30972"/>
    </w:p>
    <w:p w14:paraId="3A5AB322">
      <w:pPr>
        <w:jc w:val="center"/>
        <w:rPr>
          <w:rStyle w:val="34"/>
          <w:rFonts w:ascii="宋体" w:hAnsi="宋体" w:eastAsia="宋体"/>
          <w:sz w:val="21"/>
          <w:szCs w:val="21"/>
        </w:rPr>
      </w:pPr>
    </w:p>
    <w:p w14:paraId="2CAB1675">
      <w:pPr>
        <w:pStyle w:val="20"/>
        <w:spacing w:after="0"/>
        <w:ind w:left="0" w:leftChars="0" w:firstLine="0" w:firstLineChars="0"/>
        <w:jc w:val="center"/>
        <w:rPr>
          <w:b/>
          <w:bCs/>
          <w:lang w:eastAsia="zh-CN"/>
        </w:rPr>
      </w:pPr>
      <w:r>
        <w:rPr>
          <w:rFonts w:hint="eastAsia"/>
          <w:b/>
          <w:bCs/>
          <w:lang w:eastAsia="zh-CN"/>
        </w:rPr>
        <w:t>（第一轮报价）</w:t>
      </w:r>
      <w:bookmarkEnd w:id="138"/>
      <w:bookmarkEnd w:id="139"/>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1613"/>
        <w:gridCol w:w="1412"/>
        <w:gridCol w:w="2990"/>
      </w:tblGrid>
      <w:tr w14:paraId="38AE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176EEF61">
            <w:pPr>
              <w:widowControl/>
              <w:spacing w:line="320" w:lineRule="exact"/>
              <w:jc w:val="center"/>
              <w:rPr>
                <w:rFonts w:ascii="宋体" w:hAnsi="宋体" w:cs="宋体"/>
                <w:sz w:val="21"/>
                <w:szCs w:val="21"/>
                <w:lang w:eastAsia="zh-CN"/>
              </w:rPr>
            </w:pPr>
            <w:r>
              <w:rPr>
                <w:rFonts w:hint="eastAsia" w:ascii="宋体" w:hAnsi="宋体" w:cs="宋体"/>
                <w:sz w:val="21"/>
                <w:szCs w:val="21"/>
                <w:lang w:eastAsia="zh-CN"/>
              </w:rPr>
              <w:t>项目名称</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7DD6CBD8">
            <w:pPr>
              <w:widowControl/>
              <w:spacing w:line="320" w:lineRule="exact"/>
              <w:jc w:val="center"/>
              <w:rPr>
                <w:rFonts w:ascii="宋体" w:hAnsi="宋体" w:cs="宋体"/>
                <w:sz w:val="21"/>
                <w:szCs w:val="21"/>
              </w:rPr>
            </w:pPr>
          </w:p>
        </w:tc>
      </w:tr>
      <w:tr w14:paraId="2F11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17FC3DAA">
            <w:pPr>
              <w:widowControl/>
              <w:spacing w:line="320" w:lineRule="exact"/>
              <w:jc w:val="center"/>
              <w:rPr>
                <w:rFonts w:ascii="宋体" w:hAnsi="宋体" w:cs="宋体"/>
                <w:sz w:val="21"/>
                <w:szCs w:val="21"/>
                <w:lang w:eastAsia="zh-CN"/>
              </w:rPr>
            </w:pPr>
            <w:r>
              <w:rPr>
                <w:rFonts w:hint="eastAsia" w:ascii="宋体" w:hAnsi="宋体" w:cs="宋体"/>
                <w:sz w:val="21"/>
                <w:szCs w:val="21"/>
                <w:lang w:eastAsia="zh-CN"/>
              </w:rPr>
              <w:t>响应单位名称</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40AC55E9">
            <w:pPr>
              <w:widowControl/>
              <w:spacing w:line="320" w:lineRule="exact"/>
              <w:jc w:val="center"/>
              <w:rPr>
                <w:rFonts w:ascii="宋体" w:hAnsi="宋体" w:cs="宋体"/>
                <w:sz w:val="21"/>
                <w:szCs w:val="21"/>
              </w:rPr>
            </w:pPr>
          </w:p>
        </w:tc>
      </w:tr>
      <w:tr w14:paraId="3220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1E69DD6B">
            <w:pPr>
              <w:widowControl/>
              <w:spacing w:line="320" w:lineRule="exact"/>
              <w:jc w:val="center"/>
              <w:rPr>
                <w:rFonts w:ascii="宋体" w:hAnsi="宋体" w:cs="宋体"/>
                <w:sz w:val="21"/>
                <w:szCs w:val="21"/>
              </w:rPr>
            </w:pPr>
            <w:r>
              <w:rPr>
                <w:rFonts w:hint="eastAsia" w:ascii="宋体" w:hAnsi="宋体" w:cs="宋体"/>
                <w:sz w:val="21"/>
                <w:szCs w:val="21"/>
              </w:rPr>
              <w:t>采购编号</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01AD9431">
            <w:pPr>
              <w:widowControl/>
              <w:spacing w:line="320" w:lineRule="exact"/>
              <w:jc w:val="center"/>
              <w:rPr>
                <w:rFonts w:ascii="宋体" w:hAnsi="宋体" w:cs="宋体"/>
                <w:b/>
                <w:bCs/>
                <w:sz w:val="21"/>
                <w:szCs w:val="21"/>
              </w:rPr>
            </w:pPr>
          </w:p>
        </w:tc>
      </w:tr>
      <w:tr w14:paraId="1454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389" w:type="dxa"/>
            <w:tcBorders>
              <w:top w:val="single" w:color="auto" w:sz="4" w:space="0"/>
              <w:left w:val="single" w:color="auto" w:sz="4" w:space="0"/>
              <w:right w:val="single" w:color="auto" w:sz="4" w:space="0"/>
            </w:tcBorders>
            <w:vAlign w:val="center"/>
          </w:tcPr>
          <w:p w14:paraId="1E8A6DA6">
            <w:pPr>
              <w:widowControl/>
              <w:spacing w:line="320" w:lineRule="exact"/>
              <w:jc w:val="center"/>
              <w:rPr>
                <w:rFonts w:ascii="宋体" w:hAnsi="宋体" w:cs="宋体"/>
                <w:sz w:val="21"/>
                <w:szCs w:val="21"/>
              </w:rPr>
            </w:pPr>
            <w:r>
              <w:rPr>
                <w:rFonts w:hint="eastAsia" w:ascii="宋体" w:hAnsi="宋体" w:cs="宋体"/>
                <w:sz w:val="21"/>
                <w:szCs w:val="21"/>
                <w:lang w:eastAsia="zh-CN"/>
              </w:rPr>
              <w:t>响应</w:t>
            </w:r>
            <w:r>
              <w:rPr>
                <w:rFonts w:hint="eastAsia" w:ascii="宋体" w:hAnsi="宋体" w:cs="宋体"/>
                <w:sz w:val="21"/>
                <w:szCs w:val="21"/>
              </w:rPr>
              <w:t>报价</w:t>
            </w:r>
          </w:p>
        </w:tc>
        <w:tc>
          <w:tcPr>
            <w:tcW w:w="6015" w:type="dxa"/>
            <w:gridSpan w:val="3"/>
            <w:tcBorders>
              <w:top w:val="single" w:color="auto" w:sz="4" w:space="0"/>
              <w:left w:val="single" w:color="auto" w:sz="4" w:space="0"/>
              <w:right w:val="single" w:color="auto" w:sz="4" w:space="0"/>
            </w:tcBorders>
            <w:vAlign w:val="center"/>
          </w:tcPr>
          <w:p w14:paraId="2CED9ABA">
            <w:pPr>
              <w:spacing w:line="320" w:lineRule="exact"/>
              <w:rPr>
                <w:rFonts w:ascii="宋体" w:hAnsi="宋体" w:cs="宋体"/>
                <w:sz w:val="21"/>
                <w:szCs w:val="21"/>
                <w:u w:val="single"/>
                <w:lang w:eastAsia="zh-CN"/>
              </w:rPr>
            </w:pPr>
            <w:r>
              <w:rPr>
                <w:rFonts w:hint="eastAsia" w:ascii="宋体" w:hAnsi="宋体" w:cs="宋体"/>
                <w:sz w:val="21"/>
                <w:szCs w:val="21"/>
                <w:lang w:eastAsia="zh-CN"/>
              </w:rPr>
              <w:t>大写：</w:t>
            </w:r>
            <w:r>
              <w:rPr>
                <w:rFonts w:hint="eastAsia" w:ascii="宋体" w:hAnsi="宋体" w:cs="宋体"/>
                <w:sz w:val="21"/>
                <w:szCs w:val="21"/>
                <w:u w:val="single"/>
                <w:lang w:eastAsia="zh-CN"/>
              </w:rPr>
              <w:t xml:space="preserve">                  </w:t>
            </w:r>
          </w:p>
          <w:p w14:paraId="0FF65CE4">
            <w:pPr>
              <w:spacing w:line="320" w:lineRule="exact"/>
              <w:rPr>
                <w:rFonts w:ascii="宋体" w:hAnsi="宋体" w:cs="宋体"/>
                <w:sz w:val="21"/>
                <w:szCs w:val="21"/>
                <w:u w:val="single"/>
                <w:lang w:eastAsia="zh-CN"/>
              </w:rPr>
            </w:pPr>
            <w:r>
              <w:rPr>
                <w:rFonts w:hint="eastAsia" w:ascii="宋体" w:hAnsi="宋体" w:cs="宋体"/>
                <w:sz w:val="21"/>
                <w:szCs w:val="21"/>
                <w:lang w:eastAsia="zh-CN"/>
              </w:rPr>
              <w:t>小写：</w:t>
            </w:r>
            <w:r>
              <w:rPr>
                <w:rFonts w:hint="eastAsia" w:ascii="宋体" w:hAnsi="宋体" w:cs="宋体"/>
                <w:sz w:val="21"/>
                <w:szCs w:val="21"/>
                <w:u w:val="single"/>
                <w:lang w:eastAsia="zh-CN"/>
              </w:rPr>
              <w:t xml:space="preserve">                  </w:t>
            </w:r>
          </w:p>
          <w:p w14:paraId="10E1B626">
            <w:pPr>
              <w:widowControl/>
              <w:spacing w:line="320" w:lineRule="exact"/>
              <w:jc w:val="center"/>
              <w:rPr>
                <w:rFonts w:ascii="宋体" w:hAnsi="宋体" w:cs="宋体"/>
                <w:b/>
                <w:bCs/>
                <w:sz w:val="21"/>
                <w:szCs w:val="21"/>
                <w:lang w:eastAsia="zh-CN"/>
              </w:rPr>
            </w:pPr>
            <w:r>
              <w:rPr>
                <w:rFonts w:hint="eastAsia" w:ascii="宋体" w:hAnsi="宋体" w:cs="宋体"/>
                <w:b/>
                <w:bCs/>
                <w:sz w:val="21"/>
                <w:szCs w:val="21"/>
                <w:lang w:eastAsia="zh-CN"/>
              </w:rPr>
              <w:t>（响应单位应在此填列第一次报价，但以响应单位最后一次的磋商报价为成交价）</w:t>
            </w:r>
          </w:p>
        </w:tc>
      </w:tr>
      <w:tr w14:paraId="6A52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right w:val="single" w:color="auto" w:sz="4" w:space="0"/>
            </w:tcBorders>
            <w:vAlign w:val="center"/>
          </w:tcPr>
          <w:p w14:paraId="4174E734">
            <w:pPr>
              <w:widowControl/>
              <w:spacing w:line="32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服务质量</w:t>
            </w:r>
          </w:p>
        </w:tc>
        <w:tc>
          <w:tcPr>
            <w:tcW w:w="6015" w:type="dxa"/>
            <w:gridSpan w:val="3"/>
            <w:tcBorders>
              <w:top w:val="single" w:color="auto" w:sz="4" w:space="0"/>
              <w:left w:val="single" w:color="auto" w:sz="4" w:space="0"/>
              <w:right w:val="single" w:color="auto" w:sz="4" w:space="0"/>
            </w:tcBorders>
            <w:vAlign w:val="center"/>
          </w:tcPr>
          <w:p w14:paraId="2A9FA4A0">
            <w:pPr>
              <w:widowControl/>
              <w:spacing w:line="320" w:lineRule="exact"/>
              <w:jc w:val="center"/>
              <w:rPr>
                <w:rFonts w:ascii="宋体" w:hAnsi="宋体" w:cs="宋体"/>
                <w:b/>
                <w:bCs/>
                <w:sz w:val="21"/>
                <w:szCs w:val="21"/>
              </w:rPr>
            </w:pPr>
          </w:p>
        </w:tc>
      </w:tr>
      <w:tr w14:paraId="4C4B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right w:val="single" w:color="auto" w:sz="4" w:space="0"/>
            </w:tcBorders>
            <w:vAlign w:val="center"/>
          </w:tcPr>
          <w:p w14:paraId="583E0DCE">
            <w:pPr>
              <w:widowControl/>
              <w:spacing w:line="320" w:lineRule="exact"/>
              <w:jc w:val="center"/>
              <w:rPr>
                <w:rFonts w:ascii="宋体" w:hAnsi="宋体" w:cs="宋体"/>
                <w:sz w:val="21"/>
                <w:szCs w:val="21"/>
                <w:lang w:eastAsia="zh-CN"/>
              </w:rPr>
            </w:pPr>
            <w:r>
              <w:rPr>
                <w:rFonts w:hint="eastAsia" w:ascii="宋体" w:hAnsi="宋体" w:cs="宋体"/>
                <w:sz w:val="21"/>
                <w:szCs w:val="21"/>
                <w:lang w:eastAsia="zh-CN"/>
              </w:rPr>
              <w:t>服务期限</w:t>
            </w:r>
          </w:p>
        </w:tc>
        <w:tc>
          <w:tcPr>
            <w:tcW w:w="6015" w:type="dxa"/>
            <w:gridSpan w:val="3"/>
            <w:tcBorders>
              <w:top w:val="single" w:color="auto" w:sz="4" w:space="0"/>
              <w:left w:val="single" w:color="auto" w:sz="4" w:space="0"/>
              <w:right w:val="single" w:color="auto" w:sz="4" w:space="0"/>
            </w:tcBorders>
            <w:vAlign w:val="center"/>
          </w:tcPr>
          <w:p w14:paraId="7A7201EC">
            <w:pPr>
              <w:widowControl/>
              <w:spacing w:line="320" w:lineRule="exact"/>
              <w:jc w:val="center"/>
              <w:rPr>
                <w:rFonts w:ascii="宋体" w:hAnsi="宋体" w:cs="宋体"/>
                <w:b/>
                <w:bCs/>
                <w:sz w:val="21"/>
                <w:szCs w:val="21"/>
              </w:rPr>
            </w:pPr>
          </w:p>
        </w:tc>
      </w:tr>
      <w:tr w14:paraId="0DBB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right w:val="single" w:color="auto" w:sz="4" w:space="0"/>
            </w:tcBorders>
            <w:vAlign w:val="center"/>
          </w:tcPr>
          <w:p w14:paraId="0223085C">
            <w:pPr>
              <w:widowControl/>
              <w:spacing w:line="320" w:lineRule="exact"/>
              <w:jc w:val="center"/>
              <w:rPr>
                <w:rFonts w:hint="eastAsia" w:ascii="宋体" w:hAnsi="宋体" w:cs="宋体"/>
                <w:sz w:val="21"/>
                <w:szCs w:val="21"/>
                <w:lang w:eastAsia="zh-CN"/>
              </w:rPr>
            </w:pPr>
            <w:r>
              <w:rPr>
                <w:rFonts w:hint="eastAsia" w:ascii="宋体" w:hAnsi="宋体" w:cs="宋体"/>
                <w:sz w:val="21"/>
                <w:szCs w:val="21"/>
                <w:lang w:val="en-US" w:eastAsia="zh-CN"/>
              </w:rPr>
              <w:t>合同履行期限</w:t>
            </w:r>
          </w:p>
        </w:tc>
        <w:tc>
          <w:tcPr>
            <w:tcW w:w="6015" w:type="dxa"/>
            <w:gridSpan w:val="3"/>
            <w:tcBorders>
              <w:top w:val="single" w:color="auto" w:sz="4" w:space="0"/>
              <w:left w:val="single" w:color="auto" w:sz="4" w:space="0"/>
              <w:right w:val="single" w:color="auto" w:sz="4" w:space="0"/>
            </w:tcBorders>
            <w:vAlign w:val="center"/>
          </w:tcPr>
          <w:p w14:paraId="34079CFF">
            <w:pPr>
              <w:widowControl/>
              <w:spacing w:line="320" w:lineRule="exact"/>
              <w:jc w:val="center"/>
              <w:rPr>
                <w:rFonts w:ascii="宋体" w:hAnsi="宋体" w:cs="宋体"/>
                <w:b/>
                <w:bCs/>
                <w:sz w:val="21"/>
                <w:szCs w:val="21"/>
              </w:rPr>
            </w:pPr>
          </w:p>
        </w:tc>
      </w:tr>
      <w:tr w14:paraId="1713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89" w:type="dxa"/>
            <w:tcBorders>
              <w:top w:val="single" w:color="auto" w:sz="4" w:space="0"/>
              <w:left w:val="single" w:color="auto" w:sz="4" w:space="0"/>
              <w:right w:val="single" w:color="auto" w:sz="4" w:space="0"/>
            </w:tcBorders>
            <w:vAlign w:val="center"/>
          </w:tcPr>
          <w:p w14:paraId="64C3B93A">
            <w:pPr>
              <w:widowControl/>
              <w:spacing w:line="320" w:lineRule="exact"/>
              <w:jc w:val="center"/>
              <w:rPr>
                <w:rFonts w:ascii="宋体" w:hAnsi="宋体"/>
                <w:sz w:val="21"/>
                <w:szCs w:val="21"/>
                <w:lang w:eastAsia="zh-CN"/>
              </w:rPr>
            </w:pPr>
            <w:r>
              <w:rPr>
                <w:rFonts w:hint="eastAsia" w:ascii="宋体" w:hAnsi="宋体"/>
                <w:sz w:val="21"/>
                <w:szCs w:val="21"/>
                <w:lang w:eastAsia="zh-CN"/>
              </w:rPr>
              <w:t>服务地点</w:t>
            </w:r>
          </w:p>
        </w:tc>
        <w:tc>
          <w:tcPr>
            <w:tcW w:w="6015" w:type="dxa"/>
            <w:gridSpan w:val="3"/>
            <w:tcBorders>
              <w:top w:val="single" w:color="auto" w:sz="4" w:space="0"/>
              <w:left w:val="single" w:color="auto" w:sz="4" w:space="0"/>
              <w:right w:val="single" w:color="auto" w:sz="4" w:space="0"/>
            </w:tcBorders>
            <w:vAlign w:val="center"/>
          </w:tcPr>
          <w:p w14:paraId="66B33916">
            <w:pPr>
              <w:widowControl/>
              <w:spacing w:line="320" w:lineRule="exact"/>
              <w:jc w:val="center"/>
              <w:rPr>
                <w:rFonts w:ascii="宋体" w:hAnsi="宋体" w:cs="宋体"/>
                <w:b/>
                <w:bCs/>
                <w:sz w:val="21"/>
                <w:szCs w:val="21"/>
              </w:rPr>
            </w:pPr>
          </w:p>
        </w:tc>
      </w:tr>
      <w:tr w14:paraId="3BF0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right w:val="single" w:color="auto" w:sz="4" w:space="0"/>
            </w:tcBorders>
            <w:vAlign w:val="center"/>
          </w:tcPr>
          <w:p w14:paraId="78115A68">
            <w:pPr>
              <w:widowControl/>
              <w:spacing w:line="320" w:lineRule="exact"/>
              <w:jc w:val="center"/>
              <w:rPr>
                <w:rFonts w:ascii="宋体" w:hAnsi="宋体" w:cs="宋体"/>
                <w:sz w:val="21"/>
                <w:szCs w:val="21"/>
                <w:lang w:eastAsia="zh-CN"/>
              </w:rPr>
            </w:pPr>
            <w:r>
              <w:rPr>
                <w:rFonts w:hint="eastAsia" w:ascii="宋体" w:hAnsi="宋体" w:cs="宋体"/>
                <w:sz w:val="21"/>
                <w:szCs w:val="21"/>
                <w:lang w:eastAsia="zh-CN"/>
              </w:rPr>
              <w:t>项目负责人</w:t>
            </w:r>
          </w:p>
        </w:tc>
        <w:tc>
          <w:tcPr>
            <w:tcW w:w="1613" w:type="dxa"/>
            <w:tcBorders>
              <w:top w:val="single" w:color="auto" w:sz="4" w:space="0"/>
              <w:left w:val="single" w:color="auto" w:sz="4" w:space="0"/>
              <w:right w:val="single" w:color="auto" w:sz="4" w:space="0"/>
            </w:tcBorders>
            <w:vAlign w:val="center"/>
          </w:tcPr>
          <w:p w14:paraId="1D027366">
            <w:pPr>
              <w:widowControl/>
              <w:spacing w:line="320" w:lineRule="exact"/>
              <w:jc w:val="center"/>
              <w:rPr>
                <w:rFonts w:ascii="宋体" w:hAnsi="宋体" w:cs="宋体"/>
                <w:b/>
                <w:bCs/>
                <w:sz w:val="21"/>
                <w:szCs w:val="21"/>
              </w:rPr>
            </w:pPr>
          </w:p>
        </w:tc>
        <w:tc>
          <w:tcPr>
            <w:tcW w:w="1412" w:type="dxa"/>
            <w:tcBorders>
              <w:top w:val="single" w:color="auto" w:sz="4" w:space="0"/>
              <w:left w:val="single" w:color="auto" w:sz="4" w:space="0"/>
              <w:right w:val="single" w:color="auto" w:sz="4" w:space="0"/>
            </w:tcBorders>
            <w:vAlign w:val="center"/>
          </w:tcPr>
          <w:p w14:paraId="63E05643">
            <w:pPr>
              <w:widowControl/>
              <w:spacing w:line="320" w:lineRule="exact"/>
              <w:jc w:val="center"/>
              <w:rPr>
                <w:rFonts w:ascii="宋体" w:hAnsi="宋体" w:cs="宋体"/>
                <w:b/>
                <w:bCs/>
                <w:sz w:val="21"/>
                <w:szCs w:val="21"/>
                <w:lang w:eastAsia="zh-CN"/>
              </w:rPr>
            </w:pPr>
            <w:r>
              <w:rPr>
                <w:rFonts w:hint="eastAsia" w:ascii="宋体" w:hAnsi="宋体" w:cs="宋体"/>
                <w:sz w:val="21"/>
                <w:szCs w:val="21"/>
                <w:lang w:val="en-US" w:eastAsia="zh-CN"/>
              </w:rPr>
              <w:t>电话</w:t>
            </w:r>
          </w:p>
        </w:tc>
        <w:tc>
          <w:tcPr>
            <w:tcW w:w="2990" w:type="dxa"/>
            <w:tcBorders>
              <w:top w:val="single" w:color="auto" w:sz="4" w:space="0"/>
              <w:left w:val="single" w:color="auto" w:sz="4" w:space="0"/>
              <w:right w:val="single" w:color="auto" w:sz="4" w:space="0"/>
            </w:tcBorders>
            <w:vAlign w:val="center"/>
          </w:tcPr>
          <w:p w14:paraId="63373EBE">
            <w:pPr>
              <w:widowControl/>
              <w:spacing w:line="320" w:lineRule="exact"/>
              <w:jc w:val="center"/>
              <w:rPr>
                <w:rFonts w:ascii="宋体" w:hAnsi="宋体" w:cs="宋体"/>
                <w:b/>
                <w:bCs/>
                <w:sz w:val="21"/>
                <w:szCs w:val="21"/>
              </w:rPr>
            </w:pPr>
          </w:p>
        </w:tc>
      </w:tr>
      <w:tr w14:paraId="245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89" w:type="dxa"/>
            <w:tcBorders>
              <w:top w:val="single" w:color="auto" w:sz="4" w:space="0"/>
              <w:left w:val="single" w:color="auto" w:sz="4" w:space="0"/>
              <w:right w:val="single" w:color="auto" w:sz="4" w:space="0"/>
            </w:tcBorders>
            <w:vAlign w:val="center"/>
          </w:tcPr>
          <w:p w14:paraId="77AB000E">
            <w:pPr>
              <w:pStyle w:val="35"/>
              <w:ind w:left="157" w:right="150"/>
              <w:jc w:val="center"/>
              <w:rPr>
                <w:rFonts w:ascii="宋体" w:hAnsi="宋体" w:cs="宋体"/>
                <w:sz w:val="21"/>
                <w:szCs w:val="21"/>
                <w:lang w:eastAsia="zh-CN"/>
              </w:rPr>
            </w:pPr>
            <w:r>
              <w:rPr>
                <w:rFonts w:hint="eastAsia"/>
                <w:sz w:val="21"/>
                <w:szCs w:val="21"/>
                <w:lang w:eastAsia="zh-CN"/>
              </w:rPr>
              <w:t>响应文件</w:t>
            </w:r>
            <w:r>
              <w:rPr>
                <w:sz w:val="21"/>
                <w:szCs w:val="21"/>
              </w:rPr>
              <w:t>有效期</w:t>
            </w:r>
          </w:p>
        </w:tc>
        <w:tc>
          <w:tcPr>
            <w:tcW w:w="6015" w:type="dxa"/>
            <w:gridSpan w:val="3"/>
            <w:tcBorders>
              <w:top w:val="single" w:color="auto" w:sz="4" w:space="0"/>
              <w:left w:val="single" w:color="auto" w:sz="4" w:space="0"/>
              <w:right w:val="single" w:color="auto" w:sz="4" w:space="0"/>
            </w:tcBorders>
            <w:vAlign w:val="center"/>
          </w:tcPr>
          <w:p w14:paraId="255F0FF8">
            <w:pPr>
              <w:pStyle w:val="35"/>
              <w:spacing w:before="149"/>
              <w:ind w:left="6"/>
              <w:jc w:val="center"/>
              <w:rPr>
                <w:rFonts w:ascii="宋体" w:hAnsi="宋体" w:cs="宋体"/>
                <w:b/>
                <w:bCs/>
                <w:sz w:val="21"/>
                <w:szCs w:val="21"/>
                <w:lang w:eastAsia="zh-CN"/>
              </w:rPr>
            </w:pPr>
            <w:r>
              <w:rPr>
                <w:rFonts w:hint="eastAsia" w:ascii="宋体" w:hAnsi="宋体" w:cs="宋体"/>
                <w:sz w:val="21"/>
                <w:szCs w:val="21"/>
                <w:lang w:eastAsia="zh-CN"/>
              </w:rPr>
              <w:t>递交响应文件截止之日起</w:t>
            </w:r>
            <w:r>
              <w:rPr>
                <w:rFonts w:ascii="宋体" w:hAnsi="宋体" w:cs="宋体"/>
                <w:sz w:val="21"/>
                <w:szCs w:val="21"/>
                <w:lang w:eastAsia="zh-CN"/>
              </w:rPr>
              <w:t>60</w:t>
            </w:r>
            <w:r>
              <w:rPr>
                <w:rFonts w:hint="eastAsia" w:ascii="宋体" w:hAnsi="宋体" w:cs="宋体"/>
                <w:sz w:val="21"/>
                <w:szCs w:val="21"/>
                <w:lang w:eastAsia="zh-CN"/>
              </w:rPr>
              <w:t>日历天</w:t>
            </w:r>
          </w:p>
        </w:tc>
      </w:tr>
      <w:tr w14:paraId="1E6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1BE9F24F">
            <w:pPr>
              <w:widowControl/>
              <w:spacing w:line="320" w:lineRule="exact"/>
              <w:jc w:val="center"/>
              <w:rPr>
                <w:rFonts w:ascii="宋体" w:hAnsi="宋体" w:cs="宋体"/>
                <w:sz w:val="21"/>
                <w:szCs w:val="21"/>
              </w:rPr>
            </w:pPr>
            <w:r>
              <w:rPr>
                <w:rFonts w:hint="eastAsia" w:ascii="宋体" w:hAnsi="宋体" w:cs="宋体"/>
                <w:sz w:val="21"/>
                <w:szCs w:val="21"/>
              </w:rPr>
              <w:t>优惠与</w:t>
            </w:r>
          </w:p>
          <w:p w14:paraId="3AA99A0D">
            <w:pPr>
              <w:widowControl/>
              <w:spacing w:line="320" w:lineRule="exact"/>
              <w:jc w:val="center"/>
              <w:rPr>
                <w:rFonts w:ascii="宋体" w:hAnsi="宋体" w:cs="宋体"/>
                <w:sz w:val="21"/>
                <w:szCs w:val="21"/>
              </w:rPr>
            </w:pPr>
            <w:r>
              <w:rPr>
                <w:rFonts w:hint="eastAsia" w:ascii="宋体" w:hAnsi="宋体" w:cs="宋体"/>
                <w:sz w:val="21"/>
                <w:szCs w:val="21"/>
              </w:rPr>
              <w:t>服务承诺</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38BF9798">
            <w:pPr>
              <w:widowControl/>
              <w:spacing w:line="320" w:lineRule="exact"/>
              <w:jc w:val="center"/>
              <w:rPr>
                <w:rFonts w:ascii="宋体" w:hAnsi="宋体" w:cs="宋体"/>
                <w:sz w:val="21"/>
                <w:szCs w:val="21"/>
              </w:rPr>
            </w:pPr>
            <w:r>
              <w:rPr>
                <w:rFonts w:hint="eastAsia" w:ascii="宋体" w:hAnsi="宋体" w:cs="宋体"/>
                <w:sz w:val="21"/>
                <w:szCs w:val="21"/>
              </w:rPr>
              <w:t>（可另附页）</w:t>
            </w:r>
          </w:p>
        </w:tc>
      </w:tr>
      <w:tr w14:paraId="3A7B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14:paraId="2228E1CB">
            <w:pPr>
              <w:spacing w:line="320" w:lineRule="exact"/>
              <w:jc w:val="center"/>
              <w:rPr>
                <w:rFonts w:ascii="宋体" w:hAnsi="宋体" w:cs="宋体"/>
                <w:sz w:val="21"/>
                <w:szCs w:val="21"/>
              </w:rPr>
            </w:pPr>
            <w:r>
              <w:rPr>
                <w:rFonts w:hint="eastAsia" w:ascii="宋体" w:hAnsi="宋体" w:cs="宋体"/>
                <w:sz w:val="21"/>
                <w:szCs w:val="21"/>
              </w:rPr>
              <w:t>备  注</w:t>
            </w:r>
          </w:p>
        </w:tc>
        <w:tc>
          <w:tcPr>
            <w:tcW w:w="6015" w:type="dxa"/>
            <w:gridSpan w:val="3"/>
            <w:tcBorders>
              <w:top w:val="single" w:color="auto" w:sz="4" w:space="0"/>
              <w:left w:val="single" w:color="auto" w:sz="4" w:space="0"/>
              <w:bottom w:val="single" w:color="auto" w:sz="4" w:space="0"/>
              <w:right w:val="single" w:color="auto" w:sz="4" w:space="0"/>
            </w:tcBorders>
            <w:vAlign w:val="center"/>
          </w:tcPr>
          <w:p w14:paraId="6F610AFA">
            <w:pPr>
              <w:widowControl/>
              <w:spacing w:line="320" w:lineRule="exact"/>
              <w:jc w:val="center"/>
              <w:rPr>
                <w:rFonts w:ascii="宋体" w:hAnsi="宋体" w:cs="宋体"/>
                <w:sz w:val="21"/>
                <w:szCs w:val="21"/>
              </w:rPr>
            </w:pPr>
          </w:p>
        </w:tc>
      </w:tr>
    </w:tbl>
    <w:p w14:paraId="20749470">
      <w:pPr>
        <w:pStyle w:val="10"/>
        <w:adjustRightInd w:val="0"/>
        <w:snapToGrid w:val="0"/>
        <w:spacing w:line="440" w:lineRule="exact"/>
        <w:ind w:left="0" w:leftChars="0" w:firstLine="44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00F646B2">
      <w:pPr>
        <w:pStyle w:val="10"/>
        <w:adjustRightInd w:val="0"/>
        <w:snapToGrid w:val="0"/>
        <w:spacing w:line="440" w:lineRule="exact"/>
        <w:ind w:left="0" w:leftChars="0" w:firstLine="440" w:firstLineChars="200"/>
        <w:jc w:val="center"/>
        <w:rPr>
          <w:rFonts w:ascii="宋体" w:hAnsi="宋体" w:cs="宋体"/>
          <w:szCs w:val="21"/>
          <w:lang w:eastAsia="zh-CN"/>
        </w:rPr>
      </w:pPr>
      <w:r>
        <w:rPr>
          <w:rFonts w:hint="eastAsia" w:ascii="宋体" w:hAnsi="宋体" w:cs="宋体"/>
          <w:szCs w:val="21"/>
          <w:lang w:val="en-US" w:eastAsia="zh-CN"/>
        </w:rPr>
        <w:t xml:space="preserve">       </w:t>
      </w:r>
      <w:r>
        <w:rPr>
          <w:rFonts w:hint="eastAsia" w:ascii="宋体" w:hAnsi="宋体" w:cs="宋体"/>
          <w:szCs w:val="21"/>
          <w:lang w:eastAsia="zh-CN"/>
        </w:rPr>
        <w:t>响应单位：</w:t>
      </w:r>
      <w:r>
        <w:rPr>
          <w:rFonts w:hint="eastAsia" w:ascii="宋体" w:hAnsi="宋体" w:cs="宋体"/>
          <w:szCs w:val="21"/>
          <w:u w:val="single"/>
          <w:lang w:eastAsia="zh-CN"/>
        </w:rPr>
        <w:t xml:space="preserve">                     </w:t>
      </w:r>
      <w:r>
        <w:rPr>
          <w:rFonts w:hint="eastAsia" w:ascii="宋体" w:hAnsi="宋体" w:cs="宋体"/>
          <w:szCs w:val="21"/>
          <w:lang w:eastAsia="zh-CN"/>
        </w:rPr>
        <w:t>（</w:t>
      </w:r>
      <w:r>
        <w:rPr>
          <w:rFonts w:hint="eastAsia" w:ascii="宋体" w:hAnsi="宋体" w:cs="宋体"/>
          <w:szCs w:val="21"/>
          <w:lang w:val="en-US" w:eastAsia="zh-CN"/>
        </w:rPr>
        <w:t>电子签章</w:t>
      </w:r>
      <w:r>
        <w:rPr>
          <w:rFonts w:hint="eastAsia" w:ascii="宋体" w:hAnsi="宋体" w:cs="宋体"/>
          <w:szCs w:val="21"/>
          <w:lang w:eastAsia="zh-CN"/>
        </w:rPr>
        <w:t>）</w:t>
      </w:r>
    </w:p>
    <w:p w14:paraId="49D97900">
      <w:pPr>
        <w:pStyle w:val="10"/>
        <w:adjustRightInd w:val="0"/>
        <w:snapToGrid w:val="0"/>
        <w:spacing w:line="440" w:lineRule="exact"/>
        <w:ind w:left="0" w:leftChars="0" w:firstLine="440" w:firstLineChars="200"/>
        <w:jc w:val="center"/>
        <w:rPr>
          <w:rFonts w:ascii="宋体" w:hAnsi="宋体" w:cs="宋体"/>
          <w:szCs w:val="21"/>
          <w:lang w:eastAsia="zh-CN"/>
        </w:rPr>
      </w:pPr>
      <w:r>
        <w:rPr>
          <w:rFonts w:hint="eastAsia" w:ascii="宋体" w:hAnsi="宋体" w:cs="宋体"/>
          <w:szCs w:val="21"/>
          <w:lang w:val="en-US" w:eastAsia="zh-CN"/>
        </w:rPr>
        <w:t xml:space="preserve">             </w:t>
      </w:r>
      <w:r>
        <w:rPr>
          <w:rFonts w:hint="eastAsia" w:ascii="宋体" w:hAnsi="宋体" w:cs="宋体"/>
          <w:szCs w:val="21"/>
          <w:lang w:eastAsia="zh-CN"/>
        </w:rPr>
        <w:t>法定代表人或授权代表人：</w:t>
      </w:r>
      <w:r>
        <w:rPr>
          <w:rFonts w:hint="eastAsia" w:ascii="宋体" w:hAnsi="宋体" w:cs="宋体"/>
          <w:szCs w:val="21"/>
          <w:u w:val="single"/>
          <w:lang w:eastAsia="zh-CN"/>
        </w:rPr>
        <w:t xml:space="preserve">       </w:t>
      </w:r>
      <w:r>
        <w:rPr>
          <w:rFonts w:hint="eastAsia" w:ascii="宋体" w:hAnsi="宋体" w:cs="宋体"/>
          <w:szCs w:val="21"/>
          <w:lang w:eastAsia="zh-CN"/>
        </w:rPr>
        <w:t>（</w:t>
      </w:r>
      <w:r>
        <w:rPr>
          <w:rFonts w:hint="eastAsia" w:ascii="宋体" w:hAnsi="宋体" w:cs="宋体"/>
          <w:szCs w:val="21"/>
          <w:lang w:val="en-US" w:eastAsia="zh-CN"/>
        </w:rPr>
        <w:t>电子签名或签字</w:t>
      </w:r>
      <w:r>
        <w:rPr>
          <w:rFonts w:hint="eastAsia" w:ascii="宋体" w:hAnsi="宋体" w:cs="宋体"/>
          <w:szCs w:val="21"/>
          <w:lang w:eastAsia="zh-CN"/>
        </w:rPr>
        <w:t>）</w:t>
      </w:r>
    </w:p>
    <w:p w14:paraId="0E6CCA95">
      <w:pPr>
        <w:adjustRightInd w:val="0"/>
        <w:snapToGrid w:val="0"/>
        <w:spacing w:line="440" w:lineRule="exact"/>
        <w:jc w:val="center"/>
        <w:rPr>
          <w:b/>
          <w:sz w:val="28"/>
          <w:lang w:eastAsia="zh-CN"/>
        </w:rPr>
      </w:pPr>
      <w:r>
        <w:rPr>
          <w:rFonts w:hint="eastAsia" w:ascii="宋体" w:hAnsi="宋体" w:cs="宋体"/>
          <w:szCs w:val="21"/>
          <w:lang w:eastAsia="zh-CN"/>
        </w:rPr>
        <w:t xml:space="preserve">               </w:t>
      </w:r>
      <w:r>
        <w:rPr>
          <w:rFonts w:hint="eastAsia" w:ascii="宋体" w:hAnsi="宋体" w:cs="宋体"/>
          <w:szCs w:val="21"/>
          <w:u w:val="single"/>
          <w:lang w:eastAsia="zh-CN"/>
        </w:rPr>
        <w:t xml:space="preserve">       </w:t>
      </w:r>
      <w:r>
        <w:rPr>
          <w:rFonts w:hint="eastAsia" w:ascii="宋体" w:hAnsi="宋体" w:cs="宋体"/>
          <w:szCs w:val="21"/>
          <w:lang w:eastAsia="zh-CN"/>
        </w:rPr>
        <w:t>年</w:t>
      </w:r>
      <w:r>
        <w:rPr>
          <w:rFonts w:hint="eastAsia" w:ascii="宋体" w:hAnsi="宋体" w:cs="宋体"/>
          <w:szCs w:val="21"/>
          <w:u w:val="single"/>
          <w:lang w:eastAsia="zh-CN"/>
        </w:rPr>
        <w:t xml:space="preserve">     </w:t>
      </w:r>
      <w:r>
        <w:rPr>
          <w:rFonts w:hint="eastAsia" w:ascii="宋体" w:hAnsi="宋体" w:cs="宋体"/>
          <w:szCs w:val="21"/>
          <w:lang w:eastAsia="zh-CN"/>
        </w:rPr>
        <w:t>月</w:t>
      </w:r>
      <w:r>
        <w:rPr>
          <w:rFonts w:hint="eastAsia" w:ascii="宋体" w:hAnsi="宋体" w:cs="宋体"/>
          <w:szCs w:val="21"/>
          <w:u w:val="single"/>
          <w:lang w:eastAsia="zh-CN"/>
        </w:rPr>
        <w:t xml:space="preserve">      </w:t>
      </w:r>
      <w:r>
        <w:rPr>
          <w:rFonts w:hint="eastAsia" w:ascii="宋体" w:hAnsi="宋体" w:cs="宋体"/>
          <w:szCs w:val="21"/>
          <w:lang w:eastAsia="zh-CN"/>
        </w:rPr>
        <w:t>日</w:t>
      </w:r>
      <w:r>
        <w:rPr>
          <w:b/>
          <w:sz w:val="28"/>
          <w:lang w:eastAsia="zh-CN"/>
        </w:rPr>
        <w:br w:type="page"/>
      </w:r>
    </w:p>
    <w:p w14:paraId="17B733ED">
      <w:pPr>
        <w:keepNext w:val="0"/>
        <w:keepLines w:val="0"/>
        <w:pageBreakBefore w:val="0"/>
        <w:widowControl w:val="0"/>
        <w:kinsoku/>
        <w:wordWrap/>
        <w:overflowPunct/>
        <w:topLinePunct w:val="0"/>
        <w:autoSpaceDE/>
        <w:autoSpaceDN/>
        <w:bidi w:val="0"/>
        <w:spacing w:line="360" w:lineRule="exact"/>
        <w:jc w:val="center"/>
        <w:textAlignment w:val="auto"/>
        <w:outlineLvl w:val="2"/>
        <w:rPr>
          <w:b/>
          <w:sz w:val="28"/>
          <w:lang w:eastAsia="zh-CN"/>
        </w:rPr>
      </w:pPr>
      <w:bookmarkStart w:id="140" w:name="_Toc17560"/>
      <w:bookmarkStart w:id="141" w:name="_Toc17958"/>
      <w:r>
        <w:rPr>
          <w:rFonts w:hint="eastAsia"/>
          <w:b/>
          <w:sz w:val="28"/>
          <w:lang w:eastAsia="zh-CN"/>
        </w:rPr>
        <w:t>6.</w:t>
      </w:r>
      <w:r>
        <w:rPr>
          <w:b/>
          <w:sz w:val="28"/>
          <w:lang w:eastAsia="zh-CN"/>
        </w:rPr>
        <w:t>资格审查资料</w:t>
      </w:r>
      <w:bookmarkEnd w:id="140"/>
      <w:bookmarkEnd w:id="141"/>
    </w:p>
    <w:p w14:paraId="593C30B6">
      <w:pPr>
        <w:pStyle w:val="20"/>
        <w:spacing w:after="0"/>
        <w:ind w:left="0" w:leftChars="0" w:firstLine="0" w:firstLineChars="0"/>
        <w:jc w:val="center"/>
        <w:rPr>
          <w:rFonts w:hint="eastAsia"/>
          <w:b/>
          <w:bCs/>
          <w:lang w:eastAsia="zh-CN"/>
        </w:rPr>
      </w:pPr>
    </w:p>
    <w:p w14:paraId="41FAB0CC">
      <w:pPr>
        <w:pStyle w:val="20"/>
        <w:spacing w:after="0"/>
        <w:ind w:left="0" w:leftChars="0" w:firstLine="0" w:firstLineChars="0"/>
        <w:jc w:val="center"/>
        <w:rPr>
          <w:b/>
          <w:bCs/>
          <w:lang w:eastAsia="zh-CN"/>
        </w:rPr>
      </w:pPr>
      <w:r>
        <w:rPr>
          <w:rFonts w:hint="eastAsia"/>
          <w:b/>
          <w:bCs/>
          <w:lang w:eastAsia="zh-CN"/>
        </w:rPr>
        <w:t>附件1：</w:t>
      </w:r>
      <w:r>
        <w:rPr>
          <w:rFonts w:hint="eastAsia" w:ascii="宋体" w:hAnsi="宋体" w:cs="宋体"/>
          <w:szCs w:val="21"/>
          <w:lang w:eastAsia="zh-CN"/>
        </w:rPr>
        <w:t>营业执照</w:t>
      </w:r>
      <w:r>
        <w:rPr>
          <w:rFonts w:hint="eastAsia" w:ascii="宋体" w:hAnsi="宋体" w:cs="宋体"/>
          <w:szCs w:val="21"/>
          <w:lang w:val="en-US" w:eastAsia="zh-CN"/>
        </w:rPr>
        <w:t>或其他证明材料</w:t>
      </w:r>
      <w:r>
        <w:rPr>
          <w:rFonts w:hint="eastAsia" w:ascii="宋体" w:hAnsi="宋体" w:cs="宋体"/>
          <w:b/>
          <w:bCs/>
          <w:szCs w:val="21"/>
          <w:lang w:eastAsia="zh-CN"/>
        </w:rPr>
        <w:t>等</w:t>
      </w:r>
      <w:r>
        <w:rPr>
          <w:rFonts w:hint="eastAsia"/>
          <w:lang w:eastAsia="zh-CN"/>
        </w:rPr>
        <w:t>复印件</w:t>
      </w:r>
      <w:r>
        <w:rPr>
          <w:rFonts w:hint="eastAsia"/>
          <w:b/>
          <w:bCs/>
          <w:lang w:eastAsia="zh-CN"/>
        </w:rPr>
        <w:t>。</w:t>
      </w:r>
    </w:p>
    <w:p w14:paraId="62FAC1B0">
      <w:pPr>
        <w:jc w:val="center"/>
        <w:rPr>
          <w:rFonts w:ascii="Times New Roman" w:hAnsi="Times New Roman"/>
          <w:b/>
          <w:bCs/>
          <w:lang w:eastAsia="zh-CN"/>
        </w:rPr>
      </w:pPr>
      <w:r>
        <w:rPr>
          <w:rFonts w:hint="eastAsia"/>
          <w:b/>
          <w:bCs/>
          <w:lang w:eastAsia="zh-CN"/>
        </w:rPr>
        <w:br w:type="page"/>
      </w:r>
      <w:r>
        <w:rPr>
          <w:rFonts w:hint="eastAsia" w:ascii="Times New Roman" w:hAnsi="Times New Roman"/>
          <w:b/>
          <w:bCs/>
          <w:lang w:eastAsia="zh-CN"/>
        </w:rPr>
        <w:t>附件</w:t>
      </w:r>
      <w:r>
        <w:rPr>
          <w:rFonts w:hint="eastAsia"/>
          <w:b/>
          <w:bCs/>
          <w:lang w:eastAsia="zh-CN"/>
        </w:rPr>
        <w:t>2</w:t>
      </w:r>
      <w:r>
        <w:rPr>
          <w:rFonts w:hint="eastAsia" w:ascii="Times New Roman" w:hAnsi="Times New Roman"/>
          <w:b/>
          <w:bCs/>
          <w:lang w:eastAsia="zh-CN"/>
        </w:rPr>
        <w:t>：资</w:t>
      </w:r>
      <w:r>
        <w:rPr>
          <w:rFonts w:ascii="Times New Roman" w:hAnsi="Times New Roman"/>
          <w:b/>
          <w:bCs/>
          <w:lang w:eastAsia="zh-CN"/>
        </w:rPr>
        <w:t>格</w:t>
      </w:r>
      <w:r>
        <w:rPr>
          <w:rFonts w:hint="eastAsia" w:ascii="Times New Roman" w:hAnsi="Times New Roman"/>
          <w:b/>
          <w:bCs/>
          <w:lang w:eastAsia="zh-CN"/>
        </w:rPr>
        <w:t>承诺</w:t>
      </w:r>
      <w:r>
        <w:rPr>
          <w:rFonts w:ascii="Times New Roman" w:hAnsi="Times New Roman"/>
          <w:b/>
          <w:bCs/>
          <w:lang w:eastAsia="zh-CN"/>
        </w:rPr>
        <w:t>声明函</w:t>
      </w:r>
    </w:p>
    <w:p w14:paraId="0355FED2">
      <w:pPr>
        <w:autoSpaceDE w:val="0"/>
        <w:autoSpaceDN w:val="0"/>
        <w:adjustRightInd w:val="0"/>
        <w:spacing w:line="440" w:lineRule="exact"/>
        <w:ind w:firstLine="420" w:firstLineChars="200"/>
        <w:rPr>
          <w:rFonts w:ascii="宋体" w:hAnsi="宋体" w:cs="宋体"/>
          <w:sz w:val="21"/>
          <w:szCs w:val="21"/>
          <w:lang w:eastAsia="zh-CN"/>
        </w:rPr>
      </w:pPr>
      <w:r>
        <w:rPr>
          <w:rFonts w:ascii="宋体" w:hAnsi="宋体" w:cs="宋体"/>
          <w:sz w:val="21"/>
          <w:szCs w:val="21"/>
          <w:u w:val="single"/>
          <w:lang w:eastAsia="zh-CN"/>
        </w:rPr>
        <w:t>致(本</w:t>
      </w:r>
      <w:r>
        <w:rPr>
          <w:rFonts w:hint="eastAsia" w:ascii="宋体" w:hAnsi="宋体" w:cs="宋体"/>
          <w:sz w:val="21"/>
          <w:szCs w:val="21"/>
          <w:u w:val="single"/>
          <w:lang w:eastAsia="zh-CN"/>
        </w:rPr>
        <w:t>项</w:t>
      </w:r>
      <w:r>
        <w:rPr>
          <w:rFonts w:ascii="宋体" w:hAnsi="宋体" w:cs="宋体"/>
          <w:sz w:val="21"/>
          <w:szCs w:val="21"/>
          <w:u w:val="single"/>
          <w:lang w:eastAsia="zh-CN"/>
        </w:rPr>
        <w:t>目</w:t>
      </w:r>
      <w:r>
        <w:rPr>
          <w:rFonts w:hint="eastAsia" w:ascii="宋体" w:hAnsi="宋体" w:cs="宋体"/>
          <w:sz w:val="21"/>
          <w:szCs w:val="21"/>
          <w:u w:val="single"/>
          <w:lang w:val="en-US" w:eastAsia="zh-CN"/>
        </w:rPr>
        <w:t>采</w:t>
      </w:r>
      <w:r>
        <w:rPr>
          <w:rFonts w:hint="eastAsia" w:ascii="宋体" w:hAnsi="宋体" w:cs="宋体"/>
          <w:sz w:val="21"/>
          <w:szCs w:val="21"/>
          <w:u w:val="single"/>
          <w:lang w:eastAsia="zh-CN"/>
        </w:rPr>
        <w:t>购单位</w:t>
      </w:r>
      <w:r>
        <w:rPr>
          <w:rFonts w:hint="eastAsia" w:ascii="宋体" w:hAnsi="宋体" w:cs="宋体"/>
          <w:sz w:val="21"/>
          <w:szCs w:val="21"/>
          <w:u w:val="single"/>
          <w:lang w:val="en-US" w:eastAsia="zh-CN"/>
        </w:rPr>
        <w:t>及代理机构</w:t>
      </w:r>
      <w:r>
        <w:rPr>
          <w:rFonts w:ascii="宋体" w:hAnsi="宋体" w:cs="宋体"/>
          <w:sz w:val="21"/>
          <w:szCs w:val="21"/>
          <w:u w:val="single"/>
          <w:lang w:eastAsia="zh-CN"/>
        </w:rPr>
        <w:t>)及XXX公共</w:t>
      </w:r>
      <w:r>
        <w:rPr>
          <w:rFonts w:hint="eastAsia" w:ascii="宋体" w:hAnsi="宋体" w:cs="宋体"/>
          <w:sz w:val="21"/>
          <w:szCs w:val="21"/>
          <w:u w:val="single"/>
          <w:lang w:eastAsia="zh-CN"/>
        </w:rPr>
        <w:t>资源</w:t>
      </w:r>
      <w:r>
        <w:rPr>
          <w:rFonts w:ascii="宋体" w:hAnsi="宋体" w:cs="宋体"/>
          <w:sz w:val="21"/>
          <w:szCs w:val="21"/>
          <w:u w:val="single"/>
          <w:lang w:eastAsia="zh-CN"/>
        </w:rPr>
        <w:t>交易中</w:t>
      </w:r>
      <w:r>
        <w:rPr>
          <w:rFonts w:hint="eastAsia" w:ascii="宋体" w:hAnsi="宋体" w:cs="宋体"/>
          <w:sz w:val="21"/>
          <w:szCs w:val="21"/>
          <w:u w:val="single"/>
          <w:lang w:eastAsia="zh-CN"/>
        </w:rPr>
        <w:t>心</w:t>
      </w:r>
      <w:r>
        <w:rPr>
          <w:rFonts w:hint="eastAsia" w:ascii="宋体" w:hAnsi="宋体" w:cs="宋体"/>
          <w:sz w:val="21"/>
          <w:szCs w:val="21"/>
          <w:lang w:eastAsia="zh-CN"/>
        </w:rPr>
        <w:t>：</w:t>
      </w:r>
    </w:p>
    <w:p w14:paraId="471B4398">
      <w:pPr>
        <w:autoSpaceDE w:val="0"/>
        <w:autoSpaceDN w:val="0"/>
        <w:adjustRightInd w:val="0"/>
        <w:spacing w:line="440" w:lineRule="exact"/>
        <w:ind w:firstLine="420" w:firstLineChars="200"/>
        <w:rPr>
          <w:rFonts w:ascii="宋体" w:hAnsi="宋体" w:cs="宋体"/>
          <w:sz w:val="21"/>
          <w:szCs w:val="21"/>
          <w:lang w:eastAsia="zh-CN"/>
        </w:rPr>
      </w:pPr>
      <w:r>
        <w:rPr>
          <w:rFonts w:ascii="宋体" w:hAnsi="宋体" w:cs="宋体"/>
          <w:sz w:val="21"/>
          <w:szCs w:val="21"/>
          <w:lang w:eastAsia="zh-CN"/>
        </w:rPr>
        <w:t>我</w:t>
      </w:r>
      <w:r>
        <w:rPr>
          <w:rFonts w:hint="eastAsia" w:ascii="宋体" w:hAnsi="宋体" w:cs="宋体"/>
          <w:sz w:val="21"/>
          <w:szCs w:val="21"/>
          <w:lang w:val="en-US" w:eastAsia="zh-CN"/>
        </w:rPr>
        <w:t>单</w:t>
      </w:r>
      <w:r>
        <w:rPr>
          <w:rFonts w:ascii="宋体" w:hAnsi="宋体" w:cs="宋体"/>
          <w:sz w:val="21"/>
          <w:szCs w:val="21"/>
          <w:lang w:eastAsia="zh-CN"/>
        </w:rPr>
        <w:t>位自</w:t>
      </w:r>
      <w:r>
        <w:rPr>
          <w:rFonts w:hint="eastAsia" w:ascii="宋体" w:hAnsi="宋体" w:cs="宋体"/>
          <w:sz w:val="21"/>
          <w:szCs w:val="21"/>
          <w:lang w:eastAsia="zh-CN"/>
        </w:rPr>
        <w:t>愿</w:t>
      </w:r>
      <w:r>
        <w:rPr>
          <w:rFonts w:ascii="宋体" w:hAnsi="宋体" w:cs="宋体"/>
          <w:sz w:val="21"/>
          <w:szCs w:val="21"/>
          <w:lang w:eastAsia="zh-CN"/>
        </w:rPr>
        <w:t>参加本次政府釆</w:t>
      </w:r>
      <w:r>
        <w:rPr>
          <w:rFonts w:hint="eastAsia" w:ascii="宋体" w:hAnsi="宋体" w:cs="宋体"/>
          <w:sz w:val="21"/>
          <w:szCs w:val="21"/>
          <w:lang w:eastAsia="zh-CN"/>
        </w:rPr>
        <w:t>购</w:t>
      </w:r>
      <w:r>
        <w:rPr>
          <w:rFonts w:ascii="宋体" w:hAnsi="宋体" w:cs="宋体"/>
          <w:sz w:val="21"/>
          <w:szCs w:val="21"/>
          <w:lang w:eastAsia="zh-CN"/>
        </w:rPr>
        <w:t>活</w:t>
      </w:r>
      <w:r>
        <w:rPr>
          <w:rFonts w:hint="eastAsia" w:ascii="宋体" w:hAnsi="宋体" w:cs="宋体"/>
          <w:sz w:val="21"/>
          <w:szCs w:val="21"/>
          <w:lang w:eastAsia="zh-CN"/>
        </w:rPr>
        <w:t>动</w:t>
      </w:r>
      <w:r>
        <w:rPr>
          <w:rFonts w:ascii="宋体" w:hAnsi="宋体" w:cs="宋体"/>
          <w:sz w:val="21"/>
          <w:szCs w:val="21"/>
          <w:lang w:eastAsia="zh-CN"/>
        </w:rPr>
        <w:t>,</w:t>
      </w:r>
      <w:r>
        <w:rPr>
          <w:rFonts w:hint="eastAsia" w:ascii="宋体" w:hAnsi="宋体" w:cs="宋体"/>
          <w:sz w:val="21"/>
          <w:szCs w:val="21"/>
          <w:lang w:eastAsia="zh-CN"/>
        </w:rPr>
        <w:t>严</w:t>
      </w:r>
      <w:r>
        <w:rPr>
          <w:rFonts w:ascii="宋体" w:hAnsi="宋体" w:cs="宋体"/>
          <w:sz w:val="21"/>
          <w:szCs w:val="21"/>
          <w:lang w:eastAsia="zh-CN"/>
        </w:rPr>
        <w:t>格遵守《中</w:t>
      </w:r>
      <w:r>
        <w:rPr>
          <w:rFonts w:hint="eastAsia" w:ascii="宋体" w:hAnsi="宋体" w:cs="宋体"/>
          <w:sz w:val="21"/>
          <w:szCs w:val="21"/>
          <w:lang w:eastAsia="zh-CN"/>
        </w:rPr>
        <w:t>华</w:t>
      </w:r>
      <w:r>
        <w:rPr>
          <w:rFonts w:ascii="宋体" w:hAnsi="宋体" w:cs="宋体"/>
          <w:sz w:val="21"/>
          <w:szCs w:val="21"/>
          <w:lang w:eastAsia="zh-CN"/>
        </w:rPr>
        <w:t>人民共和国政府釆</w:t>
      </w:r>
      <w:r>
        <w:rPr>
          <w:rFonts w:hint="eastAsia" w:ascii="宋体" w:hAnsi="宋体" w:cs="宋体"/>
          <w:sz w:val="21"/>
          <w:szCs w:val="21"/>
          <w:lang w:eastAsia="zh-CN"/>
        </w:rPr>
        <w:t>购</w:t>
      </w:r>
      <w:r>
        <w:rPr>
          <w:rFonts w:ascii="宋体" w:hAnsi="宋体" w:cs="宋体"/>
          <w:sz w:val="21"/>
          <w:szCs w:val="21"/>
          <w:lang w:eastAsia="zh-CN"/>
        </w:rPr>
        <w:t>法》及相</w:t>
      </w:r>
      <w:r>
        <w:rPr>
          <w:rFonts w:hint="eastAsia" w:ascii="宋体" w:hAnsi="宋体" w:cs="宋体"/>
          <w:sz w:val="21"/>
          <w:szCs w:val="21"/>
          <w:lang w:eastAsia="zh-CN"/>
        </w:rPr>
        <w:t>关</w:t>
      </w:r>
      <w:r>
        <w:rPr>
          <w:rFonts w:ascii="宋体" w:hAnsi="宋体" w:cs="宋体"/>
          <w:sz w:val="21"/>
          <w:szCs w:val="21"/>
          <w:lang w:eastAsia="zh-CN"/>
        </w:rPr>
        <w:t>法律法</w:t>
      </w:r>
      <w:r>
        <w:rPr>
          <w:rFonts w:hint="eastAsia" w:ascii="宋体" w:hAnsi="宋体" w:cs="宋体"/>
          <w:sz w:val="21"/>
          <w:szCs w:val="21"/>
          <w:lang w:eastAsia="zh-CN"/>
        </w:rPr>
        <w:t>规</w:t>
      </w:r>
      <w:r>
        <w:rPr>
          <w:rFonts w:ascii="宋体" w:hAnsi="宋体" w:cs="宋体"/>
          <w:sz w:val="21"/>
          <w:szCs w:val="21"/>
          <w:lang w:eastAsia="zh-CN"/>
        </w:rPr>
        <w:t>,依法</w:t>
      </w:r>
      <w:r>
        <w:rPr>
          <w:rFonts w:hint="eastAsia" w:ascii="宋体" w:hAnsi="宋体" w:cs="宋体"/>
          <w:sz w:val="21"/>
          <w:szCs w:val="21"/>
          <w:lang w:eastAsia="zh-CN"/>
        </w:rPr>
        <w:t>诚信经营</w:t>
      </w:r>
      <w:r>
        <w:rPr>
          <w:rFonts w:ascii="宋体" w:hAnsi="宋体" w:cs="宋体"/>
          <w:sz w:val="21"/>
          <w:szCs w:val="21"/>
          <w:lang w:eastAsia="zh-CN"/>
        </w:rPr>
        <w:t>,依法遵守本次</w:t>
      </w:r>
      <w:r>
        <w:rPr>
          <w:rFonts w:hint="eastAsia" w:ascii="宋体" w:hAnsi="宋体" w:cs="宋体"/>
          <w:sz w:val="21"/>
          <w:szCs w:val="21"/>
          <w:lang w:eastAsia="zh-CN"/>
        </w:rPr>
        <w:t>政府采购活动</w:t>
      </w:r>
      <w:r>
        <w:rPr>
          <w:rFonts w:ascii="宋体" w:hAnsi="宋体" w:cs="宋体"/>
          <w:sz w:val="21"/>
          <w:szCs w:val="21"/>
          <w:lang w:eastAsia="zh-CN"/>
        </w:rPr>
        <w:t>的</w:t>
      </w:r>
      <w:r>
        <w:rPr>
          <w:rFonts w:hint="eastAsia" w:ascii="宋体" w:hAnsi="宋体" w:cs="宋体"/>
          <w:sz w:val="21"/>
          <w:szCs w:val="21"/>
          <w:lang w:eastAsia="zh-CN"/>
        </w:rPr>
        <w:t>各项规定</w:t>
      </w:r>
      <w:r>
        <w:rPr>
          <w:rFonts w:ascii="宋体" w:hAnsi="宋体" w:cs="宋体"/>
          <w:sz w:val="21"/>
          <w:szCs w:val="21"/>
          <w:lang w:eastAsia="zh-CN"/>
        </w:rPr>
        <w:t>。我単位</w:t>
      </w:r>
      <w:r>
        <w:rPr>
          <w:rFonts w:hint="eastAsia" w:ascii="宋体" w:hAnsi="宋体" w:cs="宋体"/>
          <w:sz w:val="21"/>
          <w:szCs w:val="21"/>
          <w:lang w:eastAsia="zh-CN"/>
        </w:rPr>
        <w:t>郑重承诺声明如下</w:t>
      </w:r>
      <w:r>
        <w:rPr>
          <w:rFonts w:ascii="宋体" w:hAnsi="宋体" w:cs="宋体"/>
          <w:sz w:val="21"/>
          <w:szCs w:val="21"/>
          <w:lang w:eastAsia="zh-CN"/>
        </w:rPr>
        <w:t>:</w:t>
      </w:r>
    </w:p>
    <w:p w14:paraId="0730EE4D">
      <w:pPr>
        <w:numPr>
          <w:ilvl w:val="0"/>
          <w:numId w:val="18"/>
        </w:numPr>
        <w:autoSpaceDE w:val="0"/>
        <w:autoSpaceDN w:val="0"/>
        <w:adjustRightInd w:val="0"/>
        <w:spacing w:line="440" w:lineRule="exact"/>
        <w:ind w:firstLine="420" w:firstLineChars="200"/>
        <w:jc w:val="both"/>
        <w:rPr>
          <w:rFonts w:ascii="宋体" w:hAnsi="宋体" w:cs="宋体"/>
          <w:sz w:val="21"/>
          <w:szCs w:val="21"/>
          <w:lang w:eastAsia="zh-CN"/>
        </w:rPr>
      </w:pPr>
      <w:r>
        <w:rPr>
          <w:rFonts w:ascii="宋体" w:hAnsi="宋体" w:cs="宋体"/>
          <w:sz w:val="21"/>
          <w:szCs w:val="21"/>
          <w:lang w:eastAsia="zh-CN"/>
        </w:rPr>
        <w:t>我</w:t>
      </w:r>
      <w:r>
        <w:rPr>
          <w:rFonts w:hint="eastAsia" w:ascii="宋体" w:hAnsi="宋体" w:cs="宋体"/>
          <w:sz w:val="21"/>
          <w:szCs w:val="21"/>
          <w:lang w:eastAsia="zh-CN"/>
        </w:rPr>
        <w:t>单位全称为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，注册地点为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 统一社会信用代码为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，法定代表人（单位负责人）为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，联系方式为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w:t>
      </w:r>
    </w:p>
    <w:p w14:paraId="36B5614C">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二、</w:t>
      </w:r>
      <w:r>
        <w:rPr>
          <w:rFonts w:ascii="宋体" w:hAnsi="宋体" w:cs="宋体"/>
          <w:sz w:val="21"/>
          <w:szCs w:val="21"/>
          <w:lang w:eastAsia="zh-CN"/>
        </w:rPr>
        <w:t>我</w:t>
      </w:r>
      <w:r>
        <w:rPr>
          <w:rFonts w:hint="eastAsia" w:ascii="宋体" w:hAnsi="宋体" w:cs="宋体"/>
          <w:sz w:val="21"/>
          <w:szCs w:val="21"/>
          <w:lang w:eastAsia="zh-CN"/>
        </w:rPr>
        <w:t>单位</w:t>
      </w:r>
      <w:r>
        <w:rPr>
          <w:rFonts w:ascii="宋体" w:hAnsi="宋体" w:cs="宋体"/>
          <w:sz w:val="21"/>
          <w:szCs w:val="21"/>
          <w:lang w:eastAsia="zh-CN"/>
        </w:rPr>
        <w:t>具有独立承担民事</w:t>
      </w:r>
      <w:r>
        <w:rPr>
          <w:rFonts w:hint="eastAsia" w:ascii="宋体" w:hAnsi="宋体" w:cs="宋体"/>
          <w:sz w:val="21"/>
          <w:szCs w:val="21"/>
          <w:lang w:eastAsia="zh-CN"/>
        </w:rPr>
        <w:t>责</w:t>
      </w:r>
      <w:r>
        <w:rPr>
          <w:rFonts w:ascii="宋体" w:hAnsi="宋体" w:cs="宋体"/>
          <w:sz w:val="21"/>
          <w:szCs w:val="21"/>
          <w:lang w:eastAsia="zh-CN"/>
        </w:rPr>
        <w:t>任的能力。</w:t>
      </w:r>
    </w:p>
    <w:p w14:paraId="25F07875">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三、</w:t>
      </w:r>
      <w:r>
        <w:rPr>
          <w:rFonts w:ascii="宋体" w:hAnsi="宋体" w:cs="宋体"/>
          <w:sz w:val="21"/>
          <w:szCs w:val="21"/>
          <w:lang w:eastAsia="zh-CN"/>
        </w:rPr>
        <w:t>我</w:t>
      </w:r>
      <w:r>
        <w:rPr>
          <w:rFonts w:hint="eastAsia" w:ascii="宋体" w:hAnsi="宋体" w:cs="宋体"/>
          <w:sz w:val="21"/>
          <w:szCs w:val="21"/>
          <w:lang w:eastAsia="zh-CN"/>
        </w:rPr>
        <w:t>单位</w:t>
      </w:r>
      <w:r>
        <w:rPr>
          <w:rFonts w:ascii="宋体" w:hAnsi="宋体" w:cs="宋体"/>
          <w:sz w:val="21"/>
          <w:szCs w:val="21"/>
          <w:lang w:eastAsia="zh-CN"/>
        </w:rPr>
        <w:t>具有良好的</w:t>
      </w:r>
      <w:r>
        <w:rPr>
          <w:rFonts w:hint="eastAsia" w:ascii="宋体" w:hAnsi="宋体" w:cs="宋体"/>
          <w:sz w:val="21"/>
          <w:szCs w:val="21"/>
          <w:lang w:eastAsia="zh-CN"/>
        </w:rPr>
        <w:t>商业信誉和健全的财务会计制度。</w:t>
      </w:r>
    </w:p>
    <w:p w14:paraId="08F916C2">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四、我单位具有履行合同所必需的设备和专业技术能力。</w:t>
      </w:r>
    </w:p>
    <w:p w14:paraId="29E34F47">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五、我单位有依法缴纳税收和社会保障资金的良好记录。</w:t>
      </w:r>
    </w:p>
    <w:p w14:paraId="07EA26F0">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六、我单位参加政府采购活动前三年内，在经营活动中没有重大违法记录。（重大违法记录，是指响应单位因违法经营受到刑事处罚或者责令停产停业、吊销许可证或者执照、较大数额罚款等行政处罚。）</w:t>
      </w:r>
    </w:p>
    <w:p w14:paraId="417B2935">
      <w:pPr>
        <w:autoSpaceDE w:val="0"/>
        <w:autoSpaceDN w:val="0"/>
        <w:adjustRightInd w:val="0"/>
        <w:spacing w:line="440" w:lineRule="exact"/>
        <w:ind w:firstLine="420" w:firstLineChars="200"/>
        <w:rPr>
          <w:rFonts w:ascii="宋体" w:hAnsi="宋体" w:cs="宋体"/>
          <w:sz w:val="21"/>
          <w:szCs w:val="21"/>
          <w:lang w:eastAsia="zh-CN"/>
        </w:rPr>
      </w:pPr>
      <w:r>
        <w:rPr>
          <w:rFonts w:ascii="宋体" w:hAnsi="宋体" w:cs="宋体"/>
          <w:sz w:val="21"/>
          <w:szCs w:val="21"/>
          <w:lang w:eastAsia="zh-CN"/>
        </w:rPr>
        <w:t>七、我</w:t>
      </w:r>
      <w:r>
        <w:rPr>
          <w:rFonts w:hint="eastAsia" w:ascii="宋体" w:hAnsi="宋体" w:cs="宋体"/>
          <w:sz w:val="21"/>
          <w:szCs w:val="21"/>
          <w:lang w:eastAsia="zh-CN"/>
        </w:rPr>
        <w:t>单位具备</w:t>
      </w:r>
      <w:r>
        <w:rPr>
          <w:rFonts w:ascii="宋体" w:hAnsi="宋体" w:cs="宋体"/>
          <w:sz w:val="21"/>
          <w:szCs w:val="21"/>
          <w:lang w:eastAsia="zh-CN"/>
        </w:rPr>
        <w:t>法律、行政</w:t>
      </w:r>
      <w:r>
        <w:rPr>
          <w:rFonts w:hint="eastAsia" w:ascii="宋体" w:hAnsi="宋体" w:cs="宋体"/>
          <w:sz w:val="21"/>
          <w:szCs w:val="21"/>
          <w:lang w:eastAsia="zh-CN"/>
        </w:rPr>
        <w:t>法规规定</w:t>
      </w:r>
      <w:r>
        <w:rPr>
          <w:rFonts w:ascii="宋体" w:hAnsi="宋体" w:cs="宋体"/>
          <w:sz w:val="21"/>
          <w:szCs w:val="21"/>
          <w:lang w:eastAsia="zh-CN"/>
        </w:rPr>
        <w:t>的其他条件</w:t>
      </w:r>
      <w:r>
        <w:rPr>
          <w:rFonts w:hint="eastAsia" w:ascii="宋体" w:hAnsi="宋体" w:cs="宋体"/>
          <w:sz w:val="21"/>
          <w:szCs w:val="21"/>
          <w:lang w:eastAsia="zh-CN"/>
        </w:rPr>
        <w:t>。</w:t>
      </w:r>
    </w:p>
    <w:p w14:paraId="141DCE02">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我单位保证上述声明的事项都是真实的，符合《中华人民共和国政府采购法》规定的响应单位资格条件，如有弄虚作假，我单位愿意按照“提供虚假材料谋取中标、成交”承担相应的法律责任，同意将违背承诺行为作为失信行为记录到社会信用信息平台，并承担因此所造成的一切损失。</w:t>
      </w:r>
    </w:p>
    <w:p w14:paraId="5D60EEB3">
      <w:pPr>
        <w:autoSpaceDE w:val="0"/>
        <w:autoSpaceDN w:val="0"/>
        <w:adjustRightInd w:val="0"/>
        <w:spacing w:line="440" w:lineRule="exact"/>
        <w:ind w:firstLine="420" w:firstLineChars="200"/>
        <w:rPr>
          <w:rFonts w:ascii="宋体" w:hAnsi="宋体" w:cs="宋体"/>
          <w:sz w:val="21"/>
          <w:szCs w:val="21"/>
          <w:lang w:eastAsia="zh-CN"/>
        </w:rPr>
      </w:pPr>
    </w:p>
    <w:p w14:paraId="77271380">
      <w:pPr>
        <w:rPr>
          <w:lang w:eastAsia="zh-CN"/>
        </w:rPr>
      </w:pPr>
    </w:p>
    <w:p w14:paraId="05046CCE">
      <w:pPr>
        <w:autoSpaceDE w:val="0"/>
        <w:autoSpaceDN w:val="0"/>
        <w:adjustRightInd w:val="0"/>
        <w:spacing w:line="440" w:lineRule="exact"/>
        <w:ind w:firstLine="420" w:firstLineChars="200"/>
        <w:rPr>
          <w:rFonts w:ascii="宋体" w:hAnsi="宋体" w:cs="宋体"/>
          <w:sz w:val="21"/>
          <w:szCs w:val="21"/>
          <w:lang w:eastAsia="zh-CN"/>
        </w:rPr>
      </w:pPr>
    </w:p>
    <w:p w14:paraId="65FE7FCF">
      <w:pPr>
        <w:autoSpaceDE w:val="0"/>
        <w:autoSpaceDN w:val="0"/>
        <w:adjustRightInd w:val="0"/>
        <w:spacing w:line="480" w:lineRule="auto"/>
        <w:ind w:firstLine="420" w:firstLineChars="200"/>
        <w:rPr>
          <w:rFonts w:ascii="宋体" w:hAnsi="宋体" w:cs="宋体"/>
          <w:sz w:val="21"/>
          <w:szCs w:val="21"/>
          <w:lang w:eastAsia="zh-CN"/>
        </w:rPr>
      </w:pPr>
      <w:r>
        <w:rPr>
          <w:rFonts w:hint="eastAsia" w:ascii="宋体" w:hAnsi="宋体" w:cs="宋体"/>
          <w:sz w:val="21"/>
          <w:szCs w:val="21"/>
          <w:lang w:eastAsia="zh-CN"/>
        </w:rPr>
        <w:t>承诺单位：</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电子签章</w:t>
      </w:r>
      <w:r>
        <w:rPr>
          <w:rFonts w:hint="eastAsia" w:ascii="宋体" w:hAnsi="宋体" w:cs="宋体"/>
          <w:sz w:val="21"/>
          <w:szCs w:val="21"/>
          <w:lang w:eastAsia="zh-CN"/>
        </w:rPr>
        <w:t>）</w:t>
      </w:r>
    </w:p>
    <w:p w14:paraId="44976BA9">
      <w:pPr>
        <w:autoSpaceDE w:val="0"/>
        <w:autoSpaceDN w:val="0"/>
        <w:adjustRightInd w:val="0"/>
        <w:spacing w:line="480" w:lineRule="auto"/>
        <w:ind w:firstLine="420" w:firstLineChars="200"/>
        <w:rPr>
          <w:rFonts w:ascii="宋体" w:hAnsi="宋体" w:cs="宋体"/>
          <w:sz w:val="21"/>
          <w:szCs w:val="21"/>
          <w:lang w:eastAsia="zh-CN"/>
        </w:rPr>
      </w:pPr>
      <w:r>
        <w:rPr>
          <w:rFonts w:hint="eastAsia" w:ascii="宋体" w:hAnsi="宋体" w:cs="宋体"/>
          <w:sz w:val="21"/>
          <w:szCs w:val="21"/>
          <w:lang w:eastAsia="zh-CN"/>
        </w:rPr>
        <w:t>法定代表人或授权代表：</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电子签名或</w:t>
      </w:r>
      <w:r>
        <w:rPr>
          <w:rFonts w:hint="eastAsia" w:ascii="宋体" w:hAnsi="宋体" w:cs="宋体"/>
          <w:sz w:val="21"/>
          <w:szCs w:val="21"/>
          <w:lang w:eastAsia="zh-CN"/>
        </w:rPr>
        <w:t>签</w:t>
      </w:r>
      <w:r>
        <w:rPr>
          <w:rFonts w:hint="eastAsia" w:ascii="宋体" w:hAnsi="宋体" w:cs="宋体"/>
          <w:sz w:val="21"/>
          <w:szCs w:val="21"/>
          <w:lang w:val="en-US" w:eastAsia="zh-CN"/>
        </w:rPr>
        <w:t>字</w:t>
      </w:r>
      <w:r>
        <w:rPr>
          <w:rFonts w:hint="eastAsia" w:ascii="宋体" w:hAnsi="宋体" w:cs="宋体"/>
          <w:sz w:val="21"/>
          <w:szCs w:val="21"/>
          <w:lang w:eastAsia="zh-CN"/>
        </w:rPr>
        <w:t>）</w:t>
      </w:r>
    </w:p>
    <w:p w14:paraId="211DF2E7">
      <w:pPr>
        <w:autoSpaceDE w:val="0"/>
        <w:autoSpaceDN w:val="0"/>
        <w:adjustRightInd w:val="0"/>
        <w:spacing w:line="480" w:lineRule="auto"/>
        <w:ind w:firstLine="420" w:firstLineChars="200"/>
        <w:rPr>
          <w:rFonts w:ascii="宋体" w:hAnsi="宋体" w:cs="宋体"/>
          <w:sz w:val="21"/>
          <w:szCs w:val="21"/>
          <w:lang w:eastAsia="zh-CN"/>
        </w:rPr>
      </w:pPr>
      <w:r>
        <w:rPr>
          <w:rFonts w:hint="eastAsia" w:ascii="宋体" w:hAnsi="宋体" w:cs="宋体"/>
          <w:sz w:val="21"/>
          <w:szCs w:val="21"/>
          <w:lang w:eastAsia="zh-CN"/>
        </w:rPr>
        <w:t>日</w:t>
      </w:r>
      <w:r>
        <w:rPr>
          <w:rFonts w:hint="eastAsia" w:ascii="宋体" w:hAnsi="宋体" w:cs="宋体"/>
          <w:sz w:val="21"/>
          <w:szCs w:val="21"/>
          <w:lang w:val="en-US" w:eastAsia="zh-CN"/>
        </w:rPr>
        <w:t xml:space="preserve">    </w:t>
      </w:r>
      <w:r>
        <w:rPr>
          <w:rFonts w:hint="eastAsia" w:ascii="宋体" w:hAnsi="宋体" w:cs="宋体"/>
          <w:sz w:val="21"/>
          <w:szCs w:val="21"/>
          <w:lang w:eastAsia="zh-CN"/>
        </w:rPr>
        <w:t>期：</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年</w:t>
      </w:r>
      <w:r>
        <w:rPr>
          <w:rFonts w:hint="eastAsia" w:ascii="宋体" w:hAnsi="宋体" w:cs="宋体"/>
          <w:sz w:val="21"/>
          <w:szCs w:val="21"/>
          <w:u w:val="single"/>
          <w:lang w:eastAsia="zh-CN"/>
        </w:rPr>
        <w:t xml:space="preserve">   </w:t>
      </w:r>
      <w:r>
        <w:rPr>
          <w:rFonts w:hint="eastAsia" w:ascii="宋体" w:hAnsi="宋体" w:cs="宋体"/>
          <w:sz w:val="21"/>
          <w:szCs w:val="21"/>
          <w:lang w:eastAsia="zh-CN"/>
        </w:rPr>
        <w:t>月</w:t>
      </w:r>
      <w:r>
        <w:rPr>
          <w:rFonts w:hint="eastAsia" w:ascii="宋体" w:hAnsi="宋体" w:cs="宋体"/>
          <w:sz w:val="21"/>
          <w:szCs w:val="21"/>
          <w:u w:val="single"/>
          <w:lang w:eastAsia="zh-CN"/>
        </w:rPr>
        <w:t xml:space="preserve">   </w:t>
      </w:r>
      <w:r>
        <w:rPr>
          <w:rFonts w:hint="eastAsia" w:ascii="宋体" w:hAnsi="宋体" w:cs="宋体"/>
          <w:sz w:val="21"/>
          <w:szCs w:val="21"/>
          <w:lang w:eastAsia="zh-CN"/>
        </w:rPr>
        <w:t xml:space="preserve">日  </w:t>
      </w:r>
    </w:p>
    <w:p w14:paraId="7A3EE713">
      <w:pPr>
        <w:pStyle w:val="5"/>
        <w:rPr>
          <w:lang w:eastAsia="zh-CN"/>
        </w:rPr>
      </w:pPr>
    </w:p>
    <w:p w14:paraId="77939FD9">
      <w:pPr>
        <w:ind w:firstLine="422" w:firstLineChars="200"/>
        <w:rPr>
          <w:rFonts w:hint="eastAsia"/>
          <w:b/>
          <w:bCs/>
          <w:sz w:val="21"/>
          <w:szCs w:val="21"/>
          <w:lang w:eastAsia="zh-CN"/>
        </w:rPr>
      </w:pPr>
      <w:r>
        <w:rPr>
          <w:rFonts w:hint="eastAsia"/>
          <w:b/>
          <w:bCs/>
          <w:sz w:val="21"/>
          <w:szCs w:val="21"/>
          <w:lang w:val="en-US" w:eastAsia="zh-CN"/>
        </w:rPr>
        <w:t>备</w:t>
      </w:r>
      <w:r>
        <w:rPr>
          <w:rFonts w:hint="eastAsia"/>
          <w:b/>
          <w:bCs/>
          <w:sz w:val="21"/>
          <w:szCs w:val="21"/>
          <w:lang w:eastAsia="zh-CN"/>
        </w:rPr>
        <w:t>注：</w:t>
      </w:r>
    </w:p>
    <w:p w14:paraId="4E91CFAC">
      <w:pPr>
        <w:autoSpaceDE w:val="0"/>
        <w:autoSpaceDN w:val="0"/>
        <w:adjustRightInd w:val="0"/>
        <w:spacing w:line="440" w:lineRule="exact"/>
        <w:ind w:firstLine="422" w:firstLineChars="200"/>
        <w:rPr>
          <w:rFonts w:hint="eastAsia" w:ascii="宋体" w:hAnsi="宋体" w:cs="宋体"/>
          <w:b/>
          <w:bCs/>
          <w:sz w:val="21"/>
          <w:szCs w:val="21"/>
          <w:lang w:eastAsia="zh-CN"/>
        </w:rPr>
      </w:pPr>
      <w:r>
        <w:rPr>
          <w:rFonts w:hint="eastAsia" w:ascii="宋体" w:hAnsi="宋体" w:cs="宋体"/>
          <w:b/>
          <w:bCs/>
          <w:sz w:val="21"/>
          <w:szCs w:val="21"/>
          <w:lang w:eastAsia="zh-CN"/>
        </w:rPr>
        <w:t>1.响应单位须在</w:t>
      </w:r>
      <w:r>
        <w:rPr>
          <w:rFonts w:hint="eastAsia" w:ascii="宋体" w:hAnsi="宋体" w:cs="宋体"/>
          <w:b/>
          <w:bCs/>
          <w:sz w:val="21"/>
          <w:szCs w:val="21"/>
          <w:lang w:val="en-US" w:eastAsia="zh-CN"/>
        </w:rPr>
        <w:t>响应</w:t>
      </w:r>
      <w:r>
        <w:rPr>
          <w:rFonts w:hint="eastAsia" w:ascii="宋体" w:hAnsi="宋体" w:cs="宋体"/>
          <w:b/>
          <w:bCs/>
          <w:sz w:val="21"/>
          <w:szCs w:val="21"/>
          <w:lang w:eastAsia="zh-CN"/>
        </w:rPr>
        <w:t>文件中按此模板提供承诺函，未提供视为未实质性响应</w:t>
      </w:r>
      <w:r>
        <w:rPr>
          <w:rFonts w:hint="eastAsia" w:ascii="宋体" w:hAnsi="宋体" w:cs="宋体"/>
          <w:b/>
          <w:bCs/>
          <w:sz w:val="21"/>
          <w:szCs w:val="21"/>
          <w:lang w:val="en-US" w:eastAsia="zh-CN"/>
        </w:rPr>
        <w:t>磋商</w:t>
      </w:r>
      <w:r>
        <w:rPr>
          <w:rFonts w:hint="eastAsia" w:ascii="宋体" w:hAnsi="宋体" w:cs="宋体"/>
          <w:b/>
          <w:bCs/>
          <w:sz w:val="21"/>
          <w:szCs w:val="21"/>
          <w:lang w:eastAsia="zh-CN"/>
        </w:rPr>
        <w:t>文件要求，按无效投标处理。</w:t>
      </w:r>
    </w:p>
    <w:p w14:paraId="17EF3AA8">
      <w:pPr>
        <w:autoSpaceDE w:val="0"/>
        <w:autoSpaceDN w:val="0"/>
        <w:adjustRightInd w:val="0"/>
        <w:spacing w:line="440" w:lineRule="exact"/>
        <w:ind w:firstLine="422" w:firstLineChars="200"/>
        <w:rPr>
          <w:lang w:eastAsia="zh-CN"/>
        </w:rPr>
      </w:pPr>
      <w:r>
        <w:rPr>
          <w:rFonts w:hint="eastAsia" w:ascii="宋体" w:hAnsi="宋体" w:cs="宋体"/>
          <w:b/>
          <w:bCs/>
          <w:sz w:val="21"/>
          <w:szCs w:val="21"/>
          <w:lang w:eastAsia="zh-CN"/>
        </w:rPr>
        <w:t>2.响应单位的法定代表人或者授权代表的签字或盖章应真实、有效。</w:t>
      </w:r>
      <w:r>
        <w:rPr>
          <w:lang w:eastAsia="zh-CN"/>
        </w:rPr>
        <w:br w:type="page"/>
      </w:r>
    </w:p>
    <w:p w14:paraId="3D978BD6">
      <w:pPr>
        <w:jc w:val="center"/>
        <w:rPr>
          <w:rFonts w:ascii="Times New Roman" w:hAnsi="Times New Roman"/>
          <w:b/>
          <w:bCs/>
          <w:lang w:eastAsia="zh-CN"/>
        </w:rPr>
      </w:pPr>
      <w:r>
        <w:rPr>
          <w:rFonts w:hint="eastAsia" w:ascii="Times New Roman" w:hAnsi="Times New Roman"/>
          <w:b/>
          <w:bCs/>
          <w:lang w:eastAsia="zh-CN"/>
        </w:rPr>
        <w:t>附件</w:t>
      </w:r>
      <w:r>
        <w:rPr>
          <w:rFonts w:hint="eastAsia"/>
          <w:b/>
          <w:bCs/>
          <w:lang w:val="en-US" w:eastAsia="zh-CN"/>
        </w:rPr>
        <w:t>3</w:t>
      </w:r>
      <w:r>
        <w:rPr>
          <w:rFonts w:hint="eastAsia" w:ascii="Times New Roman" w:hAnsi="Times New Roman"/>
          <w:b/>
          <w:bCs/>
          <w:lang w:eastAsia="zh-CN"/>
        </w:rPr>
        <w:t>：中小企业声明函（</w:t>
      </w:r>
      <w:r>
        <w:rPr>
          <w:rFonts w:hint="eastAsia" w:ascii="Times New Roman" w:hAnsi="Times New Roman"/>
          <w:b/>
          <w:bCs/>
          <w:lang w:val="en-US" w:eastAsia="zh-CN"/>
        </w:rPr>
        <w:t>如有</w:t>
      </w:r>
      <w:r>
        <w:rPr>
          <w:rFonts w:hint="eastAsia" w:ascii="Times New Roman" w:hAnsi="Times New Roman"/>
          <w:b/>
          <w:bCs/>
          <w:lang w:eastAsia="zh-CN"/>
        </w:rPr>
        <w:t>）</w:t>
      </w:r>
    </w:p>
    <w:p w14:paraId="135F5617">
      <w:pPr>
        <w:widowControl/>
        <w:adjustRightInd w:val="0"/>
        <w:snapToGrid w:val="0"/>
        <w:spacing w:line="380" w:lineRule="exact"/>
        <w:jc w:val="both"/>
        <w:rPr>
          <w:rFonts w:hint="eastAsia" w:ascii="宋体" w:hAnsi="宋体" w:cs="宋体"/>
          <w:sz w:val="21"/>
          <w:szCs w:val="21"/>
          <w:lang w:eastAsia="zh-CN"/>
        </w:rPr>
      </w:pPr>
    </w:p>
    <w:p w14:paraId="7CADB3D8">
      <w:pPr>
        <w:widowControl/>
        <w:adjustRightInd w:val="0"/>
        <w:snapToGrid w:val="0"/>
        <w:spacing w:line="480" w:lineRule="auto"/>
        <w:ind w:left="440" w:leftChars="200" w:firstLine="420" w:firstLineChars="200"/>
        <w:jc w:val="both"/>
        <w:rPr>
          <w:rFonts w:ascii="宋体" w:hAnsi="宋体" w:cs="宋体"/>
          <w:sz w:val="21"/>
          <w:szCs w:val="21"/>
          <w:lang w:eastAsia="zh-CN"/>
        </w:rPr>
      </w:pPr>
      <w:r>
        <w:rPr>
          <w:rFonts w:hint="eastAsia" w:ascii="宋体" w:hAnsi="宋体" w:cs="宋体"/>
          <w:sz w:val="21"/>
          <w:szCs w:val="21"/>
          <w:lang w:eastAsia="zh-CN"/>
        </w:rPr>
        <w:t>本公司（联合体）郑重声明，根据《政府采购促进中小企业发展管理办法》（财库﹝2020﹞46 号）的规定，本公司（联合体）参加</w:t>
      </w:r>
      <w:r>
        <w:rPr>
          <w:rFonts w:hint="eastAsia" w:ascii="宋体" w:hAnsi="宋体" w:cs="宋体"/>
          <w:sz w:val="21"/>
          <w:szCs w:val="21"/>
          <w:u w:val="single"/>
          <w:lang w:eastAsia="zh-CN"/>
        </w:rPr>
        <w:t>（单位名称）</w:t>
      </w:r>
      <w:r>
        <w:rPr>
          <w:rFonts w:hint="eastAsia" w:ascii="宋体" w:hAnsi="宋体" w:cs="宋体"/>
          <w:sz w:val="21"/>
          <w:szCs w:val="21"/>
          <w:lang w:eastAsia="zh-CN"/>
        </w:rPr>
        <w:t>的</w:t>
      </w:r>
      <w:r>
        <w:rPr>
          <w:rFonts w:hint="eastAsia" w:ascii="宋体" w:hAnsi="宋体" w:cs="宋体"/>
          <w:sz w:val="21"/>
          <w:szCs w:val="21"/>
          <w:u w:val="single"/>
          <w:lang w:eastAsia="zh-CN"/>
        </w:rPr>
        <w:t>（项目名称）</w:t>
      </w:r>
      <w:r>
        <w:rPr>
          <w:rFonts w:hint="eastAsia" w:ascii="宋体" w:hAnsi="宋体" w:cs="宋体"/>
          <w:sz w:val="21"/>
          <w:szCs w:val="21"/>
          <w:lang w:eastAsia="zh-CN"/>
        </w:rPr>
        <w:t>采购活动，服务全部由符合政策要求的中小企业承接。相关企业（含联合体中的中小企业、签订分包意向协议的中小企业）的具体情况如下：</w:t>
      </w:r>
    </w:p>
    <w:p w14:paraId="294FA582">
      <w:pPr>
        <w:widowControl/>
        <w:adjustRightInd w:val="0"/>
        <w:snapToGrid w:val="0"/>
        <w:spacing w:line="480" w:lineRule="auto"/>
        <w:ind w:left="440" w:leftChars="200"/>
        <w:jc w:val="both"/>
        <w:rPr>
          <w:rFonts w:ascii="宋体" w:hAnsi="宋体" w:cs="宋体"/>
          <w:sz w:val="21"/>
          <w:szCs w:val="21"/>
          <w:lang w:eastAsia="zh-CN"/>
        </w:rPr>
      </w:pPr>
      <w:r>
        <w:rPr>
          <w:rFonts w:hint="eastAsia" w:ascii="宋体" w:hAnsi="宋体" w:cs="宋体"/>
          <w:sz w:val="21"/>
          <w:szCs w:val="21"/>
          <w:lang w:eastAsia="zh-CN"/>
        </w:rPr>
        <w:t>1.</w:t>
      </w:r>
      <w:r>
        <w:rPr>
          <w:rFonts w:hint="eastAsia" w:ascii="宋体" w:hAnsi="宋体" w:cs="宋体"/>
          <w:sz w:val="21"/>
          <w:szCs w:val="21"/>
          <w:u w:val="single"/>
          <w:lang w:eastAsia="zh-CN"/>
        </w:rPr>
        <w:t>（标的名称）</w:t>
      </w:r>
      <w:r>
        <w:rPr>
          <w:rFonts w:hint="eastAsia" w:ascii="宋体" w:hAnsi="宋体" w:cs="宋体"/>
          <w:sz w:val="21"/>
          <w:szCs w:val="21"/>
          <w:lang w:eastAsia="zh-CN"/>
        </w:rPr>
        <w:t>，属于</w:t>
      </w:r>
      <w:r>
        <w:rPr>
          <w:rFonts w:hint="eastAsia" w:ascii="宋体" w:hAnsi="宋体" w:cs="宋体"/>
          <w:sz w:val="21"/>
          <w:szCs w:val="21"/>
          <w:u w:val="single"/>
          <w:lang w:eastAsia="zh-CN"/>
        </w:rPr>
        <w:t>（采购文件中明确的所属行业）</w:t>
      </w:r>
      <w:r>
        <w:rPr>
          <w:rFonts w:hint="eastAsia" w:ascii="宋体" w:hAnsi="宋体" w:cs="宋体"/>
          <w:sz w:val="21"/>
          <w:szCs w:val="21"/>
          <w:lang w:eastAsia="zh-CN"/>
        </w:rPr>
        <w:t>； 承建（承接）企业为</w:t>
      </w:r>
      <w:r>
        <w:rPr>
          <w:rFonts w:hint="eastAsia" w:ascii="宋体" w:hAnsi="宋体" w:cs="宋体"/>
          <w:sz w:val="21"/>
          <w:szCs w:val="21"/>
          <w:u w:val="single"/>
          <w:lang w:eastAsia="zh-CN"/>
        </w:rPr>
        <w:t>（企业名称）</w:t>
      </w:r>
      <w:r>
        <w:rPr>
          <w:rFonts w:hint="eastAsia" w:ascii="宋体" w:hAnsi="宋体" w:cs="宋体"/>
          <w:sz w:val="21"/>
          <w:szCs w:val="21"/>
          <w:lang w:eastAsia="zh-CN"/>
        </w:rPr>
        <w:t>，从业人员人，营业收入为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万元，资产总额为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 xml:space="preserve">万元，属于（中型企业、小型企业、微型企业）； </w:t>
      </w:r>
    </w:p>
    <w:p w14:paraId="3DD690AF">
      <w:pPr>
        <w:widowControl/>
        <w:adjustRightInd w:val="0"/>
        <w:snapToGrid w:val="0"/>
        <w:spacing w:line="480" w:lineRule="auto"/>
        <w:ind w:left="440" w:leftChars="200"/>
        <w:jc w:val="both"/>
        <w:rPr>
          <w:rFonts w:ascii="宋体" w:hAnsi="宋体" w:cs="宋体"/>
          <w:sz w:val="21"/>
          <w:szCs w:val="21"/>
          <w:lang w:eastAsia="zh-CN"/>
        </w:rPr>
      </w:pPr>
      <w:r>
        <w:rPr>
          <w:rFonts w:hint="eastAsia" w:ascii="宋体" w:hAnsi="宋体" w:cs="宋体"/>
          <w:sz w:val="21"/>
          <w:szCs w:val="21"/>
          <w:lang w:eastAsia="zh-CN"/>
        </w:rPr>
        <w:t>2.</w:t>
      </w:r>
      <w:r>
        <w:rPr>
          <w:rFonts w:hint="eastAsia" w:ascii="宋体" w:hAnsi="宋体" w:cs="宋体"/>
          <w:sz w:val="21"/>
          <w:szCs w:val="21"/>
          <w:u w:val="single"/>
          <w:lang w:eastAsia="zh-CN"/>
        </w:rPr>
        <w:t>（标的名称）</w:t>
      </w:r>
      <w:r>
        <w:rPr>
          <w:rFonts w:hint="eastAsia" w:ascii="宋体" w:hAnsi="宋体" w:cs="宋体"/>
          <w:sz w:val="21"/>
          <w:szCs w:val="21"/>
          <w:lang w:eastAsia="zh-CN"/>
        </w:rPr>
        <w:t>，属于</w:t>
      </w:r>
      <w:r>
        <w:rPr>
          <w:rFonts w:hint="eastAsia" w:ascii="宋体" w:hAnsi="宋体" w:cs="宋体"/>
          <w:sz w:val="21"/>
          <w:szCs w:val="21"/>
          <w:u w:val="single"/>
          <w:lang w:eastAsia="zh-CN"/>
        </w:rPr>
        <w:t>（采购文件中明确的所属行业）</w:t>
      </w:r>
      <w:r>
        <w:rPr>
          <w:rFonts w:hint="eastAsia" w:ascii="宋体" w:hAnsi="宋体" w:cs="宋体"/>
          <w:sz w:val="21"/>
          <w:szCs w:val="21"/>
          <w:lang w:eastAsia="zh-CN"/>
        </w:rPr>
        <w:t>；承建（承接）企业为</w:t>
      </w:r>
      <w:r>
        <w:rPr>
          <w:rFonts w:hint="eastAsia" w:ascii="宋体" w:hAnsi="宋体" w:cs="宋体"/>
          <w:sz w:val="21"/>
          <w:szCs w:val="21"/>
          <w:u w:val="single"/>
          <w:lang w:eastAsia="zh-CN"/>
        </w:rPr>
        <w:t>（企业名称）</w:t>
      </w:r>
      <w:r>
        <w:rPr>
          <w:rFonts w:hint="eastAsia" w:ascii="宋体" w:hAnsi="宋体" w:cs="宋体"/>
          <w:sz w:val="21"/>
          <w:szCs w:val="21"/>
          <w:lang w:eastAsia="zh-CN"/>
        </w:rPr>
        <w:t>，从业人员人，营业收入为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万元，资产总额为</w:t>
      </w:r>
      <w:r>
        <w:rPr>
          <w:rFonts w:hint="eastAsia" w:ascii="宋体" w:hAnsi="宋体" w:cs="宋体"/>
          <w:sz w:val="21"/>
          <w:szCs w:val="21"/>
          <w:u w:val="single"/>
          <w:lang w:eastAsia="zh-CN"/>
        </w:rPr>
        <w:t xml:space="preserve">    </w:t>
      </w:r>
      <w:r>
        <w:rPr>
          <w:rFonts w:hint="eastAsia" w:ascii="宋体" w:hAnsi="宋体" w:cs="宋体"/>
          <w:sz w:val="21"/>
          <w:szCs w:val="21"/>
          <w:lang w:eastAsia="zh-CN"/>
        </w:rPr>
        <w:t>万元，属于</w:t>
      </w:r>
      <w:r>
        <w:rPr>
          <w:rFonts w:hint="eastAsia" w:ascii="宋体" w:hAnsi="宋体" w:cs="宋体"/>
          <w:sz w:val="21"/>
          <w:szCs w:val="21"/>
          <w:u w:val="single"/>
          <w:lang w:eastAsia="zh-CN"/>
        </w:rPr>
        <w:t>（中型企业、小型企业、微型企业）</w:t>
      </w:r>
      <w:r>
        <w:rPr>
          <w:rFonts w:hint="eastAsia" w:ascii="宋体" w:hAnsi="宋体" w:cs="宋体"/>
          <w:sz w:val="21"/>
          <w:szCs w:val="21"/>
          <w:lang w:eastAsia="zh-CN"/>
        </w:rPr>
        <w:t xml:space="preserve">； </w:t>
      </w:r>
    </w:p>
    <w:p w14:paraId="18575018">
      <w:pPr>
        <w:widowControl/>
        <w:adjustRightInd w:val="0"/>
        <w:snapToGrid w:val="0"/>
        <w:spacing w:line="480" w:lineRule="auto"/>
        <w:ind w:left="440" w:leftChars="200"/>
        <w:rPr>
          <w:rFonts w:ascii="宋体" w:hAnsi="宋体" w:cs="宋体"/>
          <w:sz w:val="21"/>
          <w:szCs w:val="21"/>
          <w:lang w:eastAsia="zh-CN"/>
        </w:rPr>
      </w:pPr>
      <w:r>
        <w:rPr>
          <w:rFonts w:hint="eastAsia" w:ascii="宋体" w:hAnsi="宋体" w:cs="宋体"/>
          <w:sz w:val="21"/>
          <w:szCs w:val="21"/>
          <w:lang w:eastAsia="zh-CN"/>
        </w:rPr>
        <w:t>……</w:t>
      </w:r>
    </w:p>
    <w:p w14:paraId="22980F76">
      <w:pPr>
        <w:widowControl/>
        <w:adjustRightInd w:val="0"/>
        <w:snapToGrid w:val="0"/>
        <w:spacing w:line="480" w:lineRule="auto"/>
        <w:ind w:left="440" w:leftChars="200"/>
        <w:jc w:val="both"/>
        <w:rPr>
          <w:rFonts w:ascii="宋体" w:hAnsi="宋体" w:cs="宋体"/>
          <w:sz w:val="21"/>
          <w:szCs w:val="21"/>
          <w:lang w:eastAsia="zh-CN"/>
        </w:rPr>
      </w:pPr>
      <w:r>
        <w:rPr>
          <w:rFonts w:hint="eastAsia" w:ascii="宋体" w:hAnsi="宋体" w:cs="宋体"/>
          <w:sz w:val="21"/>
          <w:szCs w:val="21"/>
          <w:lang w:eastAsia="zh-CN"/>
        </w:rPr>
        <w:t>以上企业，不属于大企业的分支机构，不存在控股股东为大企业的情形，也不存在与大企业的负责人为同一人的情形。</w:t>
      </w:r>
    </w:p>
    <w:p w14:paraId="289BBAEF">
      <w:pPr>
        <w:widowControl/>
        <w:adjustRightInd w:val="0"/>
        <w:snapToGrid w:val="0"/>
        <w:spacing w:line="480" w:lineRule="auto"/>
        <w:ind w:left="440" w:leftChars="200"/>
        <w:jc w:val="both"/>
        <w:rPr>
          <w:rFonts w:ascii="宋体" w:hAnsi="宋体" w:cs="宋体"/>
          <w:sz w:val="21"/>
          <w:szCs w:val="21"/>
          <w:lang w:eastAsia="zh-CN"/>
        </w:rPr>
      </w:pPr>
      <w:r>
        <w:rPr>
          <w:rFonts w:hint="eastAsia" w:ascii="宋体" w:hAnsi="宋体" w:cs="宋体"/>
          <w:sz w:val="21"/>
          <w:szCs w:val="21"/>
          <w:lang w:eastAsia="zh-CN"/>
        </w:rPr>
        <w:t xml:space="preserve">本企业对上述声明内容的真实性负责。如有虚假，将依法承担相应责任。 </w:t>
      </w:r>
    </w:p>
    <w:p w14:paraId="26743971">
      <w:pPr>
        <w:widowControl/>
        <w:adjustRightInd w:val="0"/>
        <w:snapToGrid w:val="0"/>
        <w:spacing w:line="380" w:lineRule="exact"/>
        <w:ind w:left="440" w:leftChars="200"/>
        <w:rPr>
          <w:rFonts w:ascii="宋体" w:hAnsi="宋体" w:cs="宋体"/>
          <w:sz w:val="21"/>
          <w:szCs w:val="21"/>
          <w:lang w:eastAsia="zh-CN"/>
        </w:rPr>
      </w:pPr>
    </w:p>
    <w:p w14:paraId="3D35B461">
      <w:pPr>
        <w:widowControl/>
        <w:adjustRightInd w:val="0"/>
        <w:snapToGrid w:val="0"/>
        <w:spacing w:line="380" w:lineRule="exact"/>
        <w:ind w:left="440" w:leftChars="200"/>
        <w:rPr>
          <w:rFonts w:ascii="宋体" w:hAnsi="宋体" w:cs="宋体"/>
          <w:sz w:val="21"/>
          <w:szCs w:val="21"/>
          <w:lang w:eastAsia="zh-CN"/>
        </w:rPr>
      </w:pPr>
      <w:r>
        <w:rPr>
          <w:rFonts w:hint="eastAsia" w:ascii="宋体" w:hAnsi="宋体" w:cs="宋体"/>
          <w:sz w:val="21"/>
          <w:szCs w:val="21"/>
          <w:lang w:eastAsia="zh-CN"/>
        </w:rPr>
        <w:t>企业名称：</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电子签章</w:t>
      </w:r>
      <w:r>
        <w:rPr>
          <w:rFonts w:hint="eastAsia" w:ascii="宋体" w:hAnsi="宋体" w:cs="宋体"/>
          <w:sz w:val="21"/>
          <w:szCs w:val="21"/>
          <w:lang w:eastAsia="zh-CN"/>
        </w:rPr>
        <w:t xml:space="preserve">） </w:t>
      </w:r>
    </w:p>
    <w:p w14:paraId="60AF160D">
      <w:pPr>
        <w:widowControl/>
        <w:adjustRightInd w:val="0"/>
        <w:snapToGrid w:val="0"/>
        <w:spacing w:line="380" w:lineRule="exact"/>
        <w:ind w:left="440" w:leftChars="200"/>
        <w:rPr>
          <w:rFonts w:ascii="宋体" w:hAnsi="宋体" w:cs="宋体"/>
          <w:sz w:val="21"/>
          <w:szCs w:val="21"/>
          <w:lang w:eastAsia="zh-CN"/>
        </w:rPr>
      </w:pPr>
      <w:r>
        <w:rPr>
          <w:rFonts w:hint="eastAsia" w:ascii="宋体" w:hAnsi="宋体" w:cs="宋体"/>
          <w:sz w:val="21"/>
          <w:szCs w:val="21"/>
          <w:lang w:eastAsia="zh-CN"/>
        </w:rPr>
        <w:t xml:space="preserve">日 </w:t>
      </w:r>
      <w:r>
        <w:rPr>
          <w:rFonts w:hint="eastAsia" w:ascii="宋体" w:hAnsi="宋体" w:cs="宋体"/>
          <w:sz w:val="21"/>
          <w:szCs w:val="21"/>
          <w:lang w:val="en-US" w:eastAsia="zh-CN"/>
        </w:rPr>
        <w:t xml:space="preserve">   </w:t>
      </w:r>
      <w:r>
        <w:rPr>
          <w:rFonts w:hint="eastAsia" w:ascii="宋体" w:hAnsi="宋体" w:cs="宋体"/>
          <w:sz w:val="21"/>
          <w:szCs w:val="21"/>
          <w:lang w:eastAsia="zh-CN"/>
        </w:rPr>
        <w:t>期：</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年</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月</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日</w:t>
      </w:r>
      <w:r>
        <w:rPr>
          <w:rFonts w:hint="eastAsia" w:ascii="宋体" w:hAnsi="宋体" w:cs="宋体"/>
          <w:sz w:val="21"/>
          <w:szCs w:val="21"/>
          <w:lang w:eastAsia="zh-CN"/>
        </w:rPr>
        <w:t xml:space="preserve"> </w:t>
      </w:r>
    </w:p>
    <w:p w14:paraId="69D21F9B">
      <w:pPr>
        <w:jc w:val="center"/>
        <w:rPr>
          <w:rFonts w:hint="eastAsia" w:ascii="宋体" w:hAnsi="宋体" w:cs="宋体"/>
          <w:b/>
          <w:bCs/>
          <w:color w:val="000000"/>
          <w:sz w:val="21"/>
          <w:szCs w:val="21"/>
          <w:lang w:eastAsia="zh-CN" w:bidi="ar"/>
        </w:rPr>
      </w:pPr>
    </w:p>
    <w:p w14:paraId="21A21A29">
      <w:pPr>
        <w:jc w:val="center"/>
        <w:rPr>
          <w:rFonts w:hint="eastAsia" w:ascii="宋体" w:hAnsi="宋体" w:cs="宋体"/>
          <w:b/>
          <w:bCs/>
          <w:color w:val="000000"/>
          <w:sz w:val="21"/>
          <w:szCs w:val="21"/>
          <w:lang w:eastAsia="zh-CN" w:bidi="ar"/>
        </w:rPr>
      </w:pPr>
      <w:r>
        <w:rPr>
          <w:rFonts w:hint="eastAsia" w:ascii="宋体" w:hAnsi="宋体" w:cs="宋体"/>
          <w:b/>
          <w:bCs/>
          <w:color w:val="000000"/>
          <w:sz w:val="21"/>
          <w:szCs w:val="21"/>
          <w:lang w:eastAsia="zh-CN" w:bidi="ar"/>
        </w:rPr>
        <w:t>注：从业人员、营业收入、资产总额填报上一年度数据，无上一年度数据的新成立企业可不填报。</w:t>
      </w:r>
    </w:p>
    <w:p w14:paraId="647A9F6C">
      <w:pPr>
        <w:widowControl/>
        <w:adjustRightInd w:val="0"/>
        <w:snapToGrid w:val="0"/>
        <w:spacing w:line="380" w:lineRule="exact"/>
        <w:jc w:val="both"/>
        <w:rPr>
          <w:rFonts w:hint="eastAsia" w:ascii="宋体" w:hAnsi="宋体" w:eastAsia="宋体" w:cs="宋体"/>
          <w:sz w:val="21"/>
          <w:szCs w:val="21"/>
          <w:lang w:val="en-US" w:eastAsia="zh-CN"/>
        </w:rPr>
      </w:pPr>
    </w:p>
    <w:p w14:paraId="6756389D">
      <w:pPr>
        <w:widowControl/>
        <w:adjustRightInd w:val="0"/>
        <w:snapToGrid w:val="0"/>
        <w:spacing w:line="380" w:lineRule="exact"/>
        <w:jc w:val="both"/>
        <w:rPr>
          <w:rFonts w:hint="eastAsia" w:ascii="宋体" w:hAnsi="宋体" w:eastAsia="宋体" w:cs="宋体"/>
          <w:sz w:val="21"/>
          <w:szCs w:val="21"/>
          <w:lang w:val="en-US" w:eastAsia="zh-CN"/>
        </w:rPr>
      </w:pPr>
    </w:p>
    <w:p w14:paraId="0801A37A">
      <w:pPr>
        <w:jc w:val="center"/>
        <w:rPr>
          <w:rFonts w:hint="eastAsia" w:ascii="宋体" w:hAnsi="宋体" w:cs="宋体"/>
          <w:b/>
          <w:bCs/>
          <w:color w:val="000000"/>
          <w:sz w:val="21"/>
          <w:szCs w:val="21"/>
          <w:lang w:eastAsia="zh-CN" w:bidi="ar"/>
        </w:rPr>
      </w:pPr>
      <w:r>
        <w:rPr>
          <w:rFonts w:hint="eastAsia" w:ascii="宋体" w:hAnsi="宋体" w:cs="宋体"/>
          <w:b/>
          <w:bCs/>
          <w:color w:val="000000"/>
          <w:sz w:val="21"/>
          <w:szCs w:val="21"/>
          <w:lang w:val="en-US" w:eastAsia="zh-CN" w:bidi="ar"/>
        </w:rPr>
        <w:t>（提醒：如果响应单位不是中小企业，则不需要提供《中小企业声明函》）</w:t>
      </w:r>
    </w:p>
    <w:p w14:paraId="68DB3BBE">
      <w:pPr>
        <w:widowControl/>
        <w:adjustRightInd w:val="0"/>
        <w:snapToGrid w:val="0"/>
        <w:spacing w:line="380" w:lineRule="exact"/>
        <w:ind w:left="440" w:leftChars="200"/>
        <w:jc w:val="both"/>
        <w:rPr>
          <w:rFonts w:hint="eastAsia" w:ascii="宋体" w:hAnsi="宋体" w:eastAsia="宋体" w:cs="宋体"/>
          <w:sz w:val="21"/>
          <w:szCs w:val="21"/>
          <w:lang w:eastAsia="zh-CN"/>
        </w:rPr>
      </w:pPr>
    </w:p>
    <w:p w14:paraId="6B80B8FB">
      <w:pPr>
        <w:spacing w:before="148"/>
        <w:jc w:val="center"/>
        <w:outlineLvl w:val="2"/>
        <w:rPr>
          <w:rFonts w:hint="eastAsia"/>
          <w:b/>
          <w:sz w:val="28"/>
          <w:lang w:eastAsia="zh-CN"/>
        </w:rPr>
      </w:pPr>
      <w:bookmarkStart w:id="142" w:name="_Toc14540"/>
    </w:p>
    <w:p w14:paraId="448B5E30">
      <w:pPr>
        <w:spacing w:before="148"/>
        <w:jc w:val="center"/>
        <w:outlineLvl w:val="2"/>
        <w:rPr>
          <w:rFonts w:hint="eastAsia"/>
          <w:b/>
          <w:sz w:val="28"/>
          <w:lang w:eastAsia="zh-CN"/>
        </w:rPr>
      </w:pPr>
    </w:p>
    <w:p w14:paraId="2EE085BA">
      <w:pPr>
        <w:spacing w:before="148"/>
        <w:jc w:val="center"/>
        <w:outlineLvl w:val="2"/>
        <w:rPr>
          <w:b/>
          <w:sz w:val="28"/>
          <w:lang w:eastAsia="zh-CN"/>
        </w:rPr>
      </w:pPr>
      <w:bookmarkStart w:id="143" w:name="_Toc1961"/>
      <w:r>
        <w:rPr>
          <w:rFonts w:hint="eastAsia"/>
          <w:b/>
          <w:sz w:val="28"/>
          <w:lang w:eastAsia="zh-CN"/>
        </w:rPr>
        <w:t>7.</w:t>
      </w:r>
      <w:bookmarkEnd w:id="142"/>
      <w:r>
        <w:rPr>
          <w:rFonts w:hint="eastAsia"/>
          <w:b/>
          <w:sz w:val="28"/>
          <w:lang w:val="en-US" w:eastAsia="zh-CN"/>
        </w:rPr>
        <w:t>商务部分（格式自拟）</w:t>
      </w:r>
      <w:bookmarkEnd w:id="143"/>
    </w:p>
    <w:p w14:paraId="55CB2C6E">
      <w:pPr>
        <w:pStyle w:val="10"/>
        <w:spacing w:line="500" w:lineRule="exact"/>
        <w:ind w:left="0" w:leftChars="0" w:firstLine="0" w:firstLineChars="0"/>
        <w:rPr>
          <w:rFonts w:ascii="宋体" w:hAnsi="宋体" w:cs="宋体"/>
          <w:szCs w:val="21"/>
        </w:rPr>
      </w:pPr>
    </w:p>
    <w:p w14:paraId="7D15545E">
      <w:pPr>
        <w:pStyle w:val="10"/>
        <w:spacing w:line="500" w:lineRule="exact"/>
        <w:ind w:left="0" w:leftChars="0" w:firstLine="0" w:firstLineChars="0"/>
        <w:rPr>
          <w:rFonts w:ascii="宋体" w:hAnsi="宋体" w:cs="宋体"/>
          <w:szCs w:val="21"/>
        </w:rPr>
      </w:pPr>
    </w:p>
    <w:p w14:paraId="57E5E389">
      <w:pPr>
        <w:pStyle w:val="10"/>
        <w:spacing w:line="500" w:lineRule="exact"/>
        <w:ind w:left="0" w:leftChars="0" w:firstLine="0" w:firstLineChars="0"/>
        <w:rPr>
          <w:rFonts w:ascii="宋体" w:hAnsi="宋体" w:cs="宋体"/>
          <w:szCs w:val="21"/>
        </w:rPr>
      </w:pPr>
    </w:p>
    <w:p w14:paraId="65AC5EA1">
      <w:pPr>
        <w:pStyle w:val="10"/>
        <w:spacing w:line="500" w:lineRule="exact"/>
        <w:ind w:left="0" w:leftChars="0" w:firstLine="0" w:firstLineChars="0"/>
        <w:rPr>
          <w:rFonts w:ascii="宋体" w:hAnsi="宋体" w:cs="宋体"/>
          <w:szCs w:val="21"/>
        </w:rPr>
      </w:pPr>
    </w:p>
    <w:p w14:paraId="0E6A2389">
      <w:pPr>
        <w:spacing w:before="148"/>
        <w:jc w:val="center"/>
        <w:outlineLvl w:val="2"/>
        <w:rPr>
          <w:rFonts w:hint="eastAsia" w:eastAsia="宋体"/>
          <w:b/>
          <w:sz w:val="28"/>
          <w:lang w:val="en-US" w:eastAsia="zh-CN"/>
        </w:rPr>
      </w:pPr>
    </w:p>
    <w:p w14:paraId="12F3171A">
      <w:pPr>
        <w:spacing w:before="148"/>
        <w:jc w:val="center"/>
        <w:outlineLvl w:val="2"/>
        <w:rPr>
          <w:rFonts w:hint="eastAsia" w:eastAsia="宋体"/>
          <w:b/>
          <w:sz w:val="28"/>
          <w:lang w:val="en-US" w:eastAsia="zh-CN"/>
        </w:rPr>
      </w:pPr>
    </w:p>
    <w:p w14:paraId="37226317">
      <w:pPr>
        <w:spacing w:before="148"/>
        <w:jc w:val="center"/>
        <w:outlineLvl w:val="2"/>
        <w:rPr>
          <w:rFonts w:hint="eastAsia" w:eastAsia="宋体"/>
          <w:b/>
          <w:sz w:val="28"/>
          <w:lang w:val="en-US" w:eastAsia="zh-CN"/>
        </w:rPr>
      </w:pPr>
    </w:p>
    <w:p w14:paraId="772271E7">
      <w:pPr>
        <w:spacing w:before="148"/>
        <w:jc w:val="center"/>
        <w:outlineLvl w:val="2"/>
        <w:rPr>
          <w:rFonts w:hint="eastAsia" w:eastAsia="宋体"/>
          <w:b/>
          <w:sz w:val="28"/>
          <w:lang w:val="en-US" w:eastAsia="zh-CN"/>
        </w:rPr>
      </w:pPr>
      <w:bookmarkStart w:id="144" w:name="_Toc21612"/>
      <w:r>
        <w:rPr>
          <w:rFonts w:hint="eastAsia" w:eastAsia="宋体"/>
          <w:b/>
          <w:sz w:val="28"/>
          <w:lang w:val="en-US" w:eastAsia="zh-CN"/>
        </w:rPr>
        <w:t>8.技术部分（格式自拟）</w:t>
      </w:r>
      <w:bookmarkEnd w:id="144"/>
    </w:p>
    <w:p w14:paraId="1747BED6">
      <w:pPr>
        <w:spacing w:before="148"/>
        <w:jc w:val="center"/>
        <w:outlineLvl w:val="9"/>
        <w:rPr>
          <w:rFonts w:hint="eastAsia" w:eastAsia="宋体"/>
          <w:b/>
          <w:sz w:val="28"/>
          <w:lang w:val="en-US" w:eastAsia="zh-CN"/>
        </w:rPr>
      </w:pPr>
    </w:p>
    <w:p w14:paraId="46E498CF">
      <w:pPr>
        <w:pStyle w:val="10"/>
        <w:adjustRightInd w:val="0"/>
        <w:snapToGrid w:val="0"/>
        <w:spacing w:line="440" w:lineRule="exact"/>
        <w:ind w:left="98" w:leftChars="0" w:hanging="98" w:hangingChars="47"/>
        <w:rPr>
          <w:rFonts w:ascii="宋体" w:hAnsi="宋体" w:cs="宋体"/>
          <w:sz w:val="21"/>
          <w:szCs w:val="21"/>
        </w:rPr>
      </w:pPr>
    </w:p>
    <w:p w14:paraId="132CAD28">
      <w:pPr>
        <w:pStyle w:val="10"/>
        <w:adjustRightInd w:val="0"/>
        <w:snapToGrid w:val="0"/>
        <w:spacing w:line="440" w:lineRule="exact"/>
        <w:ind w:left="98" w:leftChars="0" w:hanging="98" w:hangingChars="47"/>
        <w:rPr>
          <w:rFonts w:ascii="宋体" w:hAnsi="宋体" w:cs="宋体"/>
          <w:sz w:val="21"/>
          <w:szCs w:val="21"/>
        </w:rPr>
      </w:pPr>
    </w:p>
    <w:p w14:paraId="6616E1EA">
      <w:pPr>
        <w:spacing w:before="148"/>
        <w:jc w:val="center"/>
        <w:outlineLvl w:val="9"/>
        <w:rPr>
          <w:b/>
          <w:sz w:val="21"/>
          <w:szCs w:val="21"/>
          <w:lang w:eastAsia="zh-CN"/>
        </w:rPr>
      </w:pPr>
      <w:r>
        <w:rPr>
          <w:rFonts w:hint="eastAsia" w:ascii="宋体" w:hAnsi="宋体" w:cs="宋体"/>
          <w:sz w:val="21"/>
          <w:szCs w:val="21"/>
          <w:lang w:val="en-US" w:eastAsia="zh-CN"/>
        </w:rPr>
        <w:t xml:space="preserve">                          </w:t>
      </w:r>
    </w:p>
    <w:p w14:paraId="6AE2F70A">
      <w:pPr>
        <w:pStyle w:val="6"/>
        <w:spacing w:before="5" w:after="1"/>
        <w:jc w:val="center"/>
        <w:rPr>
          <w:b/>
          <w:sz w:val="18"/>
          <w:lang w:eastAsia="zh-CN"/>
        </w:rPr>
      </w:pPr>
    </w:p>
    <w:p w14:paraId="530B0A7E">
      <w:pPr>
        <w:pStyle w:val="6"/>
        <w:spacing w:before="5" w:after="1"/>
        <w:jc w:val="center"/>
        <w:rPr>
          <w:b/>
          <w:sz w:val="18"/>
          <w:lang w:eastAsia="zh-CN"/>
        </w:rPr>
      </w:pPr>
    </w:p>
    <w:p w14:paraId="11B26AEB">
      <w:pPr>
        <w:pStyle w:val="6"/>
        <w:spacing w:before="5" w:after="1"/>
        <w:jc w:val="center"/>
        <w:rPr>
          <w:b/>
          <w:sz w:val="18"/>
          <w:lang w:eastAsia="zh-CN"/>
        </w:rPr>
      </w:pPr>
    </w:p>
    <w:p w14:paraId="2E2E935F">
      <w:pPr>
        <w:pStyle w:val="6"/>
        <w:spacing w:before="5" w:after="1"/>
        <w:jc w:val="center"/>
        <w:rPr>
          <w:b/>
          <w:sz w:val="18"/>
          <w:lang w:eastAsia="zh-CN"/>
        </w:rPr>
      </w:pPr>
    </w:p>
    <w:p w14:paraId="3D946423">
      <w:pPr>
        <w:pStyle w:val="6"/>
        <w:spacing w:before="5" w:after="1"/>
        <w:jc w:val="center"/>
        <w:rPr>
          <w:b/>
          <w:sz w:val="18"/>
          <w:lang w:eastAsia="zh-CN"/>
        </w:rPr>
      </w:pPr>
    </w:p>
    <w:p w14:paraId="7C0DE24C">
      <w:pPr>
        <w:pStyle w:val="6"/>
        <w:spacing w:before="5" w:after="1"/>
        <w:jc w:val="center"/>
        <w:rPr>
          <w:b/>
          <w:sz w:val="18"/>
          <w:lang w:eastAsia="zh-CN"/>
        </w:rPr>
      </w:pPr>
    </w:p>
    <w:p w14:paraId="6868E6A5">
      <w:pPr>
        <w:pStyle w:val="6"/>
        <w:spacing w:before="5" w:after="1"/>
        <w:jc w:val="center"/>
        <w:rPr>
          <w:b/>
          <w:sz w:val="18"/>
          <w:lang w:eastAsia="zh-CN"/>
        </w:rPr>
      </w:pPr>
    </w:p>
    <w:p w14:paraId="15E40BEA">
      <w:pPr>
        <w:pStyle w:val="6"/>
        <w:spacing w:before="5" w:after="1"/>
        <w:jc w:val="center"/>
        <w:rPr>
          <w:b/>
          <w:sz w:val="18"/>
          <w:lang w:eastAsia="zh-CN"/>
        </w:rPr>
      </w:pPr>
    </w:p>
    <w:p w14:paraId="14EE519E">
      <w:pPr>
        <w:pStyle w:val="6"/>
        <w:spacing w:before="5" w:after="1"/>
        <w:jc w:val="center"/>
        <w:rPr>
          <w:b/>
          <w:sz w:val="18"/>
          <w:lang w:eastAsia="zh-CN"/>
        </w:rPr>
      </w:pPr>
    </w:p>
    <w:p w14:paraId="181E8A4E">
      <w:pPr>
        <w:pStyle w:val="6"/>
        <w:spacing w:before="5" w:after="1"/>
        <w:jc w:val="center"/>
        <w:rPr>
          <w:b/>
          <w:sz w:val="18"/>
          <w:lang w:eastAsia="zh-CN"/>
        </w:rPr>
      </w:pPr>
    </w:p>
    <w:p w14:paraId="2DDE73C7">
      <w:pPr>
        <w:pStyle w:val="6"/>
        <w:spacing w:before="5" w:after="1"/>
        <w:jc w:val="center"/>
        <w:rPr>
          <w:b/>
          <w:sz w:val="18"/>
          <w:lang w:eastAsia="zh-CN"/>
        </w:rPr>
      </w:pPr>
    </w:p>
    <w:p w14:paraId="2F4F8662">
      <w:pPr>
        <w:pStyle w:val="6"/>
        <w:spacing w:before="5" w:after="1"/>
        <w:jc w:val="center"/>
        <w:rPr>
          <w:b/>
          <w:sz w:val="18"/>
          <w:lang w:eastAsia="zh-CN"/>
        </w:rPr>
      </w:pPr>
    </w:p>
    <w:p w14:paraId="46C624C9">
      <w:pPr>
        <w:pStyle w:val="6"/>
        <w:spacing w:before="5" w:after="1"/>
        <w:jc w:val="center"/>
        <w:rPr>
          <w:b/>
          <w:sz w:val="18"/>
          <w:lang w:eastAsia="zh-CN"/>
        </w:rPr>
      </w:pPr>
    </w:p>
    <w:p w14:paraId="05B7FE0E">
      <w:pPr>
        <w:pStyle w:val="6"/>
        <w:spacing w:before="5" w:after="1"/>
        <w:jc w:val="center"/>
        <w:rPr>
          <w:b/>
          <w:sz w:val="18"/>
          <w:lang w:eastAsia="zh-CN"/>
        </w:rPr>
      </w:pPr>
    </w:p>
    <w:p w14:paraId="3D56A162">
      <w:pPr>
        <w:pStyle w:val="10"/>
        <w:spacing w:line="440" w:lineRule="exact"/>
        <w:ind w:left="0" w:leftChars="0" w:right="420" w:firstLine="5460" w:firstLineChars="2600"/>
        <w:rPr>
          <w:rFonts w:ascii="宋体" w:hAnsi="宋体" w:cs="宋体"/>
          <w:sz w:val="21"/>
          <w:szCs w:val="21"/>
          <w:lang w:eastAsia="zh-CN"/>
        </w:rPr>
      </w:pPr>
      <w:r>
        <w:rPr>
          <w:rFonts w:hint="eastAsia" w:ascii="宋体" w:hAnsi="宋体" w:cs="宋体"/>
          <w:sz w:val="21"/>
          <w:szCs w:val="21"/>
          <w:lang w:val="en-US" w:eastAsia="zh-CN"/>
        </w:rPr>
        <w:t xml:space="preserve">                       </w:t>
      </w:r>
    </w:p>
    <w:p w14:paraId="100CAD18">
      <w:pPr>
        <w:ind w:firstLine="220" w:firstLineChars="100"/>
        <w:rPr>
          <w:rFonts w:ascii="宋体" w:hAnsi="宋体" w:cs="宋体"/>
          <w:lang w:eastAsia="zh-CN"/>
        </w:rPr>
      </w:pPr>
      <w:r>
        <w:rPr>
          <w:rFonts w:hint="eastAsia" w:ascii="宋体" w:hAnsi="宋体" w:cs="宋体"/>
          <w:szCs w:val="21"/>
          <w:lang w:eastAsia="zh-CN"/>
        </w:rPr>
        <w:t xml:space="preserve">        </w:t>
      </w:r>
    </w:p>
    <w:p w14:paraId="61FA1308">
      <w:pPr>
        <w:pStyle w:val="20"/>
        <w:ind w:left="0" w:leftChars="0" w:firstLine="0" w:firstLineChars="0"/>
        <w:jc w:val="center"/>
        <w:outlineLvl w:val="2"/>
        <w:rPr>
          <w:b/>
          <w:sz w:val="28"/>
          <w:lang w:eastAsia="zh-CN"/>
        </w:rPr>
      </w:pPr>
      <w:r>
        <w:rPr>
          <w:sz w:val="24"/>
          <w:lang w:eastAsia="zh-CN"/>
        </w:rPr>
        <w:br w:type="page"/>
      </w:r>
      <w:bookmarkStart w:id="145" w:name="_Toc7935"/>
      <w:bookmarkStart w:id="146" w:name="_Toc9134"/>
      <w:r>
        <w:rPr>
          <w:rFonts w:hint="eastAsia"/>
          <w:b/>
          <w:sz w:val="28"/>
          <w:lang w:val="en-US" w:eastAsia="zh-CN"/>
        </w:rPr>
        <w:t>9</w:t>
      </w:r>
      <w:r>
        <w:rPr>
          <w:rFonts w:hint="eastAsia"/>
          <w:b/>
          <w:sz w:val="28"/>
          <w:lang w:eastAsia="zh-CN"/>
        </w:rPr>
        <w:t>.</w:t>
      </w:r>
      <w:r>
        <w:rPr>
          <w:b/>
          <w:sz w:val="28"/>
          <w:lang w:eastAsia="zh-CN"/>
        </w:rPr>
        <w:t>反商业贿赂承诺书</w:t>
      </w:r>
      <w:bookmarkEnd w:id="145"/>
      <w:bookmarkEnd w:id="146"/>
    </w:p>
    <w:p w14:paraId="62EBD082">
      <w:pPr>
        <w:pStyle w:val="6"/>
        <w:spacing w:before="6"/>
        <w:rPr>
          <w:b/>
          <w:sz w:val="21"/>
          <w:szCs w:val="21"/>
          <w:lang w:eastAsia="zh-CN"/>
        </w:rPr>
      </w:pPr>
    </w:p>
    <w:p w14:paraId="6C690F57">
      <w:pPr>
        <w:ind w:left="274"/>
        <w:rPr>
          <w:sz w:val="21"/>
          <w:szCs w:val="21"/>
          <w:lang w:eastAsia="zh-CN"/>
        </w:rPr>
      </w:pPr>
      <w:r>
        <w:rPr>
          <w:sz w:val="21"/>
          <w:szCs w:val="21"/>
          <w:lang w:eastAsia="zh-CN"/>
        </w:rPr>
        <w:t>我公司承诺：</w:t>
      </w:r>
    </w:p>
    <w:p w14:paraId="55C7DB06">
      <w:pPr>
        <w:tabs>
          <w:tab w:val="left" w:pos="4714"/>
        </w:tabs>
        <w:spacing w:before="161" w:line="362" w:lineRule="auto"/>
        <w:ind w:left="754" w:right="690"/>
        <w:rPr>
          <w:spacing w:val="-17"/>
          <w:sz w:val="21"/>
          <w:szCs w:val="21"/>
          <w:lang w:eastAsia="zh-CN"/>
        </w:rPr>
      </w:pPr>
      <w:r>
        <w:rPr>
          <w:sz w:val="21"/>
          <w:szCs w:val="21"/>
          <w:lang w:eastAsia="zh-CN"/>
        </w:rPr>
        <w:t>在</w:t>
      </w:r>
      <w:r>
        <w:rPr>
          <w:sz w:val="21"/>
          <w:szCs w:val="21"/>
          <w:u w:val="single"/>
          <w:lang w:eastAsia="zh-CN"/>
        </w:rPr>
        <w:t xml:space="preserve"> </w:t>
      </w:r>
      <w:r>
        <w:rPr>
          <w:rFonts w:hint="eastAsia"/>
          <w:sz w:val="21"/>
          <w:szCs w:val="21"/>
          <w:u w:val="single"/>
          <w:lang w:val="en-US" w:eastAsia="zh-CN"/>
        </w:rPr>
        <w:t xml:space="preserve">           </w:t>
      </w:r>
      <w:r>
        <w:rPr>
          <w:rFonts w:hint="eastAsia"/>
          <w:sz w:val="21"/>
          <w:szCs w:val="21"/>
          <w:u w:val="single"/>
          <w:lang w:eastAsia="zh-CN"/>
        </w:rPr>
        <w:t>（</w:t>
      </w:r>
      <w:r>
        <w:rPr>
          <w:rFonts w:hint="eastAsia"/>
          <w:sz w:val="21"/>
          <w:szCs w:val="21"/>
          <w:u w:val="single"/>
          <w:lang w:val="en-US" w:eastAsia="zh-CN"/>
        </w:rPr>
        <w:t>项目名称</w:t>
      </w:r>
      <w:r>
        <w:rPr>
          <w:rFonts w:hint="eastAsia"/>
          <w:sz w:val="21"/>
          <w:szCs w:val="21"/>
          <w:u w:val="single"/>
          <w:lang w:eastAsia="zh-CN"/>
        </w:rPr>
        <w:t>）</w:t>
      </w:r>
      <w:r>
        <w:rPr>
          <w:sz w:val="21"/>
          <w:szCs w:val="21"/>
          <w:u w:val="single"/>
          <w:lang w:eastAsia="zh-CN"/>
        </w:rPr>
        <w:tab/>
      </w:r>
      <w:r>
        <w:rPr>
          <w:sz w:val="21"/>
          <w:szCs w:val="21"/>
          <w:lang w:eastAsia="zh-CN"/>
        </w:rPr>
        <w:t>招标活动中，我公司保证做到</w:t>
      </w:r>
      <w:r>
        <w:rPr>
          <w:spacing w:val="-17"/>
          <w:sz w:val="21"/>
          <w:szCs w:val="21"/>
          <w:lang w:eastAsia="zh-CN"/>
        </w:rPr>
        <w:t>：</w:t>
      </w:r>
    </w:p>
    <w:p w14:paraId="475732D6">
      <w:pPr>
        <w:tabs>
          <w:tab w:val="left" w:pos="4714"/>
        </w:tabs>
        <w:spacing w:before="161" w:line="362" w:lineRule="auto"/>
        <w:ind w:left="754" w:right="690"/>
        <w:rPr>
          <w:sz w:val="21"/>
          <w:szCs w:val="21"/>
          <w:lang w:eastAsia="zh-CN"/>
        </w:rPr>
      </w:pPr>
      <w:r>
        <w:rPr>
          <w:spacing w:val="-17"/>
          <w:sz w:val="21"/>
          <w:szCs w:val="21"/>
          <w:lang w:eastAsia="zh-CN"/>
        </w:rPr>
        <w:t xml:space="preserve"> </w:t>
      </w:r>
      <w:r>
        <w:rPr>
          <w:sz w:val="21"/>
          <w:szCs w:val="21"/>
          <w:lang w:eastAsia="zh-CN"/>
        </w:rPr>
        <w:t>一、公平竞争参加本次</w:t>
      </w:r>
      <w:r>
        <w:rPr>
          <w:rFonts w:hint="eastAsia"/>
          <w:sz w:val="21"/>
          <w:szCs w:val="21"/>
          <w:lang w:eastAsia="zh-CN"/>
        </w:rPr>
        <w:t>采购</w:t>
      </w:r>
      <w:r>
        <w:rPr>
          <w:sz w:val="21"/>
          <w:szCs w:val="21"/>
          <w:lang w:eastAsia="zh-CN"/>
        </w:rPr>
        <w:t>活动。</w:t>
      </w:r>
    </w:p>
    <w:p w14:paraId="0A88CDC9">
      <w:pPr>
        <w:spacing w:before="5" w:line="364" w:lineRule="auto"/>
        <w:ind w:left="274" w:right="270" w:firstLine="480"/>
        <w:jc w:val="both"/>
        <w:rPr>
          <w:sz w:val="21"/>
          <w:szCs w:val="21"/>
          <w:lang w:eastAsia="zh-CN"/>
        </w:rPr>
      </w:pPr>
      <w:r>
        <w:rPr>
          <w:sz w:val="21"/>
          <w:szCs w:val="21"/>
          <w:lang w:eastAsia="zh-CN"/>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4EAB6C2C">
      <w:pPr>
        <w:spacing w:line="362" w:lineRule="auto"/>
        <w:ind w:left="274" w:right="270" w:firstLine="480"/>
        <w:jc w:val="both"/>
        <w:rPr>
          <w:sz w:val="21"/>
          <w:szCs w:val="21"/>
          <w:lang w:eastAsia="zh-CN"/>
        </w:rPr>
      </w:pPr>
      <w:r>
        <w:rPr>
          <w:sz w:val="21"/>
          <w:szCs w:val="21"/>
          <w:lang w:eastAsia="zh-CN"/>
        </w:rPr>
        <w:t>三、若出现上述行为，我公司及参与投标的工作人员愿意接受按照国家法律法规等有关规定给予的处罚。</w:t>
      </w:r>
    </w:p>
    <w:p w14:paraId="0F529B81">
      <w:pPr>
        <w:pStyle w:val="6"/>
        <w:rPr>
          <w:sz w:val="21"/>
          <w:szCs w:val="21"/>
          <w:lang w:eastAsia="zh-CN"/>
        </w:rPr>
      </w:pPr>
    </w:p>
    <w:p w14:paraId="5B3697BC">
      <w:pPr>
        <w:pStyle w:val="6"/>
        <w:rPr>
          <w:sz w:val="21"/>
          <w:szCs w:val="21"/>
          <w:lang w:eastAsia="zh-CN"/>
        </w:rPr>
      </w:pPr>
    </w:p>
    <w:p w14:paraId="3F0BC385">
      <w:pPr>
        <w:pStyle w:val="6"/>
        <w:rPr>
          <w:sz w:val="21"/>
          <w:szCs w:val="21"/>
          <w:lang w:eastAsia="zh-CN"/>
        </w:rPr>
      </w:pPr>
    </w:p>
    <w:p w14:paraId="27D6C401">
      <w:pPr>
        <w:pStyle w:val="20"/>
        <w:ind w:left="0" w:leftChars="0" w:firstLine="0" w:firstLineChars="0"/>
        <w:jc w:val="center"/>
        <w:rPr>
          <w:szCs w:val="21"/>
          <w:u w:val="single"/>
          <w:lang w:eastAsia="zh-CN"/>
        </w:rPr>
      </w:pPr>
      <w:r>
        <w:rPr>
          <w:rFonts w:hint="eastAsia"/>
          <w:szCs w:val="21"/>
          <w:lang w:eastAsia="zh-CN"/>
        </w:rPr>
        <w:t xml:space="preserve">                          </w:t>
      </w:r>
      <w:r>
        <w:rPr>
          <w:rFonts w:hint="eastAsia"/>
          <w:szCs w:val="21"/>
          <w:lang w:val="en-US" w:eastAsia="zh-CN"/>
        </w:rPr>
        <w:t>响应</w:t>
      </w:r>
      <w:r>
        <w:rPr>
          <w:szCs w:val="21"/>
          <w:lang w:eastAsia="zh-CN"/>
        </w:rPr>
        <w:t>单位名称：</w:t>
      </w:r>
      <w:r>
        <w:rPr>
          <w:rFonts w:hint="eastAsia"/>
          <w:szCs w:val="21"/>
          <w:u w:val="single"/>
          <w:lang w:val="en-US" w:eastAsia="zh-CN"/>
        </w:rPr>
        <w:t xml:space="preserve">                          </w:t>
      </w:r>
      <w:r>
        <w:rPr>
          <w:szCs w:val="21"/>
          <w:lang w:eastAsia="zh-CN"/>
        </w:rPr>
        <w:t>（</w:t>
      </w:r>
      <w:r>
        <w:rPr>
          <w:rFonts w:hint="eastAsia"/>
          <w:szCs w:val="21"/>
          <w:lang w:val="en-US" w:eastAsia="zh-CN"/>
        </w:rPr>
        <w:t>电子签章</w:t>
      </w:r>
      <w:r>
        <w:rPr>
          <w:szCs w:val="21"/>
          <w:lang w:eastAsia="zh-CN"/>
        </w:rPr>
        <w:t>）</w:t>
      </w:r>
    </w:p>
    <w:p w14:paraId="499E780E">
      <w:pPr>
        <w:pStyle w:val="20"/>
        <w:ind w:left="0" w:leftChars="0" w:firstLine="0" w:firstLineChars="0"/>
        <w:jc w:val="center"/>
        <w:rPr>
          <w:szCs w:val="21"/>
          <w:u w:val="single"/>
          <w:lang w:eastAsia="zh-CN"/>
        </w:rPr>
      </w:pPr>
    </w:p>
    <w:p w14:paraId="2DA6F232">
      <w:pPr>
        <w:pStyle w:val="20"/>
        <w:ind w:left="0" w:leftChars="0" w:firstLine="0" w:firstLineChars="0"/>
        <w:jc w:val="center"/>
        <w:rPr>
          <w:rFonts w:hint="default"/>
          <w:szCs w:val="21"/>
          <w:u w:val="single"/>
          <w:lang w:val="en-US" w:eastAsia="zh-CN"/>
        </w:rPr>
      </w:pPr>
      <w:r>
        <w:rPr>
          <w:rFonts w:hint="eastAsia"/>
          <w:szCs w:val="21"/>
          <w:lang w:eastAsia="zh-CN"/>
        </w:rPr>
        <w:t xml:space="preserve">    </w:t>
      </w:r>
      <w:r>
        <w:rPr>
          <w:rFonts w:hint="eastAsia"/>
          <w:szCs w:val="21"/>
          <w:lang w:val="en-US" w:eastAsia="zh-CN"/>
        </w:rPr>
        <w:t xml:space="preserve">                         </w:t>
      </w:r>
      <w:r>
        <w:rPr>
          <w:szCs w:val="21"/>
          <w:lang w:eastAsia="zh-CN"/>
        </w:rPr>
        <w:t>法定代表人或授权代理人签字：</w:t>
      </w:r>
      <w:r>
        <w:rPr>
          <w:rFonts w:hint="eastAsia"/>
          <w:szCs w:val="21"/>
          <w:u w:val="single"/>
          <w:lang w:val="en-US" w:eastAsia="zh-CN"/>
        </w:rPr>
        <w:t xml:space="preserve">            </w:t>
      </w:r>
      <w:r>
        <w:rPr>
          <w:rFonts w:hint="eastAsia"/>
          <w:szCs w:val="21"/>
          <w:u w:val="none"/>
          <w:lang w:val="en-US" w:eastAsia="zh-CN"/>
        </w:rPr>
        <w:t>（电子签名或签字）</w:t>
      </w:r>
    </w:p>
    <w:p w14:paraId="4664A3B2">
      <w:pPr>
        <w:pStyle w:val="20"/>
        <w:ind w:left="0" w:leftChars="0" w:firstLine="0" w:firstLineChars="0"/>
        <w:jc w:val="center"/>
        <w:rPr>
          <w:szCs w:val="21"/>
          <w:u w:val="single"/>
          <w:lang w:eastAsia="zh-CN"/>
        </w:rPr>
      </w:pPr>
    </w:p>
    <w:p w14:paraId="78DB396B">
      <w:pPr>
        <w:pStyle w:val="20"/>
        <w:ind w:left="0" w:leftChars="0" w:firstLine="0" w:firstLineChars="0"/>
        <w:jc w:val="center"/>
        <w:rPr>
          <w:rFonts w:hint="default"/>
          <w:szCs w:val="21"/>
          <w:u w:val="single"/>
          <w:lang w:val="en-US" w:eastAsia="zh-CN"/>
        </w:rPr>
      </w:pPr>
      <w:r>
        <w:rPr>
          <w:rFonts w:hint="eastAsia"/>
          <w:szCs w:val="21"/>
          <w:lang w:eastAsia="zh-CN"/>
        </w:rPr>
        <w:t xml:space="preserve">        </w:t>
      </w:r>
      <w:r>
        <w:rPr>
          <w:szCs w:val="21"/>
          <w:lang w:eastAsia="zh-CN"/>
        </w:rPr>
        <w:t>日</w:t>
      </w:r>
      <w:r>
        <w:rPr>
          <w:rFonts w:hint="eastAsia"/>
          <w:szCs w:val="21"/>
          <w:lang w:eastAsia="zh-CN"/>
        </w:rPr>
        <w:t xml:space="preserve">      </w:t>
      </w:r>
      <w:r>
        <w:rPr>
          <w:szCs w:val="21"/>
          <w:lang w:eastAsia="zh-CN"/>
        </w:rPr>
        <w:t>期：</w:t>
      </w:r>
      <w:r>
        <w:rPr>
          <w:rFonts w:hint="eastAsia"/>
          <w:szCs w:val="21"/>
          <w:u w:val="single"/>
          <w:lang w:val="en-US" w:eastAsia="zh-CN"/>
        </w:rPr>
        <w:t xml:space="preserve">        </w:t>
      </w:r>
      <w:r>
        <w:rPr>
          <w:rFonts w:hint="eastAsia"/>
          <w:szCs w:val="21"/>
          <w:lang w:val="en-US" w:eastAsia="zh-CN"/>
        </w:rPr>
        <w:t>年</w:t>
      </w:r>
      <w:r>
        <w:rPr>
          <w:rFonts w:hint="eastAsia"/>
          <w:szCs w:val="21"/>
          <w:u w:val="single"/>
          <w:lang w:val="en-US" w:eastAsia="zh-CN"/>
        </w:rPr>
        <w:t xml:space="preserve">   </w:t>
      </w:r>
      <w:r>
        <w:rPr>
          <w:rFonts w:hint="eastAsia"/>
          <w:szCs w:val="21"/>
          <w:lang w:val="en-US" w:eastAsia="zh-CN"/>
        </w:rPr>
        <w:t>月</w:t>
      </w:r>
      <w:r>
        <w:rPr>
          <w:rFonts w:hint="eastAsia"/>
          <w:szCs w:val="21"/>
          <w:u w:val="single"/>
          <w:lang w:val="en-US" w:eastAsia="zh-CN"/>
        </w:rPr>
        <w:t xml:space="preserve">     </w:t>
      </w:r>
      <w:r>
        <w:rPr>
          <w:rFonts w:hint="eastAsia"/>
          <w:szCs w:val="21"/>
          <w:lang w:val="en-US" w:eastAsia="zh-CN"/>
        </w:rPr>
        <w:t>日</w:t>
      </w:r>
    </w:p>
    <w:p w14:paraId="21756FCC">
      <w:pPr>
        <w:pStyle w:val="6"/>
        <w:spacing w:before="9"/>
        <w:rPr>
          <w:sz w:val="31"/>
          <w:lang w:eastAsia="zh-CN"/>
        </w:rPr>
      </w:pPr>
      <w:r>
        <w:rPr>
          <w:lang w:eastAsia="zh-CN"/>
        </w:rPr>
        <w:br w:type="page"/>
      </w:r>
    </w:p>
    <w:p w14:paraId="619ABA7A">
      <w:pPr>
        <w:pStyle w:val="20"/>
        <w:ind w:left="0" w:leftChars="0" w:firstLine="0" w:firstLineChars="0"/>
        <w:jc w:val="center"/>
        <w:outlineLvl w:val="2"/>
        <w:rPr>
          <w:rFonts w:ascii="Calibri" w:hAnsi="Calibri"/>
          <w:b/>
          <w:kern w:val="0"/>
          <w:sz w:val="28"/>
          <w:lang w:eastAsia="zh-CN"/>
        </w:rPr>
      </w:pPr>
      <w:bookmarkStart w:id="147" w:name="_Toc26228"/>
      <w:bookmarkStart w:id="148" w:name="_Toc28406"/>
      <w:r>
        <w:rPr>
          <w:rFonts w:hint="eastAsia" w:ascii="Calibri" w:hAnsi="Calibri"/>
          <w:b/>
          <w:kern w:val="0"/>
          <w:sz w:val="28"/>
          <w:lang w:eastAsia="zh-CN"/>
        </w:rPr>
        <w:t>1</w:t>
      </w:r>
      <w:r>
        <w:rPr>
          <w:rFonts w:hint="eastAsia" w:ascii="Calibri" w:hAnsi="Calibri"/>
          <w:b/>
          <w:kern w:val="0"/>
          <w:sz w:val="28"/>
          <w:lang w:val="en-US" w:eastAsia="zh-CN"/>
        </w:rPr>
        <w:t>0</w:t>
      </w:r>
      <w:r>
        <w:rPr>
          <w:rFonts w:hint="eastAsia" w:ascii="Calibri" w:hAnsi="Calibri"/>
          <w:b/>
          <w:kern w:val="0"/>
          <w:sz w:val="28"/>
          <w:lang w:eastAsia="zh-CN"/>
        </w:rPr>
        <w:t>.响应单位认为有必要提供</w:t>
      </w:r>
      <w:r>
        <w:rPr>
          <w:rFonts w:ascii="Calibri" w:hAnsi="Calibri"/>
          <w:b/>
          <w:kern w:val="0"/>
          <w:sz w:val="28"/>
          <w:lang w:eastAsia="zh-CN"/>
        </w:rPr>
        <w:t>的其他材料</w:t>
      </w:r>
      <w:bookmarkEnd w:id="147"/>
      <w:bookmarkEnd w:id="148"/>
    </w:p>
    <w:p w14:paraId="4F47D85D">
      <w:pPr>
        <w:pStyle w:val="20"/>
        <w:ind w:left="0" w:leftChars="0" w:firstLine="0" w:firstLineChars="0"/>
        <w:rPr>
          <w:lang w:eastAsia="zh-CN"/>
        </w:rPr>
      </w:pPr>
    </w:p>
    <w:p w14:paraId="6F0AE415">
      <w:pPr>
        <w:rPr>
          <w:rFonts w:hint="eastAsia" w:ascii="Calibri" w:hAnsi="Calibri" w:eastAsia="宋体" w:cs="黑体"/>
          <w:b/>
          <w:sz w:val="28"/>
          <w:szCs w:val="22"/>
          <w:lang w:eastAsia="zh-CN"/>
        </w:rPr>
      </w:pPr>
      <w:bookmarkStart w:id="149" w:name="_Toc18185"/>
      <w:bookmarkStart w:id="150" w:name="_Toc5261518"/>
      <w:bookmarkStart w:id="151" w:name="_Toc14719"/>
      <w:bookmarkStart w:id="152" w:name="_Toc23537"/>
      <w:r>
        <w:rPr>
          <w:rFonts w:hint="eastAsia" w:ascii="Calibri" w:hAnsi="Calibri" w:eastAsia="宋体" w:cs="黑体"/>
          <w:b/>
          <w:sz w:val="28"/>
          <w:szCs w:val="22"/>
          <w:lang w:eastAsia="zh-CN"/>
        </w:rPr>
        <w:br w:type="page"/>
      </w:r>
    </w:p>
    <w:p w14:paraId="4D208996">
      <w:pPr>
        <w:pStyle w:val="4"/>
        <w:jc w:val="center"/>
        <w:rPr>
          <w:rFonts w:ascii="宋体" w:hAnsi="宋体" w:cs="宋体"/>
          <w:szCs w:val="21"/>
          <w:lang w:eastAsia="zh-CN"/>
        </w:rPr>
      </w:pPr>
      <w:bookmarkStart w:id="153" w:name="_Toc5343"/>
      <w:r>
        <w:rPr>
          <w:rFonts w:hint="eastAsia" w:ascii="Calibri" w:hAnsi="Calibri" w:eastAsia="宋体" w:cs="黑体"/>
          <w:b/>
          <w:sz w:val="28"/>
          <w:szCs w:val="22"/>
          <w:lang w:val="en-US" w:eastAsia="zh-CN"/>
        </w:rPr>
        <w:t>11</w:t>
      </w:r>
      <w:r>
        <w:rPr>
          <w:rFonts w:hint="eastAsia" w:ascii="Calibri" w:hAnsi="Calibri" w:eastAsia="宋体" w:cs="黑体"/>
          <w:b/>
          <w:sz w:val="28"/>
          <w:szCs w:val="22"/>
          <w:lang w:eastAsia="zh-CN"/>
        </w:rPr>
        <w:t>.残疾人福利性单位声明函</w:t>
      </w:r>
      <w:bookmarkEnd w:id="149"/>
      <w:bookmarkEnd w:id="150"/>
      <w:bookmarkEnd w:id="151"/>
      <w:r>
        <w:rPr>
          <w:rFonts w:hint="eastAsia" w:ascii="Calibri" w:hAnsi="Calibri" w:eastAsia="宋体" w:cs="黑体"/>
          <w:b/>
          <w:sz w:val="28"/>
          <w:szCs w:val="22"/>
          <w:lang w:eastAsia="zh-CN"/>
        </w:rPr>
        <w:t>（如有）</w:t>
      </w:r>
      <w:bookmarkEnd w:id="152"/>
      <w:bookmarkEnd w:id="153"/>
    </w:p>
    <w:p w14:paraId="75CA0A75">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本单位郑重声明，根据《财政部民政部中国残疾人联合会关于促进残疾人就业政府采购政策的通知》（财库〔2017〕141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384F1C">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本单位对上述声明的真实性负责。如有虚假，将依法承担相应责任。</w:t>
      </w:r>
    </w:p>
    <w:p w14:paraId="28C041E5">
      <w:pPr>
        <w:autoSpaceDE w:val="0"/>
        <w:autoSpaceDN w:val="0"/>
        <w:adjustRightInd w:val="0"/>
        <w:spacing w:line="440" w:lineRule="exact"/>
        <w:rPr>
          <w:rFonts w:ascii="宋体" w:hAnsi="宋体" w:cs="宋体"/>
          <w:sz w:val="21"/>
          <w:szCs w:val="21"/>
          <w:lang w:eastAsia="zh-CN"/>
        </w:rPr>
      </w:pPr>
      <w:r>
        <w:rPr>
          <w:rFonts w:hint="eastAsia" w:ascii="宋体" w:hAnsi="宋体" w:cs="宋体"/>
          <w:sz w:val="21"/>
          <w:szCs w:val="21"/>
          <w:lang w:eastAsia="zh-CN"/>
        </w:rPr>
        <w:t>响应单位：</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 xml:space="preserve"> （</w:t>
      </w:r>
      <w:r>
        <w:rPr>
          <w:rFonts w:hint="eastAsia" w:ascii="宋体" w:hAnsi="宋体" w:cs="宋体"/>
          <w:sz w:val="21"/>
          <w:szCs w:val="21"/>
          <w:lang w:val="en-US" w:eastAsia="zh-CN"/>
        </w:rPr>
        <w:t>电子签章</w:t>
      </w:r>
      <w:r>
        <w:rPr>
          <w:rFonts w:hint="eastAsia" w:ascii="宋体" w:hAnsi="宋体" w:cs="宋体"/>
          <w:sz w:val="21"/>
          <w:szCs w:val="21"/>
          <w:lang w:eastAsia="zh-CN"/>
        </w:rPr>
        <w:t>）</w:t>
      </w:r>
    </w:p>
    <w:p w14:paraId="4A0397B5">
      <w:pPr>
        <w:autoSpaceDE w:val="0"/>
        <w:autoSpaceDN w:val="0"/>
        <w:adjustRightInd w:val="0"/>
        <w:spacing w:line="440" w:lineRule="exact"/>
        <w:rPr>
          <w:rFonts w:ascii="宋体" w:hAnsi="宋体" w:cs="宋体"/>
          <w:sz w:val="21"/>
          <w:szCs w:val="21"/>
          <w:lang w:eastAsia="zh-CN"/>
        </w:rPr>
      </w:pPr>
      <w:r>
        <w:rPr>
          <w:rFonts w:hint="eastAsia" w:ascii="宋体" w:hAnsi="宋体" w:cs="宋体"/>
          <w:sz w:val="21"/>
          <w:szCs w:val="21"/>
          <w:lang w:eastAsia="zh-CN"/>
        </w:rPr>
        <w:t>法定代表人或其委托代理人：</w:t>
      </w:r>
      <w:r>
        <w:rPr>
          <w:rFonts w:hint="eastAsia" w:ascii="宋体" w:hAnsi="宋体" w:cs="宋体"/>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电子签名或</w:t>
      </w:r>
      <w:r>
        <w:rPr>
          <w:rFonts w:hint="eastAsia" w:ascii="宋体" w:hAnsi="宋体" w:cs="宋体"/>
          <w:sz w:val="21"/>
          <w:szCs w:val="21"/>
          <w:lang w:eastAsia="zh-CN"/>
        </w:rPr>
        <w:t>签字）</w:t>
      </w:r>
    </w:p>
    <w:p w14:paraId="5DF39B15">
      <w:pPr>
        <w:autoSpaceDE w:val="0"/>
        <w:autoSpaceDN w:val="0"/>
        <w:adjustRightInd w:val="0"/>
        <w:spacing w:line="440" w:lineRule="exact"/>
        <w:rPr>
          <w:rFonts w:ascii="宋体" w:hAnsi="宋体" w:cs="宋体"/>
          <w:sz w:val="21"/>
          <w:szCs w:val="21"/>
        </w:rPr>
      </w:pPr>
      <w:r>
        <w:rPr>
          <w:rFonts w:hint="eastAsia" w:ascii="宋体" w:hAnsi="宋体" w:cs="宋体"/>
          <w:sz w:val="21"/>
          <w:szCs w:val="21"/>
        </w:rPr>
        <w:t>日</w:t>
      </w:r>
      <w:r>
        <w:rPr>
          <w:rFonts w:hint="eastAsia" w:ascii="宋体" w:hAnsi="宋体" w:cs="宋体"/>
          <w:sz w:val="21"/>
          <w:szCs w:val="21"/>
          <w:lang w:val="en-US" w:eastAsia="zh-CN"/>
        </w:rPr>
        <w:t xml:space="preserve">    </w:t>
      </w:r>
      <w:r>
        <w:rPr>
          <w:rFonts w:hint="eastAsia" w:ascii="宋体" w:hAnsi="宋体" w:cs="宋体"/>
          <w:sz w:val="21"/>
          <w:szCs w:val="21"/>
        </w:rPr>
        <w:t>期：</w:t>
      </w:r>
      <w:r>
        <w:rPr>
          <w:rFonts w:hint="eastAsia" w:ascii="宋体" w:hAnsi="宋体" w:cs="宋体"/>
          <w:sz w:val="21"/>
          <w:szCs w:val="21"/>
          <w:u w:val="single"/>
          <w:lang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年</w:t>
      </w:r>
      <w:r>
        <w:rPr>
          <w:rFonts w:hint="eastAsia" w:ascii="宋体" w:hAnsi="宋体" w:cs="宋体"/>
          <w:sz w:val="21"/>
          <w:szCs w:val="21"/>
          <w:u w:val="single"/>
          <w:lang w:val="en-US" w:eastAsia="zh-CN"/>
        </w:rPr>
        <w:t xml:space="preserve">   </w:t>
      </w:r>
      <w:r>
        <w:rPr>
          <w:rFonts w:hint="eastAsia" w:ascii="宋体" w:hAnsi="宋体" w:cs="宋体"/>
          <w:sz w:val="21"/>
          <w:szCs w:val="21"/>
        </w:rPr>
        <w:t>月</w:t>
      </w:r>
      <w:r>
        <w:rPr>
          <w:rFonts w:hint="eastAsia" w:ascii="宋体" w:hAnsi="宋体" w:cs="宋体"/>
          <w:sz w:val="21"/>
          <w:szCs w:val="21"/>
          <w:u w:val="single"/>
          <w:lang w:eastAsia="zh-CN"/>
        </w:rPr>
        <w:t xml:space="preserve">  </w:t>
      </w:r>
      <w:r>
        <w:rPr>
          <w:rFonts w:hint="eastAsia" w:ascii="宋体" w:hAnsi="宋体" w:cs="宋体"/>
          <w:sz w:val="21"/>
          <w:szCs w:val="21"/>
        </w:rPr>
        <w:t>日</w:t>
      </w:r>
    </w:p>
    <w:p w14:paraId="627244ED">
      <w:pPr>
        <w:autoSpaceDE w:val="0"/>
        <w:autoSpaceDN w:val="0"/>
        <w:adjustRightInd w:val="0"/>
        <w:spacing w:line="440" w:lineRule="exact"/>
        <w:rPr>
          <w:rFonts w:ascii="宋体" w:hAnsi="宋体" w:cs="宋体"/>
          <w:sz w:val="21"/>
          <w:szCs w:val="21"/>
        </w:rPr>
      </w:pPr>
      <w:r>
        <w:rPr>
          <w:rFonts w:hint="eastAsia" w:ascii="宋体" w:hAnsi="宋体" w:cs="宋体"/>
          <w:sz w:val="21"/>
          <w:szCs w:val="21"/>
        </w:rPr>
        <w:t>说明：</w:t>
      </w:r>
    </w:p>
    <w:p w14:paraId="37D9D5B0">
      <w:pPr>
        <w:numPr>
          <w:ilvl w:val="0"/>
          <w:numId w:val="19"/>
        </w:numPr>
        <w:autoSpaceDE w:val="0"/>
        <w:autoSpaceDN w:val="0"/>
        <w:adjustRightInd w:val="0"/>
        <w:spacing w:line="440" w:lineRule="exact"/>
        <w:rPr>
          <w:rFonts w:ascii="宋体" w:hAnsi="宋体" w:cs="宋体"/>
          <w:sz w:val="21"/>
          <w:szCs w:val="21"/>
          <w:lang w:eastAsia="zh-CN"/>
        </w:rPr>
      </w:pPr>
      <w:r>
        <w:rPr>
          <w:rFonts w:hint="eastAsia" w:ascii="宋体" w:hAnsi="宋体" w:cs="宋体"/>
          <w:sz w:val="21"/>
          <w:szCs w:val="21"/>
          <w:lang w:eastAsia="zh-CN"/>
        </w:rPr>
        <w:t>该声明函是有针对性的，属于残疾人福利性企业的填写，不属于的无需填写此项内容，否则，因此导致虚假投标的后果由响应单位自行承担。</w:t>
      </w:r>
    </w:p>
    <w:p w14:paraId="0BAE5D6E">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《财政部民政部中国残疾人联合会关于促进残疾人就业政府采购政策的通知》（财库（2017〔141〕号）的规定： </w:t>
      </w:r>
    </w:p>
    <w:p w14:paraId="30B830C3">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1. 享受政府采购支持政策的残疾人福利性单位应当同时满足以下条件： </w:t>
      </w:r>
    </w:p>
    <w:p w14:paraId="618B2957">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（1）安置的残疾人占本单位在职职工人数的比例不低于 25%（含 25%），并且安置的残疾人人数不少于 10 人（含 10 人）； </w:t>
      </w:r>
    </w:p>
    <w:p w14:paraId="5663B266">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（2）依法与安置的每位残疾人签订了一年以上（含一年）的劳动合同或服务协议； </w:t>
      </w:r>
    </w:p>
    <w:p w14:paraId="2F61C758">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（3）为安置的每位残疾人按月足额缴纳了基本养老保险、基本医疗保险、失业保险、工伤保险和生育保险等社会保险费； </w:t>
      </w:r>
    </w:p>
    <w:p w14:paraId="7A00ADA2">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（4）通过银行等金融机构向安置的每位残疾人，按月支付了不低于单位所在区县适用的经省级人民政府批准的月最低工资标准的工资； </w:t>
      </w:r>
    </w:p>
    <w:p w14:paraId="3BA5C277">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 xml:space="preserve">（5）提供本单位制造的货物、承担的工程或者服务（以下简称产品），或者提供其他残疾人福利性单位制造的货物（不包括使用非残疾人福利性单位注册商标的货物）。 </w:t>
      </w:r>
    </w:p>
    <w:p w14:paraId="1AB8D483">
      <w:pPr>
        <w:pStyle w:val="6"/>
        <w:spacing w:before="139" w:line="440" w:lineRule="exact"/>
        <w:ind w:left="0"/>
        <w:jc w:val="both"/>
        <w:rPr>
          <w:rFonts w:cs="宋体"/>
          <w:sz w:val="21"/>
          <w:szCs w:val="21"/>
          <w:lang w:eastAsia="zh-CN"/>
        </w:rPr>
      </w:pPr>
      <w:r>
        <w:rPr>
          <w:rFonts w:hint="eastAsia" w:cs="宋体"/>
          <w:sz w:val="21"/>
          <w:szCs w:val="21"/>
          <w:lang w:eastAsia="zh-CN"/>
        </w:rPr>
        <w:t>2. 中标人为残疾人福利性单位的，招标人或者其委托的采购代理机构应当随中标、成交结果同时公告其《残疾人福利性单位声明函》，接受社会监督。</w:t>
      </w:r>
    </w:p>
    <w:p w14:paraId="352693C4">
      <w:pPr>
        <w:pStyle w:val="6"/>
        <w:spacing w:before="139" w:line="440" w:lineRule="exact"/>
        <w:ind w:left="0"/>
        <w:jc w:val="both"/>
        <w:rPr>
          <w:rFonts w:hint="eastAsia" w:cs="宋体"/>
          <w:b/>
          <w:bCs/>
          <w:sz w:val="21"/>
          <w:szCs w:val="21"/>
          <w:lang w:eastAsia="zh-CN"/>
        </w:rPr>
      </w:pPr>
      <w:r>
        <w:rPr>
          <w:rFonts w:hint="eastAsia" w:cs="宋体"/>
          <w:b/>
          <w:bCs/>
          <w:sz w:val="21"/>
          <w:szCs w:val="21"/>
          <w:lang w:val="en-US" w:eastAsia="zh-CN"/>
        </w:rPr>
        <w:t>（提醒：如果响应单位不是残疾人福利性单位，则不需要提供《残疾人福利性单位声明函》。否则，因此导致虚假响应的后果由响应单位自行承担。）</w:t>
      </w:r>
    </w:p>
    <w:p w14:paraId="7CE2739A">
      <w:pPr>
        <w:pStyle w:val="19"/>
        <w:ind w:firstLine="0" w:firstLineChars="0"/>
        <w:jc w:val="center"/>
        <w:outlineLvl w:val="2"/>
        <w:rPr>
          <w:rFonts w:ascii="宋体" w:hAnsi="宋体" w:cs="宋体"/>
          <w:sz w:val="24"/>
          <w:szCs w:val="24"/>
        </w:rPr>
      </w:pPr>
      <w:r>
        <w:rPr>
          <w:rFonts w:hint="eastAsia" w:cs="宋体"/>
          <w:szCs w:val="21"/>
        </w:rPr>
        <w:br w:type="page"/>
      </w:r>
      <w:bookmarkStart w:id="154" w:name="_Toc13078"/>
      <w:bookmarkStart w:id="155" w:name="_Toc13543"/>
      <w:bookmarkStart w:id="156" w:name="_Toc6038"/>
      <w:r>
        <w:rPr>
          <w:rFonts w:hint="eastAsia" w:ascii="Calibri" w:hAnsi="Calibri" w:cs="黑体"/>
          <w:b/>
          <w:kern w:val="0"/>
          <w:sz w:val="28"/>
          <w:szCs w:val="22"/>
        </w:rPr>
        <w:t>1</w:t>
      </w:r>
      <w:r>
        <w:rPr>
          <w:rFonts w:hint="eastAsia" w:ascii="Calibri" w:hAnsi="Calibri" w:cs="黑体"/>
          <w:b/>
          <w:kern w:val="0"/>
          <w:sz w:val="28"/>
          <w:szCs w:val="22"/>
          <w:lang w:val="en-US" w:eastAsia="zh-CN"/>
        </w:rPr>
        <w:t>2</w:t>
      </w:r>
      <w:r>
        <w:rPr>
          <w:rFonts w:hint="eastAsia" w:ascii="Calibri" w:hAnsi="Calibri" w:cs="黑体"/>
          <w:b/>
          <w:kern w:val="0"/>
          <w:sz w:val="28"/>
          <w:szCs w:val="22"/>
        </w:rPr>
        <w:t>.监狱企业证明材料（如有）</w:t>
      </w:r>
      <w:bookmarkEnd w:id="154"/>
      <w:bookmarkEnd w:id="155"/>
      <w:bookmarkEnd w:id="156"/>
    </w:p>
    <w:p w14:paraId="4176A82E">
      <w:pPr>
        <w:autoSpaceDE w:val="0"/>
        <w:autoSpaceDN w:val="0"/>
        <w:adjustRightInd w:val="0"/>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监狱企业参加政府采购活动时，应当提供由省级以上监狱管理局、戒毒管理局（含新疆生产建 设兵团）出具的属于监狱企业的证明文件。</w:t>
      </w:r>
    </w:p>
    <w:p w14:paraId="587AF1CB">
      <w:pPr>
        <w:autoSpaceDE w:val="0"/>
        <w:autoSpaceDN w:val="0"/>
        <w:adjustRightInd w:val="0"/>
        <w:spacing w:line="440" w:lineRule="exact"/>
        <w:ind w:firstLine="420" w:firstLineChars="200"/>
        <w:rPr>
          <w:rFonts w:hint="eastAsia" w:ascii="宋体" w:hAnsi="宋体" w:cs="宋体"/>
          <w:sz w:val="21"/>
          <w:szCs w:val="21"/>
          <w:lang w:val="en-US" w:eastAsia="zh-CN"/>
        </w:rPr>
      </w:pPr>
    </w:p>
    <w:p w14:paraId="1D9CA74C">
      <w:pPr>
        <w:autoSpaceDE w:val="0"/>
        <w:autoSpaceDN w:val="0"/>
        <w:adjustRightInd w:val="0"/>
        <w:spacing w:line="440" w:lineRule="exact"/>
        <w:ind w:firstLine="420" w:firstLineChars="200"/>
        <w:rPr>
          <w:rFonts w:hint="eastAsia" w:ascii="宋体" w:hAnsi="宋体" w:cs="宋体"/>
          <w:sz w:val="21"/>
          <w:szCs w:val="21"/>
          <w:lang w:val="en-US" w:eastAsia="zh-CN"/>
        </w:rPr>
      </w:pPr>
    </w:p>
    <w:p w14:paraId="0CC31F17">
      <w:pPr>
        <w:autoSpaceDE w:val="0"/>
        <w:autoSpaceDN w:val="0"/>
        <w:adjustRightInd w:val="0"/>
        <w:spacing w:line="440" w:lineRule="exact"/>
        <w:ind w:firstLine="420" w:firstLineChars="200"/>
        <w:rPr>
          <w:rFonts w:hint="eastAsia" w:ascii="宋体" w:hAnsi="宋体" w:cs="宋体"/>
          <w:sz w:val="21"/>
          <w:szCs w:val="21"/>
          <w:lang w:val="en-US" w:eastAsia="zh-CN"/>
        </w:rPr>
      </w:pPr>
    </w:p>
    <w:p w14:paraId="0AA29353">
      <w:pPr>
        <w:autoSpaceDE w:val="0"/>
        <w:autoSpaceDN w:val="0"/>
        <w:adjustRightInd w:val="0"/>
        <w:spacing w:line="440" w:lineRule="exact"/>
        <w:ind w:firstLine="420" w:firstLineChars="200"/>
        <w:rPr>
          <w:rFonts w:hint="eastAsia" w:ascii="宋体" w:hAnsi="宋体" w:cs="宋体"/>
          <w:sz w:val="21"/>
          <w:szCs w:val="21"/>
          <w:lang w:val="en-US" w:eastAsia="zh-CN"/>
        </w:rPr>
      </w:pPr>
    </w:p>
    <w:p w14:paraId="0BDAAD28">
      <w:pPr>
        <w:autoSpaceDE w:val="0"/>
        <w:autoSpaceDN w:val="0"/>
        <w:adjustRightInd w:val="0"/>
        <w:spacing w:line="440" w:lineRule="exact"/>
        <w:ind w:firstLine="420" w:firstLineChars="200"/>
        <w:rPr>
          <w:rFonts w:hint="eastAsia" w:ascii="宋体" w:hAnsi="宋体" w:cs="宋体"/>
          <w:sz w:val="21"/>
          <w:szCs w:val="21"/>
          <w:lang w:val="en-US" w:eastAsia="zh-CN"/>
        </w:rPr>
      </w:pPr>
    </w:p>
    <w:p w14:paraId="67D30F2F">
      <w:pPr>
        <w:autoSpaceDE w:val="0"/>
        <w:autoSpaceDN w:val="0"/>
        <w:adjustRightInd w:val="0"/>
        <w:spacing w:line="440" w:lineRule="exact"/>
        <w:ind w:firstLine="422" w:firstLineChars="200"/>
        <w:rPr>
          <w:rFonts w:hint="eastAsia" w:ascii="宋体" w:hAnsi="宋体" w:cs="宋体"/>
          <w:b/>
          <w:bCs/>
          <w:sz w:val="21"/>
          <w:szCs w:val="21"/>
          <w:lang w:eastAsia="zh-CN"/>
        </w:rPr>
      </w:pPr>
      <w:r>
        <w:rPr>
          <w:rFonts w:hint="eastAsia" w:ascii="宋体" w:hAnsi="宋体" w:cs="宋体"/>
          <w:b/>
          <w:bCs/>
          <w:sz w:val="21"/>
          <w:szCs w:val="21"/>
          <w:lang w:val="en-US" w:eastAsia="zh-CN"/>
        </w:rPr>
        <w:t>（提醒：如果响应单位不是监狱企业，则不需要提供监狱企业证明材料）</w:t>
      </w:r>
    </w:p>
    <w:p w14:paraId="4FCEB5D8">
      <w:pPr>
        <w:rPr>
          <w:rFonts w:hint="default" w:eastAsia="宋体"/>
          <w:lang w:val="en-US" w:eastAsia="zh-CN"/>
        </w:rPr>
      </w:pPr>
      <w:r>
        <w:rPr>
          <w:rFonts w:hint="eastAsia"/>
          <w:lang w:val="en-US" w:eastAsia="zh-CN"/>
        </w:rPr>
        <w:t xml:space="preserve"> </w:t>
      </w:r>
      <w:r>
        <w:rPr>
          <w:rFonts w:hint="eastAsia"/>
          <w:lang w:val="en-US" w:eastAsia="zh-CN"/>
        </w:rPr>
        <w:tab/>
      </w:r>
    </w:p>
    <w:sectPr>
      <w:pgSz w:w="11906" w:h="16838"/>
      <w:pgMar w:top="1757" w:right="1531" w:bottom="1531" w:left="1531" w:header="1134" w:footer="107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C973">
    <w:pPr>
      <w:pStyle w:val="14"/>
      <w:framePr w:wrap="around" w:vAnchor="text" w:hAnchor="margin" w:xAlign="right" w:y="1"/>
      <w:rPr>
        <w:rStyle w:val="25"/>
      </w:rPr>
    </w:pPr>
    <w:r>
      <w:fldChar w:fldCharType="begin"/>
    </w:r>
    <w:r>
      <w:rPr>
        <w:rStyle w:val="25"/>
      </w:rPr>
      <w:instrText xml:space="preserve">PAGE  </w:instrText>
    </w:r>
    <w:r>
      <w:fldChar w:fldCharType="end"/>
    </w:r>
  </w:p>
  <w:p w14:paraId="05D54FC9">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7C3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7A28">
    <w:pPr>
      <w:pStyle w:val="14"/>
      <w:rPr>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B2AF">
    <w:pPr>
      <w:pStyle w:val="14"/>
    </w:pPr>
    <w:r>
      <w:rPr>
        <w:lang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8C43E6">
                          <w:pPr>
                            <w:pStyle w:val="1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06FcQBAACQ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Y06FcQBAACQAwAADgAAAAAAAAABACAAAAAeAQAAZHJzL2Uyb0RvYy54bWxQ&#10;SwUGAAAAAAYABgBZAQAAVAUAAAAA&#10;">
              <v:fill on="f" focussize="0,0"/>
              <v:stroke on="f"/>
              <v:imagedata o:title=""/>
              <o:lock v:ext="edit" aspectratio="f"/>
              <v:textbox inset="0mm,0mm,0mm,0mm" style="mso-fit-shape-to-text:t;">
                <w:txbxContent>
                  <w:p w14:paraId="698C43E6">
                    <w:pPr>
                      <w:pStyle w:val="1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8DE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41ACA"/>
    <w:multiLevelType w:val="multilevel"/>
    <w:tmpl w:val="06E41ACA"/>
    <w:lvl w:ilvl="0" w:tentative="0">
      <w:start w:val="1"/>
      <w:numFmt w:val="decimal"/>
      <w:lvlText w:val="3.%1"/>
      <w:lvlJc w:val="left"/>
      <w:pPr>
        <w:ind w:left="630" w:hanging="420"/>
      </w:pPr>
      <w:rPr>
        <w:rFonts w:hint="default"/>
        <w:b/>
        <w:sz w:val="21"/>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10AE1C24"/>
    <w:multiLevelType w:val="multilevel"/>
    <w:tmpl w:val="10AE1C24"/>
    <w:lvl w:ilvl="0" w:tentative="0">
      <w:start w:val="1"/>
      <w:numFmt w:val="decimal"/>
      <w:lvlText w:val="1.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3223F64"/>
    <w:multiLevelType w:val="multilevel"/>
    <w:tmpl w:val="13223F64"/>
    <w:lvl w:ilvl="0" w:tentative="0">
      <w:start w:val="1"/>
      <w:numFmt w:val="decimal"/>
      <w:lvlText w:val="5.%1"/>
      <w:lvlJc w:val="left"/>
      <w:pPr>
        <w:ind w:left="5464"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CB4DB3"/>
    <w:multiLevelType w:val="multilevel"/>
    <w:tmpl w:val="23CB4DB3"/>
    <w:lvl w:ilvl="0" w:tentative="0">
      <w:start w:val="1"/>
      <w:numFmt w:val="decimal"/>
      <w:lvlText w:val="3.1.%1"/>
      <w:lvlJc w:val="left"/>
      <w:pPr>
        <w:ind w:left="630" w:hanging="420"/>
      </w:pPr>
      <w:rPr>
        <w:rFonts w:hint="default"/>
        <w:sz w:val="21"/>
      </w:rPr>
    </w:lvl>
    <w:lvl w:ilvl="1" w:tentative="0">
      <w:start w:val="1"/>
      <w:numFmt w:val="decimal"/>
      <w:lvlText w:val="3.1.%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489ED"/>
    <w:multiLevelType w:val="singleLevel"/>
    <w:tmpl w:val="43F489ED"/>
    <w:lvl w:ilvl="0" w:tentative="0">
      <w:start w:val="1"/>
      <w:numFmt w:val="chineseCounting"/>
      <w:suff w:val="nothing"/>
      <w:lvlText w:val="%1、"/>
      <w:lvlJc w:val="left"/>
      <w:rPr>
        <w:rFonts w:hint="eastAsia"/>
      </w:rPr>
    </w:lvl>
  </w:abstractNum>
  <w:abstractNum w:abstractNumId="5">
    <w:nsid w:val="44151D28"/>
    <w:multiLevelType w:val="multilevel"/>
    <w:tmpl w:val="44151D28"/>
    <w:lvl w:ilvl="0" w:tentative="0">
      <w:start w:val="1"/>
      <w:numFmt w:val="decimal"/>
      <w:lvlText w:val="1.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F9B394B"/>
    <w:multiLevelType w:val="multilevel"/>
    <w:tmpl w:val="4F9B394B"/>
    <w:lvl w:ilvl="0" w:tentative="0">
      <w:start w:val="1"/>
      <w:numFmt w:val="decimal"/>
      <w:lvlText w:val="3.7.%1"/>
      <w:lvlJc w:val="left"/>
      <w:pPr>
        <w:ind w:left="33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22E7A1"/>
    <w:multiLevelType w:val="singleLevel"/>
    <w:tmpl w:val="5222E7A1"/>
    <w:lvl w:ilvl="0" w:tentative="0">
      <w:start w:val="1"/>
      <w:numFmt w:val="decimal"/>
      <w:suff w:val="nothing"/>
      <w:lvlText w:val="%1、"/>
      <w:lvlJc w:val="left"/>
    </w:lvl>
  </w:abstractNum>
  <w:abstractNum w:abstractNumId="8">
    <w:nsid w:val="56EF663D"/>
    <w:multiLevelType w:val="multilevel"/>
    <w:tmpl w:val="56EF663D"/>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728504A"/>
    <w:multiLevelType w:val="multilevel"/>
    <w:tmpl w:val="5728504A"/>
    <w:lvl w:ilvl="0" w:tentative="0">
      <w:start w:val="1"/>
      <w:numFmt w:val="decimal"/>
      <w:lvlText w:val="1.%1"/>
      <w:lvlJc w:val="left"/>
      <w:pPr>
        <w:ind w:left="840" w:hanging="420"/>
      </w:pPr>
      <w:rPr>
        <w:rFonts w:hint="eastAsia" w:ascii="宋体" w:hAnsi="宋体" w:eastAsia="宋体"/>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29376B"/>
    <w:multiLevelType w:val="multilevel"/>
    <w:tmpl w:val="5929376B"/>
    <w:lvl w:ilvl="0" w:tentative="0">
      <w:start w:val="1"/>
      <w:numFmt w:val="decimal"/>
      <w:lvlText w:val="4.%1"/>
      <w:lvlJc w:val="left"/>
      <w:pPr>
        <w:ind w:left="4202"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736CA0"/>
    <w:multiLevelType w:val="multilevel"/>
    <w:tmpl w:val="64736CA0"/>
    <w:lvl w:ilvl="0" w:tentative="0">
      <w:start w:val="1"/>
      <w:numFmt w:val="decimal"/>
      <w:lvlText w:val="2.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4B23CC4"/>
    <w:multiLevelType w:val="multilevel"/>
    <w:tmpl w:val="64B23CC4"/>
    <w:lvl w:ilvl="0" w:tentative="0">
      <w:start w:val="1"/>
      <w:numFmt w:val="decimal"/>
      <w:lvlText w:val="3.2.%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50A73EB"/>
    <w:multiLevelType w:val="multilevel"/>
    <w:tmpl w:val="650A73EB"/>
    <w:lvl w:ilvl="0" w:tentative="0">
      <w:start w:val="1"/>
      <w:numFmt w:val="decimal"/>
      <w:lvlText w:val="3.3.%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DE556F"/>
    <w:multiLevelType w:val="multilevel"/>
    <w:tmpl w:val="68DE556F"/>
    <w:lvl w:ilvl="0" w:tentative="0">
      <w:start w:val="1"/>
      <w:numFmt w:val="decimal"/>
      <w:lvlText w:val="3.5.%1"/>
      <w:lvlJc w:val="left"/>
      <w:pPr>
        <w:ind w:left="25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D97781C"/>
    <w:multiLevelType w:val="multilevel"/>
    <w:tmpl w:val="6D97781C"/>
    <w:lvl w:ilvl="0" w:tentative="0">
      <w:start w:val="1"/>
      <w:numFmt w:val="chineseCountingThousand"/>
      <w:lvlText w:val="第%1章"/>
      <w:lvlJc w:val="left"/>
      <w:pPr>
        <w:ind w:left="3681" w:hanging="420"/>
      </w:pPr>
      <w:rPr>
        <w:rFonts w:hint="eastAsia"/>
        <w:b/>
        <w:i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547191"/>
    <w:multiLevelType w:val="multilevel"/>
    <w:tmpl w:val="78547191"/>
    <w:lvl w:ilvl="0" w:tentative="0">
      <w:start w:val="1"/>
      <w:numFmt w:val="decimal"/>
      <w:lvlText w:val="2.%1"/>
      <w:lvlJc w:val="left"/>
      <w:pPr>
        <w:ind w:left="842" w:hanging="420"/>
      </w:pPr>
      <w:rPr>
        <w:rFonts w:hint="eastAsia"/>
        <w:b/>
        <w:i w:val="0"/>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7">
    <w:nsid w:val="7B2225F6"/>
    <w:multiLevelType w:val="multilevel"/>
    <w:tmpl w:val="7B2225F6"/>
    <w:lvl w:ilvl="0" w:tentative="0">
      <w:start w:val="1"/>
      <w:numFmt w:val="decimal"/>
      <w:lvlText w:val="3.4.%1"/>
      <w:lvlJc w:val="left"/>
      <w:pPr>
        <w:ind w:left="21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F02E65D"/>
    <w:multiLevelType w:val="singleLevel"/>
    <w:tmpl w:val="7F02E65D"/>
    <w:lvl w:ilvl="0" w:tentative="0">
      <w:start w:val="7"/>
      <w:numFmt w:val="chineseCounting"/>
      <w:suff w:val="nothing"/>
      <w:lvlText w:val="%1、"/>
      <w:lvlJc w:val="left"/>
      <w:rPr>
        <w:rFonts w:hint="eastAsia"/>
      </w:rPr>
    </w:lvl>
  </w:abstractNum>
  <w:num w:numId="1">
    <w:abstractNumId w:val="15"/>
  </w:num>
  <w:num w:numId="2">
    <w:abstractNumId w:val="18"/>
  </w:num>
  <w:num w:numId="3">
    <w:abstractNumId w:val="9"/>
  </w:num>
  <w:num w:numId="4">
    <w:abstractNumId w:val="5"/>
  </w:num>
  <w:num w:numId="5">
    <w:abstractNumId w:val="1"/>
  </w:num>
  <w:num w:numId="6">
    <w:abstractNumId w:val="8"/>
  </w:num>
  <w:num w:numId="7">
    <w:abstractNumId w:val="16"/>
  </w:num>
  <w:num w:numId="8">
    <w:abstractNumId w:val="11"/>
  </w:num>
  <w:num w:numId="9">
    <w:abstractNumId w:val="0"/>
  </w:num>
  <w:num w:numId="10">
    <w:abstractNumId w:val="3"/>
  </w:num>
  <w:num w:numId="11">
    <w:abstractNumId w:val="12"/>
  </w:num>
  <w:num w:numId="12">
    <w:abstractNumId w:val="13"/>
  </w:num>
  <w:num w:numId="13">
    <w:abstractNumId w:val="17"/>
  </w:num>
  <w:num w:numId="14">
    <w:abstractNumId w:val="14"/>
  </w:num>
  <w:num w:numId="15">
    <w:abstractNumId w:val="6"/>
  </w:num>
  <w:num w:numId="16">
    <w:abstractNumId w:val="10"/>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mRmNDRlYTRiNGQxMWI0Yzg5ZWM5ZjlkOGFhYWQifQ=="/>
  </w:docVars>
  <w:rsids>
    <w:rsidRoot w:val="01917EC1"/>
    <w:rsid w:val="00305CE7"/>
    <w:rsid w:val="004C64B3"/>
    <w:rsid w:val="007E1C6A"/>
    <w:rsid w:val="00930024"/>
    <w:rsid w:val="00C91C98"/>
    <w:rsid w:val="00CD1788"/>
    <w:rsid w:val="00DA5C53"/>
    <w:rsid w:val="01143CDB"/>
    <w:rsid w:val="0127533C"/>
    <w:rsid w:val="012810B4"/>
    <w:rsid w:val="01284C10"/>
    <w:rsid w:val="01390BCC"/>
    <w:rsid w:val="01401F5A"/>
    <w:rsid w:val="016F0A91"/>
    <w:rsid w:val="01917EC1"/>
    <w:rsid w:val="01B841E6"/>
    <w:rsid w:val="01BE2FAC"/>
    <w:rsid w:val="01C012ED"/>
    <w:rsid w:val="01C34939"/>
    <w:rsid w:val="01FF0067"/>
    <w:rsid w:val="020E02AA"/>
    <w:rsid w:val="021D673F"/>
    <w:rsid w:val="023F66B6"/>
    <w:rsid w:val="02457EAE"/>
    <w:rsid w:val="0256755B"/>
    <w:rsid w:val="02587777"/>
    <w:rsid w:val="0261487E"/>
    <w:rsid w:val="02624152"/>
    <w:rsid w:val="026405EC"/>
    <w:rsid w:val="026E0D49"/>
    <w:rsid w:val="027520D7"/>
    <w:rsid w:val="0282552B"/>
    <w:rsid w:val="02994018"/>
    <w:rsid w:val="02B20C36"/>
    <w:rsid w:val="02DA1F3A"/>
    <w:rsid w:val="02E132C9"/>
    <w:rsid w:val="0317318F"/>
    <w:rsid w:val="031B2C7F"/>
    <w:rsid w:val="0334789D"/>
    <w:rsid w:val="03675EC4"/>
    <w:rsid w:val="03795448"/>
    <w:rsid w:val="03870314"/>
    <w:rsid w:val="038B1487"/>
    <w:rsid w:val="03A34136"/>
    <w:rsid w:val="03AE1640"/>
    <w:rsid w:val="041A2F36"/>
    <w:rsid w:val="0442248D"/>
    <w:rsid w:val="044E2BE0"/>
    <w:rsid w:val="04553F6E"/>
    <w:rsid w:val="045A1585"/>
    <w:rsid w:val="046248DD"/>
    <w:rsid w:val="04891E6A"/>
    <w:rsid w:val="04EB5F9C"/>
    <w:rsid w:val="04ED23F9"/>
    <w:rsid w:val="052B4CCF"/>
    <w:rsid w:val="057B412C"/>
    <w:rsid w:val="05962A91"/>
    <w:rsid w:val="05A21A1B"/>
    <w:rsid w:val="05B80C59"/>
    <w:rsid w:val="05BB6053"/>
    <w:rsid w:val="05C07B0D"/>
    <w:rsid w:val="061875A1"/>
    <w:rsid w:val="06456265"/>
    <w:rsid w:val="06587D46"/>
    <w:rsid w:val="066B5CCB"/>
    <w:rsid w:val="068723D9"/>
    <w:rsid w:val="06996389"/>
    <w:rsid w:val="06A91D04"/>
    <w:rsid w:val="06B213BA"/>
    <w:rsid w:val="06C74ECC"/>
    <w:rsid w:val="06C76C7A"/>
    <w:rsid w:val="06DD649D"/>
    <w:rsid w:val="06DF0467"/>
    <w:rsid w:val="06DF5D71"/>
    <w:rsid w:val="06E403AC"/>
    <w:rsid w:val="070677A2"/>
    <w:rsid w:val="07131EBF"/>
    <w:rsid w:val="071E42E2"/>
    <w:rsid w:val="07462294"/>
    <w:rsid w:val="07464042"/>
    <w:rsid w:val="075E66F6"/>
    <w:rsid w:val="07610E7C"/>
    <w:rsid w:val="076B5857"/>
    <w:rsid w:val="07852DBD"/>
    <w:rsid w:val="07886FC3"/>
    <w:rsid w:val="079B3C9E"/>
    <w:rsid w:val="07A1396F"/>
    <w:rsid w:val="07B70A9C"/>
    <w:rsid w:val="07D57174"/>
    <w:rsid w:val="07F7533D"/>
    <w:rsid w:val="08053EFD"/>
    <w:rsid w:val="081A334D"/>
    <w:rsid w:val="083C511A"/>
    <w:rsid w:val="084C38DA"/>
    <w:rsid w:val="085563EB"/>
    <w:rsid w:val="08766BA9"/>
    <w:rsid w:val="087B7D1C"/>
    <w:rsid w:val="088C017B"/>
    <w:rsid w:val="088D42FF"/>
    <w:rsid w:val="08A454C4"/>
    <w:rsid w:val="08C571E9"/>
    <w:rsid w:val="08D31906"/>
    <w:rsid w:val="08F16230"/>
    <w:rsid w:val="08F876DC"/>
    <w:rsid w:val="09104908"/>
    <w:rsid w:val="092959CA"/>
    <w:rsid w:val="095F3199"/>
    <w:rsid w:val="09AF4121"/>
    <w:rsid w:val="09B55EFA"/>
    <w:rsid w:val="09BC4A90"/>
    <w:rsid w:val="09EA33AB"/>
    <w:rsid w:val="09EE2A87"/>
    <w:rsid w:val="09F9539C"/>
    <w:rsid w:val="0A1A6167"/>
    <w:rsid w:val="0A5B6057"/>
    <w:rsid w:val="0A690774"/>
    <w:rsid w:val="0A892BC4"/>
    <w:rsid w:val="0AA3355A"/>
    <w:rsid w:val="0B64718D"/>
    <w:rsid w:val="0B776EC0"/>
    <w:rsid w:val="0B882E7B"/>
    <w:rsid w:val="0BB73F48"/>
    <w:rsid w:val="0BD53BE7"/>
    <w:rsid w:val="0C252478"/>
    <w:rsid w:val="0C57284E"/>
    <w:rsid w:val="0C767178"/>
    <w:rsid w:val="0C776A4C"/>
    <w:rsid w:val="0C871385"/>
    <w:rsid w:val="0C873133"/>
    <w:rsid w:val="0CFF0F1B"/>
    <w:rsid w:val="0D020A0B"/>
    <w:rsid w:val="0D022766"/>
    <w:rsid w:val="0D26294C"/>
    <w:rsid w:val="0D755681"/>
    <w:rsid w:val="0D91439A"/>
    <w:rsid w:val="0DA63A8D"/>
    <w:rsid w:val="0DAB10A3"/>
    <w:rsid w:val="0DB717F6"/>
    <w:rsid w:val="0DC67C8B"/>
    <w:rsid w:val="0DE14AC5"/>
    <w:rsid w:val="0E0D58BA"/>
    <w:rsid w:val="0E1F739B"/>
    <w:rsid w:val="0E853D73"/>
    <w:rsid w:val="0E927B6D"/>
    <w:rsid w:val="0EAF3BDB"/>
    <w:rsid w:val="0EB21FBD"/>
    <w:rsid w:val="0EDD6CA9"/>
    <w:rsid w:val="0EDE1004"/>
    <w:rsid w:val="0EF16F8A"/>
    <w:rsid w:val="0EFB3964"/>
    <w:rsid w:val="0F026AA1"/>
    <w:rsid w:val="0F1D38DB"/>
    <w:rsid w:val="0F3765E3"/>
    <w:rsid w:val="0F6B6D3C"/>
    <w:rsid w:val="0F7200CA"/>
    <w:rsid w:val="0F8467F5"/>
    <w:rsid w:val="0FCF6372"/>
    <w:rsid w:val="101A606C"/>
    <w:rsid w:val="10284C2D"/>
    <w:rsid w:val="104F3F68"/>
    <w:rsid w:val="10635C65"/>
    <w:rsid w:val="10651AC5"/>
    <w:rsid w:val="10797237"/>
    <w:rsid w:val="1085126F"/>
    <w:rsid w:val="1088747A"/>
    <w:rsid w:val="10A047C3"/>
    <w:rsid w:val="10A87B1C"/>
    <w:rsid w:val="10B7081C"/>
    <w:rsid w:val="10C04E65"/>
    <w:rsid w:val="110765F0"/>
    <w:rsid w:val="11082369"/>
    <w:rsid w:val="110E3E23"/>
    <w:rsid w:val="112B7251"/>
    <w:rsid w:val="11301FEB"/>
    <w:rsid w:val="113B0990"/>
    <w:rsid w:val="113D0264"/>
    <w:rsid w:val="114E06C3"/>
    <w:rsid w:val="116A0877"/>
    <w:rsid w:val="116C28F7"/>
    <w:rsid w:val="1182036D"/>
    <w:rsid w:val="11AE4CBE"/>
    <w:rsid w:val="11B71E1D"/>
    <w:rsid w:val="11C269BB"/>
    <w:rsid w:val="11C95F9C"/>
    <w:rsid w:val="12543AB7"/>
    <w:rsid w:val="12AC38F3"/>
    <w:rsid w:val="12C66037"/>
    <w:rsid w:val="12CD1ABC"/>
    <w:rsid w:val="12E56E05"/>
    <w:rsid w:val="12F26E2C"/>
    <w:rsid w:val="13144FF5"/>
    <w:rsid w:val="1319085D"/>
    <w:rsid w:val="132659E6"/>
    <w:rsid w:val="132C67E2"/>
    <w:rsid w:val="13623FB2"/>
    <w:rsid w:val="137F2DB6"/>
    <w:rsid w:val="13893C35"/>
    <w:rsid w:val="138F10FE"/>
    <w:rsid w:val="13CB7F89"/>
    <w:rsid w:val="144933C4"/>
    <w:rsid w:val="145853B5"/>
    <w:rsid w:val="14643D5A"/>
    <w:rsid w:val="146E4BD8"/>
    <w:rsid w:val="148461AA"/>
    <w:rsid w:val="14B720DC"/>
    <w:rsid w:val="14D64C58"/>
    <w:rsid w:val="1534372C"/>
    <w:rsid w:val="15451DDD"/>
    <w:rsid w:val="155838BF"/>
    <w:rsid w:val="156C736A"/>
    <w:rsid w:val="15712BD2"/>
    <w:rsid w:val="157C0F5E"/>
    <w:rsid w:val="158C1D8B"/>
    <w:rsid w:val="15A07014"/>
    <w:rsid w:val="15D66ED9"/>
    <w:rsid w:val="15D849FF"/>
    <w:rsid w:val="15DA0777"/>
    <w:rsid w:val="15E474E8"/>
    <w:rsid w:val="15EF58A5"/>
    <w:rsid w:val="15F335E7"/>
    <w:rsid w:val="1606331B"/>
    <w:rsid w:val="16290DB7"/>
    <w:rsid w:val="163559AE"/>
    <w:rsid w:val="163A25FE"/>
    <w:rsid w:val="166E7112"/>
    <w:rsid w:val="167F131F"/>
    <w:rsid w:val="169C5A2D"/>
    <w:rsid w:val="16B20DAC"/>
    <w:rsid w:val="16B25250"/>
    <w:rsid w:val="16D57191"/>
    <w:rsid w:val="16DE6045"/>
    <w:rsid w:val="16E32E82"/>
    <w:rsid w:val="16F13FCB"/>
    <w:rsid w:val="17013AE2"/>
    <w:rsid w:val="17125CEF"/>
    <w:rsid w:val="17253C74"/>
    <w:rsid w:val="172B6DB1"/>
    <w:rsid w:val="176127D3"/>
    <w:rsid w:val="179C380B"/>
    <w:rsid w:val="17A50911"/>
    <w:rsid w:val="17CF3BE0"/>
    <w:rsid w:val="17D42FA4"/>
    <w:rsid w:val="18115FA7"/>
    <w:rsid w:val="18504D21"/>
    <w:rsid w:val="185F6D12"/>
    <w:rsid w:val="188A0C8C"/>
    <w:rsid w:val="18A230A3"/>
    <w:rsid w:val="18E84F59"/>
    <w:rsid w:val="18FA2EDF"/>
    <w:rsid w:val="18FA6A3B"/>
    <w:rsid w:val="19033B41"/>
    <w:rsid w:val="190D49C0"/>
    <w:rsid w:val="19410B0E"/>
    <w:rsid w:val="19436634"/>
    <w:rsid w:val="19540841"/>
    <w:rsid w:val="19744A3F"/>
    <w:rsid w:val="19D63004"/>
    <w:rsid w:val="19E00326"/>
    <w:rsid w:val="1A02029D"/>
    <w:rsid w:val="1A09162B"/>
    <w:rsid w:val="1A0E09F0"/>
    <w:rsid w:val="1A8C5DB8"/>
    <w:rsid w:val="1AE6196C"/>
    <w:rsid w:val="1AF220BF"/>
    <w:rsid w:val="1B023FBB"/>
    <w:rsid w:val="1B1D5E2D"/>
    <w:rsid w:val="1B2129A5"/>
    <w:rsid w:val="1B7725C5"/>
    <w:rsid w:val="1B7F1479"/>
    <w:rsid w:val="1B972C67"/>
    <w:rsid w:val="1BAA0BEC"/>
    <w:rsid w:val="1BD21EF1"/>
    <w:rsid w:val="1BD712B5"/>
    <w:rsid w:val="1C231486"/>
    <w:rsid w:val="1C5D0C79"/>
    <w:rsid w:val="1C7865F4"/>
    <w:rsid w:val="1D886D0B"/>
    <w:rsid w:val="1DF60118"/>
    <w:rsid w:val="1E087E4C"/>
    <w:rsid w:val="1E28404A"/>
    <w:rsid w:val="1E401394"/>
    <w:rsid w:val="1E5E1DE5"/>
    <w:rsid w:val="1E74103D"/>
    <w:rsid w:val="1EAC6A29"/>
    <w:rsid w:val="1EB3600A"/>
    <w:rsid w:val="1EBC3110"/>
    <w:rsid w:val="1EE77A61"/>
    <w:rsid w:val="1F296FE2"/>
    <w:rsid w:val="1F4B6242"/>
    <w:rsid w:val="1F4D1FBA"/>
    <w:rsid w:val="1FA37E2C"/>
    <w:rsid w:val="1FCF6E73"/>
    <w:rsid w:val="1FE61B2A"/>
    <w:rsid w:val="1FEF6BCD"/>
    <w:rsid w:val="1FF64F53"/>
    <w:rsid w:val="203C3DDD"/>
    <w:rsid w:val="204131A1"/>
    <w:rsid w:val="205422BB"/>
    <w:rsid w:val="20AB2DB8"/>
    <w:rsid w:val="20B87907"/>
    <w:rsid w:val="20BB11A5"/>
    <w:rsid w:val="20DD55C0"/>
    <w:rsid w:val="20ED7386"/>
    <w:rsid w:val="20ED7F77"/>
    <w:rsid w:val="2107263D"/>
    <w:rsid w:val="21093CBF"/>
    <w:rsid w:val="215A451A"/>
    <w:rsid w:val="216D7901"/>
    <w:rsid w:val="21A729CA"/>
    <w:rsid w:val="22280ABD"/>
    <w:rsid w:val="224F429B"/>
    <w:rsid w:val="225B2C40"/>
    <w:rsid w:val="22BF0984"/>
    <w:rsid w:val="22CA08D8"/>
    <w:rsid w:val="23046E34"/>
    <w:rsid w:val="235776E4"/>
    <w:rsid w:val="2389558B"/>
    <w:rsid w:val="245B6F27"/>
    <w:rsid w:val="247022A7"/>
    <w:rsid w:val="249E0BC2"/>
    <w:rsid w:val="24C34ACD"/>
    <w:rsid w:val="24C35E51"/>
    <w:rsid w:val="24E76A0D"/>
    <w:rsid w:val="25284930"/>
    <w:rsid w:val="253634F0"/>
    <w:rsid w:val="25393B13"/>
    <w:rsid w:val="25494FD2"/>
    <w:rsid w:val="25565941"/>
    <w:rsid w:val="255B4D05"/>
    <w:rsid w:val="25832F05"/>
    <w:rsid w:val="25910AC7"/>
    <w:rsid w:val="259D531E"/>
    <w:rsid w:val="25BC1C48"/>
    <w:rsid w:val="25E371D4"/>
    <w:rsid w:val="25F3318F"/>
    <w:rsid w:val="26057015"/>
    <w:rsid w:val="26964247"/>
    <w:rsid w:val="26A00A38"/>
    <w:rsid w:val="26B7240F"/>
    <w:rsid w:val="26C012C4"/>
    <w:rsid w:val="26C0675A"/>
    <w:rsid w:val="26CD1C32"/>
    <w:rsid w:val="26E34FB2"/>
    <w:rsid w:val="27111B1F"/>
    <w:rsid w:val="273D4513"/>
    <w:rsid w:val="275368BE"/>
    <w:rsid w:val="279544FE"/>
    <w:rsid w:val="27A91D58"/>
    <w:rsid w:val="27BC5F2F"/>
    <w:rsid w:val="27BD1CA7"/>
    <w:rsid w:val="28041684"/>
    <w:rsid w:val="283D6944"/>
    <w:rsid w:val="285223EF"/>
    <w:rsid w:val="285C14C0"/>
    <w:rsid w:val="28812CD5"/>
    <w:rsid w:val="289C7B0E"/>
    <w:rsid w:val="28E374EB"/>
    <w:rsid w:val="2912392D"/>
    <w:rsid w:val="29475CCC"/>
    <w:rsid w:val="295977AD"/>
    <w:rsid w:val="29657F00"/>
    <w:rsid w:val="296A2B00"/>
    <w:rsid w:val="29CC7F7F"/>
    <w:rsid w:val="29D53767"/>
    <w:rsid w:val="2A110088"/>
    <w:rsid w:val="2A1A7C10"/>
    <w:rsid w:val="2A263B34"/>
    <w:rsid w:val="2A8645D2"/>
    <w:rsid w:val="2A8A2314"/>
    <w:rsid w:val="2AAB5DE7"/>
    <w:rsid w:val="2ABE5B1A"/>
    <w:rsid w:val="2ACB0237"/>
    <w:rsid w:val="2B0F45C8"/>
    <w:rsid w:val="2B141BDE"/>
    <w:rsid w:val="2B3B716B"/>
    <w:rsid w:val="2BA271EA"/>
    <w:rsid w:val="2BA47406"/>
    <w:rsid w:val="2BA967CA"/>
    <w:rsid w:val="2C1005F7"/>
    <w:rsid w:val="2C3342E6"/>
    <w:rsid w:val="2C3E306D"/>
    <w:rsid w:val="2C4E7372"/>
    <w:rsid w:val="2C5A5D16"/>
    <w:rsid w:val="2C764A42"/>
    <w:rsid w:val="2C840FE5"/>
    <w:rsid w:val="2C91021D"/>
    <w:rsid w:val="2CBE19F6"/>
    <w:rsid w:val="2CDE24A4"/>
    <w:rsid w:val="2CE915E7"/>
    <w:rsid w:val="2CF55A3F"/>
    <w:rsid w:val="2D177764"/>
    <w:rsid w:val="2D3E1194"/>
    <w:rsid w:val="2D4744ED"/>
    <w:rsid w:val="2D581F18"/>
    <w:rsid w:val="2D5D2D70"/>
    <w:rsid w:val="2D76092E"/>
    <w:rsid w:val="2D766B80"/>
    <w:rsid w:val="2DE04657"/>
    <w:rsid w:val="2DE51610"/>
    <w:rsid w:val="2DF16206"/>
    <w:rsid w:val="2E020414"/>
    <w:rsid w:val="2E0E500A"/>
    <w:rsid w:val="2E4C53AE"/>
    <w:rsid w:val="2E580034"/>
    <w:rsid w:val="2E980D78"/>
    <w:rsid w:val="2EE84803"/>
    <w:rsid w:val="2F215A85"/>
    <w:rsid w:val="2F452CAE"/>
    <w:rsid w:val="2F650C5A"/>
    <w:rsid w:val="2F932FDD"/>
    <w:rsid w:val="2FA23C5C"/>
    <w:rsid w:val="2FA379D4"/>
    <w:rsid w:val="2FB67708"/>
    <w:rsid w:val="2FDD4C94"/>
    <w:rsid w:val="2FE06C32"/>
    <w:rsid w:val="2FF63FA8"/>
    <w:rsid w:val="301901E7"/>
    <w:rsid w:val="30197C97"/>
    <w:rsid w:val="3062519A"/>
    <w:rsid w:val="3082583C"/>
    <w:rsid w:val="30894E1C"/>
    <w:rsid w:val="30B31E99"/>
    <w:rsid w:val="30D339B1"/>
    <w:rsid w:val="310E70CF"/>
    <w:rsid w:val="315E1E05"/>
    <w:rsid w:val="318F0210"/>
    <w:rsid w:val="31B61C41"/>
    <w:rsid w:val="31CF3643"/>
    <w:rsid w:val="31DB3455"/>
    <w:rsid w:val="31E3055C"/>
    <w:rsid w:val="31E47772"/>
    <w:rsid w:val="31F42769"/>
    <w:rsid w:val="32052280"/>
    <w:rsid w:val="32150ED6"/>
    <w:rsid w:val="32285F6F"/>
    <w:rsid w:val="323B4635"/>
    <w:rsid w:val="32427031"/>
    <w:rsid w:val="325154C6"/>
    <w:rsid w:val="32AB72CC"/>
    <w:rsid w:val="32AC6BA0"/>
    <w:rsid w:val="32DD31FD"/>
    <w:rsid w:val="33244988"/>
    <w:rsid w:val="332D5F33"/>
    <w:rsid w:val="33437504"/>
    <w:rsid w:val="335A65FC"/>
    <w:rsid w:val="336B6A5B"/>
    <w:rsid w:val="336E3E55"/>
    <w:rsid w:val="33D068BE"/>
    <w:rsid w:val="33FB1B8D"/>
    <w:rsid w:val="34580D8D"/>
    <w:rsid w:val="346911EC"/>
    <w:rsid w:val="34D60BDB"/>
    <w:rsid w:val="34FF38FF"/>
    <w:rsid w:val="3538471B"/>
    <w:rsid w:val="35487054"/>
    <w:rsid w:val="35AD6EB7"/>
    <w:rsid w:val="35BF6BEA"/>
    <w:rsid w:val="35D22DC1"/>
    <w:rsid w:val="36312AC1"/>
    <w:rsid w:val="365732C7"/>
    <w:rsid w:val="365D08DD"/>
    <w:rsid w:val="367125DA"/>
    <w:rsid w:val="368E5AD6"/>
    <w:rsid w:val="36D14E27"/>
    <w:rsid w:val="36EF34FF"/>
    <w:rsid w:val="36FA03E7"/>
    <w:rsid w:val="36FF1994"/>
    <w:rsid w:val="374C0952"/>
    <w:rsid w:val="3768578B"/>
    <w:rsid w:val="37737C8C"/>
    <w:rsid w:val="377F2AD5"/>
    <w:rsid w:val="37983B97"/>
    <w:rsid w:val="3808778B"/>
    <w:rsid w:val="381226F2"/>
    <w:rsid w:val="381B0A50"/>
    <w:rsid w:val="382F62A9"/>
    <w:rsid w:val="388163D9"/>
    <w:rsid w:val="38BF587F"/>
    <w:rsid w:val="38C05153"/>
    <w:rsid w:val="38C22C79"/>
    <w:rsid w:val="38DF4AC4"/>
    <w:rsid w:val="38E30E42"/>
    <w:rsid w:val="38E81ADE"/>
    <w:rsid w:val="38EA6674"/>
    <w:rsid w:val="38F82B3F"/>
    <w:rsid w:val="390C65EA"/>
    <w:rsid w:val="391334D5"/>
    <w:rsid w:val="392456E2"/>
    <w:rsid w:val="39512C8A"/>
    <w:rsid w:val="39537D75"/>
    <w:rsid w:val="39A71E6F"/>
    <w:rsid w:val="39AE440A"/>
    <w:rsid w:val="39B527DE"/>
    <w:rsid w:val="39B76556"/>
    <w:rsid w:val="39EB4452"/>
    <w:rsid w:val="3A03179B"/>
    <w:rsid w:val="3A125E82"/>
    <w:rsid w:val="3A2B3BE2"/>
    <w:rsid w:val="3A543304"/>
    <w:rsid w:val="3A692189"/>
    <w:rsid w:val="3A886145"/>
    <w:rsid w:val="3AB46F3A"/>
    <w:rsid w:val="3AB6680E"/>
    <w:rsid w:val="3AE72E6B"/>
    <w:rsid w:val="3B1B0D67"/>
    <w:rsid w:val="3B4262F3"/>
    <w:rsid w:val="3B4B164C"/>
    <w:rsid w:val="3B7A7E68"/>
    <w:rsid w:val="3BB16FD5"/>
    <w:rsid w:val="3BCE7B87"/>
    <w:rsid w:val="3BE473AB"/>
    <w:rsid w:val="3BF53366"/>
    <w:rsid w:val="3C300842"/>
    <w:rsid w:val="3C4B6615"/>
    <w:rsid w:val="3C7544A7"/>
    <w:rsid w:val="3C797AF3"/>
    <w:rsid w:val="3CA628B2"/>
    <w:rsid w:val="3CC01BC6"/>
    <w:rsid w:val="3CE04016"/>
    <w:rsid w:val="3CE31410"/>
    <w:rsid w:val="3D566086"/>
    <w:rsid w:val="3D954E00"/>
    <w:rsid w:val="3D98044D"/>
    <w:rsid w:val="3DBA6615"/>
    <w:rsid w:val="3DCE0312"/>
    <w:rsid w:val="3DD26E64"/>
    <w:rsid w:val="3DE10046"/>
    <w:rsid w:val="3DE713D4"/>
    <w:rsid w:val="3DE74F30"/>
    <w:rsid w:val="3E1A5306"/>
    <w:rsid w:val="3E4B1963"/>
    <w:rsid w:val="3E594080"/>
    <w:rsid w:val="3E772758"/>
    <w:rsid w:val="3E812D71"/>
    <w:rsid w:val="3E9E5F37"/>
    <w:rsid w:val="3EC62D97"/>
    <w:rsid w:val="3F367F1D"/>
    <w:rsid w:val="3F941513"/>
    <w:rsid w:val="40095632"/>
    <w:rsid w:val="400E2C48"/>
    <w:rsid w:val="4010076E"/>
    <w:rsid w:val="401D732F"/>
    <w:rsid w:val="402327A6"/>
    <w:rsid w:val="40363F4D"/>
    <w:rsid w:val="404E74E8"/>
    <w:rsid w:val="40A610D2"/>
    <w:rsid w:val="40EE65D6"/>
    <w:rsid w:val="411B561D"/>
    <w:rsid w:val="41250249"/>
    <w:rsid w:val="4157061F"/>
    <w:rsid w:val="41652D3C"/>
    <w:rsid w:val="41686388"/>
    <w:rsid w:val="41967399"/>
    <w:rsid w:val="41D67D00"/>
    <w:rsid w:val="41F83BB0"/>
    <w:rsid w:val="41F9622D"/>
    <w:rsid w:val="421B789E"/>
    <w:rsid w:val="42337B32"/>
    <w:rsid w:val="4250579A"/>
    <w:rsid w:val="42AE24C0"/>
    <w:rsid w:val="42BC2E2F"/>
    <w:rsid w:val="42C65A5C"/>
    <w:rsid w:val="42F37CD6"/>
    <w:rsid w:val="43036368"/>
    <w:rsid w:val="432B1D63"/>
    <w:rsid w:val="433230F1"/>
    <w:rsid w:val="436A4639"/>
    <w:rsid w:val="436F67A6"/>
    <w:rsid w:val="43A0005B"/>
    <w:rsid w:val="43B34232"/>
    <w:rsid w:val="43CF0940"/>
    <w:rsid w:val="43E837B0"/>
    <w:rsid w:val="43F81C45"/>
    <w:rsid w:val="44224F14"/>
    <w:rsid w:val="442347E8"/>
    <w:rsid w:val="4447497A"/>
    <w:rsid w:val="446217B4"/>
    <w:rsid w:val="446E0159"/>
    <w:rsid w:val="44705C7F"/>
    <w:rsid w:val="44881F65"/>
    <w:rsid w:val="449B0822"/>
    <w:rsid w:val="449D0A3E"/>
    <w:rsid w:val="449F6565"/>
    <w:rsid w:val="44AB315B"/>
    <w:rsid w:val="44AD0C81"/>
    <w:rsid w:val="44B51242"/>
    <w:rsid w:val="44DE67EC"/>
    <w:rsid w:val="44F00A81"/>
    <w:rsid w:val="44F3240C"/>
    <w:rsid w:val="44F462AF"/>
    <w:rsid w:val="45050ABD"/>
    <w:rsid w:val="452B429C"/>
    <w:rsid w:val="453F38A4"/>
    <w:rsid w:val="458F482B"/>
    <w:rsid w:val="45975A2A"/>
    <w:rsid w:val="45C168FC"/>
    <w:rsid w:val="45F20B68"/>
    <w:rsid w:val="460D5750"/>
    <w:rsid w:val="4632342F"/>
    <w:rsid w:val="46731A57"/>
    <w:rsid w:val="46AB7443"/>
    <w:rsid w:val="46F30DEA"/>
    <w:rsid w:val="47356D0C"/>
    <w:rsid w:val="47501D98"/>
    <w:rsid w:val="47571378"/>
    <w:rsid w:val="47A619B8"/>
    <w:rsid w:val="47C50090"/>
    <w:rsid w:val="47D6229D"/>
    <w:rsid w:val="481728B6"/>
    <w:rsid w:val="48254FD3"/>
    <w:rsid w:val="48384D06"/>
    <w:rsid w:val="4839282C"/>
    <w:rsid w:val="484511D1"/>
    <w:rsid w:val="484C255F"/>
    <w:rsid w:val="485B27A2"/>
    <w:rsid w:val="48651873"/>
    <w:rsid w:val="48657AC5"/>
    <w:rsid w:val="488B4266"/>
    <w:rsid w:val="489769AA"/>
    <w:rsid w:val="489932CB"/>
    <w:rsid w:val="48A028AB"/>
    <w:rsid w:val="48C12F4D"/>
    <w:rsid w:val="48C2522A"/>
    <w:rsid w:val="48C52312"/>
    <w:rsid w:val="48C7608A"/>
    <w:rsid w:val="48D10CB7"/>
    <w:rsid w:val="48E1539E"/>
    <w:rsid w:val="490E1F0B"/>
    <w:rsid w:val="49155047"/>
    <w:rsid w:val="49285D91"/>
    <w:rsid w:val="49374FBE"/>
    <w:rsid w:val="49553696"/>
    <w:rsid w:val="49584F34"/>
    <w:rsid w:val="495A0CAC"/>
    <w:rsid w:val="49627B61"/>
    <w:rsid w:val="497C6E74"/>
    <w:rsid w:val="49867CF3"/>
    <w:rsid w:val="49874630"/>
    <w:rsid w:val="49900B72"/>
    <w:rsid w:val="499C12C5"/>
    <w:rsid w:val="49D22F38"/>
    <w:rsid w:val="49D628B9"/>
    <w:rsid w:val="4A0B062E"/>
    <w:rsid w:val="4A227A1C"/>
    <w:rsid w:val="4A232DAD"/>
    <w:rsid w:val="4A6F0787"/>
    <w:rsid w:val="4A7D4C52"/>
    <w:rsid w:val="4B076C12"/>
    <w:rsid w:val="4B0E1D4E"/>
    <w:rsid w:val="4B257098"/>
    <w:rsid w:val="4B296B88"/>
    <w:rsid w:val="4B656FD6"/>
    <w:rsid w:val="4B7342A7"/>
    <w:rsid w:val="4B83273C"/>
    <w:rsid w:val="4BA27BB0"/>
    <w:rsid w:val="4C0F3FD0"/>
    <w:rsid w:val="4C2832E3"/>
    <w:rsid w:val="4C942727"/>
    <w:rsid w:val="4CAF57B3"/>
    <w:rsid w:val="4CD55219"/>
    <w:rsid w:val="4CEA2347"/>
    <w:rsid w:val="4CFD651E"/>
    <w:rsid w:val="4D0258E3"/>
    <w:rsid w:val="4D04165B"/>
    <w:rsid w:val="4D111FCA"/>
    <w:rsid w:val="4D9549A9"/>
    <w:rsid w:val="4DB50BA7"/>
    <w:rsid w:val="4DC1579E"/>
    <w:rsid w:val="4E165AE9"/>
    <w:rsid w:val="4E8C4141"/>
    <w:rsid w:val="4E8D38D2"/>
    <w:rsid w:val="4EA07161"/>
    <w:rsid w:val="4EAA4484"/>
    <w:rsid w:val="4EB1136E"/>
    <w:rsid w:val="4EB175C0"/>
    <w:rsid w:val="4F0911AA"/>
    <w:rsid w:val="4F0B0E0C"/>
    <w:rsid w:val="4F824AB9"/>
    <w:rsid w:val="4FC8656E"/>
    <w:rsid w:val="4FCA449A"/>
    <w:rsid w:val="4FD2087B"/>
    <w:rsid w:val="4FE81D73"/>
    <w:rsid w:val="50047BC4"/>
    <w:rsid w:val="503E30D6"/>
    <w:rsid w:val="504E6DC9"/>
    <w:rsid w:val="50526B81"/>
    <w:rsid w:val="50642410"/>
    <w:rsid w:val="508404F6"/>
    <w:rsid w:val="5099655E"/>
    <w:rsid w:val="50CC248F"/>
    <w:rsid w:val="50EF43D0"/>
    <w:rsid w:val="50FE4613"/>
    <w:rsid w:val="51254295"/>
    <w:rsid w:val="51927BCB"/>
    <w:rsid w:val="51A74CAA"/>
    <w:rsid w:val="51AE6039"/>
    <w:rsid w:val="51B82A14"/>
    <w:rsid w:val="51E11F6A"/>
    <w:rsid w:val="51F36142"/>
    <w:rsid w:val="52102850"/>
    <w:rsid w:val="52157E66"/>
    <w:rsid w:val="522956BF"/>
    <w:rsid w:val="522B768A"/>
    <w:rsid w:val="52354064"/>
    <w:rsid w:val="52477015"/>
    <w:rsid w:val="528C682F"/>
    <w:rsid w:val="52B50C70"/>
    <w:rsid w:val="52C61160"/>
    <w:rsid w:val="52CF270B"/>
    <w:rsid w:val="52EA12F3"/>
    <w:rsid w:val="52F12681"/>
    <w:rsid w:val="52F45CCD"/>
    <w:rsid w:val="53073C53"/>
    <w:rsid w:val="539A6875"/>
    <w:rsid w:val="53AC0356"/>
    <w:rsid w:val="53B37937"/>
    <w:rsid w:val="53C5766A"/>
    <w:rsid w:val="53D63625"/>
    <w:rsid w:val="54297BF9"/>
    <w:rsid w:val="545F7ABE"/>
    <w:rsid w:val="54715E8A"/>
    <w:rsid w:val="549332C4"/>
    <w:rsid w:val="54EF499E"/>
    <w:rsid w:val="55073D9F"/>
    <w:rsid w:val="552A59D6"/>
    <w:rsid w:val="55376345"/>
    <w:rsid w:val="5548408A"/>
    <w:rsid w:val="555D2250"/>
    <w:rsid w:val="5579070C"/>
    <w:rsid w:val="55912DE7"/>
    <w:rsid w:val="55B160F8"/>
    <w:rsid w:val="55B87486"/>
    <w:rsid w:val="55C776C9"/>
    <w:rsid w:val="55EF09CE"/>
    <w:rsid w:val="56186177"/>
    <w:rsid w:val="561B3F97"/>
    <w:rsid w:val="56312D95"/>
    <w:rsid w:val="564C5E20"/>
    <w:rsid w:val="566F703B"/>
    <w:rsid w:val="56A1616C"/>
    <w:rsid w:val="56A8574D"/>
    <w:rsid w:val="56EF2533"/>
    <w:rsid w:val="573945F7"/>
    <w:rsid w:val="57580F21"/>
    <w:rsid w:val="57951174"/>
    <w:rsid w:val="57B974E6"/>
    <w:rsid w:val="57D367F9"/>
    <w:rsid w:val="57F86260"/>
    <w:rsid w:val="58095D77"/>
    <w:rsid w:val="58136BF6"/>
    <w:rsid w:val="586B07E0"/>
    <w:rsid w:val="588B70D4"/>
    <w:rsid w:val="589715D5"/>
    <w:rsid w:val="58BE1257"/>
    <w:rsid w:val="58BF0B2C"/>
    <w:rsid w:val="58F22CAF"/>
    <w:rsid w:val="58F46A27"/>
    <w:rsid w:val="59284923"/>
    <w:rsid w:val="59423B94"/>
    <w:rsid w:val="59434156"/>
    <w:rsid w:val="594D6137"/>
    <w:rsid w:val="598C6ABF"/>
    <w:rsid w:val="59A26483"/>
    <w:rsid w:val="59B26E9A"/>
    <w:rsid w:val="59D800F7"/>
    <w:rsid w:val="59DB7BE7"/>
    <w:rsid w:val="59E051FD"/>
    <w:rsid w:val="59F111B9"/>
    <w:rsid w:val="59F34F31"/>
    <w:rsid w:val="5A0031AA"/>
    <w:rsid w:val="5A025174"/>
    <w:rsid w:val="5A252C10"/>
    <w:rsid w:val="5A366BCB"/>
    <w:rsid w:val="5A3B68D8"/>
    <w:rsid w:val="5A821E11"/>
    <w:rsid w:val="5A8E2EAB"/>
    <w:rsid w:val="5AC62645"/>
    <w:rsid w:val="5ADE798F"/>
    <w:rsid w:val="5ADF3707"/>
    <w:rsid w:val="5AFA409D"/>
    <w:rsid w:val="5B044F1C"/>
    <w:rsid w:val="5B4812AC"/>
    <w:rsid w:val="5B5D1BCF"/>
    <w:rsid w:val="5B6634E0"/>
    <w:rsid w:val="5BA5225B"/>
    <w:rsid w:val="5C0F1DCA"/>
    <w:rsid w:val="5C3929A3"/>
    <w:rsid w:val="5CBB2094"/>
    <w:rsid w:val="5CEB0141"/>
    <w:rsid w:val="5CEF592F"/>
    <w:rsid w:val="5D283143"/>
    <w:rsid w:val="5D2D075A"/>
    <w:rsid w:val="5D3F75D6"/>
    <w:rsid w:val="5D4B6E32"/>
    <w:rsid w:val="5D63417B"/>
    <w:rsid w:val="5D720862"/>
    <w:rsid w:val="5D9E3405"/>
    <w:rsid w:val="5DA408AE"/>
    <w:rsid w:val="5DDC5CDC"/>
    <w:rsid w:val="5E1E62F4"/>
    <w:rsid w:val="5E2356B9"/>
    <w:rsid w:val="5E2558D5"/>
    <w:rsid w:val="5E427BA8"/>
    <w:rsid w:val="5E897C12"/>
    <w:rsid w:val="5EB22613"/>
    <w:rsid w:val="5EB56C59"/>
    <w:rsid w:val="5EBB7FE7"/>
    <w:rsid w:val="5F4E2C09"/>
    <w:rsid w:val="5F5244A8"/>
    <w:rsid w:val="5F7F2DC3"/>
    <w:rsid w:val="5F8328B3"/>
    <w:rsid w:val="5FA97E40"/>
    <w:rsid w:val="5FCF5AF8"/>
    <w:rsid w:val="5FD4310E"/>
    <w:rsid w:val="602D6CC3"/>
    <w:rsid w:val="603C27C7"/>
    <w:rsid w:val="604069F6"/>
    <w:rsid w:val="60D13AF2"/>
    <w:rsid w:val="60D360C2"/>
    <w:rsid w:val="60D3786A"/>
    <w:rsid w:val="60EA0710"/>
    <w:rsid w:val="60F03F78"/>
    <w:rsid w:val="610121A5"/>
    <w:rsid w:val="61442516"/>
    <w:rsid w:val="614E6EF1"/>
    <w:rsid w:val="616C7377"/>
    <w:rsid w:val="61867112"/>
    <w:rsid w:val="618B5A4F"/>
    <w:rsid w:val="61B9080E"/>
    <w:rsid w:val="61C6117D"/>
    <w:rsid w:val="61C827FF"/>
    <w:rsid w:val="61F335F4"/>
    <w:rsid w:val="621243C2"/>
    <w:rsid w:val="6219729B"/>
    <w:rsid w:val="622D6B06"/>
    <w:rsid w:val="62456545"/>
    <w:rsid w:val="627E7362"/>
    <w:rsid w:val="62C0797A"/>
    <w:rsid w:val="62D376AD"/>
    <w:rsid w:val="62DD052C"/>
    <w:rsid w:val="62E278F0"/>
    <w:rsid w:val="631303F2"/>
    <w:rsid w:val="631B2E02"/>
    <w:rsid w:val="63690012"/>
    <w:rsid w:val="63856333"/>
    <w:rsid w:val="63954007"/>
    <w:rsid w:val="63CD67F3"/>
    <w:rsid w:val="63E87188"/>
    <w:rsid w:val="64061D04"/>
    <w:rsid w:val="64065B95"/>
    <w:rsid w:val="64300B2F"/>
    <w:rsid w:val="64340620"/>
    <w:rsid w:val="648570CD"/>
    <w:rsid w:val="64AC465A"/>
    <w:rsid w:val="64C179D9"/>
    <w:rsid w:val="64DF3DCF"/>
    <w:rsid w:val="64E76B24"/>
    <w:rsid w:val="655B1BDC"/>
    <w:rsid w:val="65622F6B"/>
    <w:rsid w:val="658C6239"/>
    <w:rsid w:val="65A2780B"/>
    <w:rsid w:val="65B732B6"/>
    <w:rsid w:val="65C871AA"/>
    <w:rsid w:val="65F91B21"/>
    <w:rsid w:val="65FE0EE5"/>
    <w:rsid w:val="65FE7137"/>
    <w:rsid w:val="661701F9"/>
    <w:rsid w:val="6623094C"/>
    <w:rsid w:val="66304E17"/>
    <w:rsid w:val="669453A6"/>
    <w:rsid w:val="66CA526B"/>
    <w:rsid w:val="66D61F5C"/>
    <w:rsid w:val="67566AFF"/>
    <w:rsid w:val="678D0FBE"/>
    <w:rsid w:val="67B6134C"/>
    <w:rsid w:val="68394457"/>
    <w:rsid w:val="685C1EF3"/>
    <w:rsid w:val="685E210F"/>
    <w:rsid w:val="68633281"/>
    <w:rsid w:val="688431F8"/>
    <w:rsid w:val="6885769C"/>
    <w:rsid w:val="68A95E93"/>
    <w:rsid w:val="68F6059A"/>
    <w:rsid w:val="69115B4B"/>
    <w:rsid w:val="69180510"/>
    <w:rsid w:val="692C3FBB"/>
    <w:rsid w:val="6962178B"/>
    <w:rsid w:val="69EB1780"/>
    <w:rsid w:val="69FA19C4"/>
    <w:rsid w:val="6A260A0B"/>
    <w:rsid w:val="6A3D1BFD"/>
    <w:rsid w:val="6A3D7B02"/>
    <w:rsid w:val="6A4E1D0F"/>
    <w:rsid w:val="6A7379C8"/>
    <w:rsid w:val="6A7A7D03"/>
    <w:rsid w:val="6A7D43A3"/>
    <w:rsid w:val="6A9B4D03"/>
    <w:rsid w:val="6ADE32E7"/>
    <w:rsid w:val="6AE52674"/>
    <w:rsid w:val="6AEA5EDC"/>
    <w:rsid w:val="6AFB1E97"/>
    <w:rsid w:val="6B2C2051"/>
    <w:rsid w:val="6B4212AA"/>
    <w:rsid w:val="6B453112"/>
    <w:rsid w:val="6B51279E"/>
    <w:rsid w:val="6B7B2FD8"/>
    <w:rsid w:val="6B87197D"/>
    <w:rsid w:val="6B9145AA"/>
    <w:rsid w:val="6BA047ED"/>
    <w:rsid w:val="6BA22313"/>
    <w:rsid w:val="6BA8544F"/>
    <w:rsid w:val="6BC009EB"/>
    <w:rsid w:val="6BCE4EB6"/>
    <w:rsid w:val="6BCF3E8A"/>
    <w:rsid w:val="6BE04BE9"/>
    <w:rsid w:val="6BF1329A"/>
    <w:rsid w:val="6C2C7E2E"/>
    <w:rsid w:val="6C494E84"/>
    <w:rsid w:val="6C5D26DE"/>
    <w:rsid w:val="6CC83FFB"/>
    <w:rsid w:val="6CEE3E0C"/>
    <w:rsid w:val="6D0D5EB2"/>
    <w:rsid w:val="6D7952F5"/>
    <w:rsid w:val="6DCA5B51"/>
    <w:rsid w:val="6DD54C21"/>
    <w:rsid w:val="6DEE7A91"/>
    <w:rsid w:val="6E005A16"/>
    <w:rsid w:val="6E056B89"/>
    <w:rsid w:val="6E2C7D92"/>
    <w:rsid w:val="6E46167B"/>
    <w:rsid w:val="6E794D98"/>
    <w:rsid w:val="6E7C509D"/>
    <w:rsid w:val="6E8624D4"/>
    <w:rsid w:val="6E8B3532"/>
    <w:rsid w:val="6E98170C"/>
    <w:rsid w:val="6E9C5633"/>
    <w:rsid w:val="6EC407F2"/>
    <w:rsid w:val="6EE70955"/>
    <w:rsid w:val="6F06705D"/>
    <w:rsid w:val="6F0C44A8"/>
    <w:rsid w:val="6F1A48B6"/>
    <w:rsid w:val="6F255735"/>
    <w:rsid w:val="6F2D283B"/>
    <w:rsid w:val="6F375468"/>
    <w:rsid w:val="6F392F8E"/>
    <w:rsid w:val="6F5E6337"/>
    <w:rsid w:val="6F610AF5"/>
    <w:rsid w:val="6F6F075E"/>
    <w:rsid w:val="6FAE17FA"/>
    <w:rsid w:val="6FDC1B6B"/>
    <w:rsid w:val="7012558D"/>
    <w:rsid w:val="704F233D"/>
    <w:rsid w:val="705A140E"/>
    <w:rsid w:val="705B0CE2"/>
    <w:rsid w:val="70781894"/>
    <w:rsid w:val="70910BA8"/>
    <w:rsid w:val="70AB3A18"/>
    <w:rsid w:val="7132487B"/>
    <w:rsid w:val="713C4FB8"/>
    <w:rsid w:val="7148395C"/>
    <w:rsid w:val="71500A63"/>
    <w:rsid w:val="71573B9F"/>
    <w:rsid w:val="71597917"/>
    <w:rsid w:val="716D5171"/>
    <w:rsid w:val="71866233"/>
    <w:rsid w:val="71AA20F6"/>
    <w:rsid w:val="71B66B18"/>
    <w:rsid w:val="71BB5EDC"/>
    <w:rsid w:val="71DB20DB"/>
    <w:rsid w:val="71DC40A5"/>
    <w:rsid w:val="71E116BB"/>
    <w:rsid w:val="721B697B"/>
    <w:rsid w:val="72323CC5"/>
    <w:rsid w:val="72680322"/>
    <w:rsid w:val="72A921D9"/>
    <w:rsid w:val="735A1725"/>
    <w:rsid w:val="735C549D"/>
    <w:rsid w:val="73797DFD"/>
    <w:rsid w:val="738D38A8"/>
    <w:rsid w:val="73A86934"/>
    <w:rsid w:val="73C746B0"/>
    <w:rsid w:val="74035919"/>
    <w:rsid w:val="748E5B2A"/>
    <w:rsid w:val="74C7103C"/>
    <w:rsid w:val="74CA6436"/>
    <w:rsid w:val="74E219D2"/>
    <w:rsid w:val="74FB2A94"/>
    <w:rsid w:val="75044F4B"/>
    <w:rsid w:val="75211EFB"/>
    <w:rsid w:val="754E52B9"/>
    <w:rsid w:val="755F74C6"/>
    <w:rsid w:val="756248C1"/>
    <w:rsid w:val="75665C63"/>
    <w:rsid w:val="758111EB"/>
    <w:rsid w:val="75826D11"/>
    <w:rsid w:val="75AB270C"/>
    <w:rsid w:val="75B77AAE"/>
    <w:rsid w:val="75CD4430"/>
    <w:rsid w:val="75CD61DE"/>
    <w:rsid w:val="75FE6CDF"/>
    <w:rsid w:val="760065B4"/>
    <w:rsid w:val="760140DA"/>
    <w:rsid w:val="762D4ECF"/>
    <w:rsid w:val="762E6DC2"/>
    <w:rsid w:val="764071C5"/>
    <w:rsid w:val="76522B87"/>
    <w:rsid w:val="76587CCB"/>
    <w:rsid w:val="769136B0"/>
    <w:rsid w:val="769907B6"/>
    <w:rsid w:val="76A21419"/>
    <w:rsid w:val="76C062E0"/>
    <w:rsid w:val="76C92E49"/>
    <w:rsid w:val="76F93003"/>
    <w:rsid w:val="771F6F0D"/>
    <w:rsid w:val="772C33D8"/>
    <w:rsid w:val="77905715"/>
    <w:rsid w:val="7798281C"/>
    <w:rsid w:val="77BA6C36"/>
    <w:rsid w:val="77D777E8"/>
    <w:rsid w:val="77D82B87"/>
    <w:rsid w:val="77E37F3B"/>
    <w:rsid w:val="77E66B14"/>
    <w:rsid w:val="77EF4B32"/>
    <w:rsid w:val="77FD696B"/>
    <w:rsid w:val="78014865"/>
    <w:rsid w:val="78267E28"/>
    <w:rsid w:val="7832196B"/>
    <w:rsid w:val="783469E8"/>
    <w:rsid w:val="78526E6F"/>
    <w:rsid w:val="785B5D23"/>
    <w:rsid w:val="7861548E"/>
    <w:rsid w:val="78691903"/>
    <w:rsid w:val="787B0F5A"/>
    <w:rsid w:val="78F148D9"/>
    <w:rsid w:val="78F7348E"/>
    <w:rsid w:val="78FB5758"/>
    <w:rsid w:val="79102167"/>
    <w:rsid w:val="79452EB8"/>
    <w:rsid w:val="7973709D"/>
    <w:rsid w:val="797846B3"/>
    <w:rsid w:val="79905EA0"/>
    <w:rsid w:val="79BA2F1D"/>
    <w:rsid w:val="79BE0C60"/>
    <w:rsid w:val="79C1605A"/>
    <w:rsid w:val="79D815F5"/>
    <w:rsid w:val="79DC7338"/>
    <w:rsid w:val="79E47F9A"/>
    <w:rsid w:val="79F554A9"/>
    <w:rsid w:val="79FF4DD4"/>
    <w:rsid w:val="7A2111EE"/>
    <w:rsid w:val="7A252A8D"/>
    <w:rsid w:val="7A2D09F1"/>
    <w:rsid w:val="7A995229"/>
    <w:rsid w:val="7AA03EC1"/>
    <w:rsid w:val="7AA67713"/>
    <w:rsid w:val="7AA8546C"/>
    <w:rsid w:val="7AAC0AB8"/>
    <w:rsid w:val="7AC12270"/>
    <w:rsid w:val="7B2558BF"/>
    <w:rsid w:val="7B2745E3"/>
    <w:rsid w:val="7B2965AD"/>
    <w:rsid w:val="7B2A6109"/>
    <w:rsid w:val="7B476A33"/>
    <w:rsid w:val="7B5353D8"/>
    <w:rsid w:val="7B5F5B2A"/>
    <w:rsid w:val="7B7610C6"/>
    <w:rsid w:val="7BB51BEE"/>
    <w:rsid w:val="7BC2255D"/>
    <w:rsid w:val="7BEB1AB4"/>
    <w:rsid w:val="7BEB3862"/>
    <w:rsid w:val="7BFC781D"/>
    <w:rsid w:val="7C2700CB"/>
    <w:rsid w:val="7C562FD2"/>
    <w:rsid w:val="7C8D4919"/>
    <w:rsid w:val="7C907F65"/>
    <w:rsid w:val="7CE309DD"/>
    <w:rsid w:val="7CEA7F63"/>
    <w:rsid w:val="7D037E15"/>
    <w:rsid w:val="7D472D1A"/>
    <w:rsid w:val="7D4F1BCF"/>
    <w:rsid w:val="7D8429BC"/>
    <w:rsid w:val="7D9F66B2"/>
    <w:rsid w:val="7DBD122E"/>
    <w:rsid w:val="7DCB56F9"/>
    <w:rsid w:val="7DE70FD1"/>
    <w:rsid w:val="7E254463"/>
    <w:rsid w:val="7E2748F9"/>
    <w:rsid w:val="7E565A36"/>
    <w:rsid w:val="7E6332C6"/>
    <w:rsid w:val="7E867872"/>
    <w:rsid w:val="7EB02B41"/>
    <w:rsid w:val="7ECB1729"/>
    <w:rsid w:val="7F041526"/>
    <w:rsid w:val="7F2C21C7"/>
    <w:rsid w:val="7F9E0BEB"/>
    <w:rsid w:val="7FB0082D"/>
    <w:rsid w:val="7FB64187"/>
    <w:rsid w:val="7FC21578"/>
    <w:rsid w:val="7FC70142"/>
    <w:rsid w:val="7FFF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黑体"/>
      <w:sz w:val="22"/>
      <w:szCs w:val="22"/>
      <w:lang w:val="en-US" w:eastAsia="en-US" w:bidi="ar-SA"/>
    </w:rPr>
  </w:style>
  <w:style w:type="paragraph" w:styleId="2">
    <w:name w:val="heading 1"/>
    <w:basedOn w:val="1"/>
    <w:next w:val="1"/>
    <w:qFormat/>
    <w:uiPriority w:val="0"/>
    <w:pPr>
      <w:ind w:left="2237"/>
      <w:outlineLvl w:val="0"/>
    </w:pPr>
    <w:rPr>
      <w:rFonts w:ascii="黑体" w:hAnsi="黑体" w:eastAsia="黑体" w:cs="Times New Roman"/>
      <w:sz w:val="72"/>
      <w:szCs w:val="72"/>
    </w:rPr>
  </w:style>
  <w:style w:type="paragraph" w:styleId="3">
    <w:name w:val="heading 2"/>
    <w:basedOn w:val="1"/>
    <w:next w:val="1"/>
    <w:qFormat/>
    <w:uiPriority w:val="0"/>
    <w:pPr>
      <w:outlineLvl w:val="1"/>
    </w:pPr>
    <w:rPr>
      <w:rFonts w:ascii="黑体" w:hAnsi="黑体" w:eastAsia="黑体" w:cs="Times New Roman"/>
      <w:sz w:val="44"/>
      <w:szCs w:val="44"/>
    </w:rPr>
  </w:style>
  <w:style w:type="paragraph" w:styleId="4">
    <w:name w:val="heading 3"/>
    <w:basedOn w:val="1"/>
    <w:next w:val="1"/>
    <w:qFormat/>
    <w:uiPriority w:val="0"/>
    <w:pPr>
      <w:outlineLvl w:val="2"/>
    </w:pPr>
    <w:rPr>
      <w:rFonts w:ascii="黑体" w:hAnsi="黑体" w:eastAsia="黑体" w:cs="Times New Roman"/>
      <w:sz w:val="30"/>
      <w:szCs w:val="30"/>
    </w:rPr>
  </w:style>
  <w:style w:type="paragraph" w:styleId="5">
    <w:name w:val="heading 4"/>
    <w:basedOn w:val="1"/>
    <w:next w:val="1"/>
    <w:autoRedefine/>
    <w:qFormat/>
    <w:uiPriority w:val="9"/>
    <w:pPr>
      <w:spacing w:before="29"/>
      <w:ind w:left="102"/>
      <w:outlineLvl w:val="3"/>
    </w:pPr>
    <w:rPr>
      <w:rFonts w:ascii="宋体" w:hAnsi="宋体" w:cs="Times New Roman"/>
      <w:sz w:val="24"/>
      <w:szCs w:val="24"/>
    </w:rPr>
  </w:style>
  <w:style w:type="character" w:default="1" w:styleId="23">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ind w:left="730"/>
    </w:pPr>
    <w:rPr>
      <w:rFonts w:ascii="宋体" w:hAnsi="宋体" w:cs="Times New Roman"/>
      <w:sz w:val="23"/>
      <w:szCs w:val="23"/>
    </w:rPr>
  </w:style>
  <w:style w:type="paragraph" w:customStyle="1" w:styleId="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
    <w:name w:val="Body Text Indent"/>
    <w:basedOn w:val="1"/>
    <w:next w:val="9"/>
    <w:autoRedefine/>
    <w:unhideWhenUsed/>
    <w:qFormat/>
    <w:uiPriority w:val="0"/>
    <w:pPr>
      <w:spacing w:line="360" w:lineRule="auto"/>
      <w:ind w:firstLine="353" w:firstLineChars="147"/>
    </w:pPr>
    <w:rPr>
      <w:rFonts w:ascii="宋体" w:hAnsi="宋体"/>
      <w:sz w:val="24"/>
    </w:rPr>
  </w:style>
  <w:style w:type="paragraph" w:styleId="9">
    <w:name w:val="envelope return"/>
    <w:basedOn w:val="1"/>
    <w:unhideWhenUsed/>
    <w:qFormat/>
    <w:uiPriority w:val="99"/>
    <w:rPr>
      <w:rFonts w:ascii="Arial" w:hAnsi="Arial"/>
    </w:rPr>
  </w:style>
  <w:style w:type="paragraph" w:styleId="10">
    <w:name w:val="List 2"/>
    <w:basedOn w:val="1"/>
    <w:autoRedefine/>
    <w:unhideWhenUsed/>
    <w:qFormat/>
    <w:uiPriority w:val="0"/>
    <w:pPr>
      <w:ind w:left="100" w:leftChars="200" w:hanging="200" w:hangingChars="200"/>
    </w:pPr>
  </w:style>
  <w:style w:type="paragraph" w:styleId="11">
    <w:name w:val="toc 3"/>
    <w:basedOn w:val="1"/>
    <w:next w:val="1"/>
    <w:autoRedefine/>
    <w:unhideWhenUsed/>
    <w:qFormat/>
    <w:uiPriority w:val="39"/>
    <w:pPr>
      <w:spacing w:line="440" w:lineRule="exact"/>
      <w:ind w:firstLine="525"/>
    </w:pPr>
    <w:rPr>
      <w:rFonts w:cs="Calibri"/>
      <w:iCs/>
      <w:sz w:val="20"/>
      <w:szCs w:val="20"/>
    </w:rPr>
  </w:style>
  <w:style w:type="paragraph" w:styleId="12">
    <w:name w:val="Plain Text"/>
    <w:basedOn w:val="1"/>
    <w:autoRedefine/>
    <w:qFormat/>
    <w:uiPriority w:val="99"/>
    <w:pPr>
      <w:jc w:val="both"/>
    </w:pPr>
    <w:rPr>
      <w:rFonts w:ascii="宋体" w:hAnsi="Courier New" w:cs="Times New Roman"/>
      <w:kern w:val="2"/>
      <w:sz w:val="21"/>
      <w:szCs w:val="20"/>
    </w:rPr>
  </w:style>
  <w:style w:type="paragraph" w:styleId="13">
    <w:name w:val="Date"/>
    <w:basedOn w:val="1"/>
    <w:next w:val="1"/>
    <w:qFormat/>
    <w:uiPriority w:val="0"/>
    <w:pPr>
      <w:ind w:left="100" w:leftChars="2500"/>
    </w:pPr>
    <w:rPr>
      <w:rFonts w:ascii="Calibri" w:hAnsi="Calibri" w:cs="Times New Roman"/>
    </w:rPr>
  </w:style>
  <w:style w:type="paragraph" w:styleId="14">
    <w:name w:val="footer"/>
    <w:basedOn w:val="1"/>
    <w:autoRedefine/>
    <w:unhideWhenUsed/>
    <w:qFormat/>
    <w:uiPriority w:val="99"/>
    <w:pPr>
      <w:tabs>
        <w:tab w:val="center" w:pos="4153"/>
        <w:tab w:val="right" w:pos="8306"/>
      </w:tabs>
      <w:snapToGrid w:val="0"/>
    </w:pPr>
    <w:rPr>
      <w:rFonts w:ascii="Times New Roman" w:hAnsi="Times New Roman" w:cs="Times New Roman"/>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6">
    <w:name w:val="toc 1"/>
    <w:basedOn w:val="1"/>
    <w:next w:val="1"/>
    <w:autoRedefine/>
    <w:qFormat/>
    <w:uiPriority w:val="39"/>
    <w:pPr>
      <w:spacing w:line="440" w:lineRule="exact"/>
    </w:pPr>
    <w:rPr>
      <w:rFonts w:cs="Calibri"/>
      <w:b/>
      <w:bCs/>
      <w:caps/>
      <w:sz w:val="20"/>
      <w:szCs w:val="20"/>
    </w:rPr>
  </w:style>
  <w:style w:type="paragraph" w:styleId="17">
    <w:name w:val="toc 2"/>
    <w:basedOn w:val="1"/>
    <w:next w:val="1"/>
    <w:autoRedefine/>
    <w:unhideWhenUsed/>
    <w:qFormat/>
    <w:uiPriority w:val="39"/>
    <w:pPr>
      <w:spacing w:line="440" w:lineRule="exact"/>
      <w:ind w:firstLine="300"/>
    </w:pPr>
    <w:rPr>
      <w:rFonts w:cs="Calibri"/>
      <w:smallCaps/>
      <w:sz w:val="20"/>
      <w:szCs w:val="20"/>
    </w:rPr>
  </w:style>
  <w:style w:type="paragraph" w:styleId="18">
    <w:name w:val="Normal (Web)"/>
    <w:basedOn w:val="1"/>
    <w:autoRedefine/>
    <w:unhideWhenUsed/>
    <w:qFormat/>
    <w:uiPriority w:val="0"/>
    <w:pPr>
      <w:widowControl/>
      <w:spacing w:before="100" w:beforeAutospacing="1" w:after="100" w:afterAutospacing="1"/>
    </w:pPr>
    <w:rPr>
      <w:rFonts w:ascii="宋体" w:hAnsi="宋体" w:cs="宋体"/>
      <w:sz w:val="24"/>
      <w:szCs w:val="24"/>
      <w:lang w:eastAsia="zh-CN"/>
    </w:rPr>
  </w:style>
  <w:style w:type="paragraph" w:styleId="19">
    <w:name w:val="Body Text First Indent"/>
    <w:basedOn w:val="6"/>
    <w:next w:val="20"/>
    <w:autoRedefine/>
    <w:qFormat/>
    <w:uiPriority w:val="0"/>
    <w:pPr>
      <w:spacing w:after="120"/>
      <w:ind w:left="0" w:firstLine="420" w:firstLineChars="100"/>
      <w:jc w:val="both"/>
    </w:pPr>
    <w:rPr>
      <w:rFonts w:ascii="Times New Roman" w:hAnsi="Times New Roman"/>
      <w:kern w:val="2"/>
      <w:sz w:val="21"/>
      <w:szCs w:val="20"/>
      <w:lang w:eastAsia="zh-CN"/>
    </w:rPr>
  </w:style>
  <w:style w:type="paragraph" w:styleId="20">
    <w:name w:val="Body Text First Indent 2"/>
    <w:basedOn w:val="8"/>
    <w:next w:val="1"/>
    <w:autoRedefine/>
    <w:unhideWhenUsed/>
    <w:qFormat/>
    <w:uiPriority w:val="0"/>
    <w:pPr>
      <w:spacing w:after="120" w:line="240" w:lineRule="auto"/>
      <w:ind w:left="420" w:leftChars="200" w:firstLine="420" w:firstLineChars="200"/>
    </w:pPr>
    <w:rPr>
      <w:rFonts w:ascii="Times New Roman" w:hAnsi="Times New Roman"/>
      <w:kern w:val="2"/>
      <w:sz w:val="21"/>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autoRedefine/>
    <w:qFormat/>
    <w:uiPriority w:val="0"/>
  </w:style>
  <w:style w:type="paragraph" w:customStyle="1" w:styleId="26">
    <w:name w:val="一级条标题"/>
    <w:basedOn w:val="27"/>
    <w:next w:val="28"/>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7">
    <w:name w:val="章标题"/>
    <w:basedOn w:val="1"/>
    <w:next w:val="1"/>
    <w:autoRedefine/>
    <w:qFormat/>
    <w:uiPriority w:val="0"/>
    <w:pPr>
      <w:widowControl/>
      <w:spacing w:before="158" w:after="153" w:line="1292" w:lineRule="atLeast"/>
      <w:jc w:val="center"/>
    </w:pPr>
    <w:rPr>
      <w:rFonts w:ascii="Arial" w:eastAsia="黑体"/>
      <w:sz w:val="31"/>
      <w:lang w:bidi="en-US"/>
    </w:rPr>
  </w:style>
  <w:style w:type="paragraph" w:customStyle="1" w:styleId="28">
    <w:name w:val="段"/>
    <w:basedOn w:val="1"/>
    <w:next w:val="1"/>
    <w:autoRedefine/>
    <w:qFormat/>
    <w:uiPriority w:val="0"/>
    <w:pPr>
      <w:widowControl/>
      <w:autoSpaceDE w:val="0"/>
      <w:autoSpaceDN w:val="0"/>
    </w:pPr>
    <w:rPr>
      <w:rFonts w:hint="eastAsia" w:ascii="宋体"/>
    </w:rPr>
  </w:style>
  <w:style w:type="paragraph" w:customStyle="1" w:styleId="29">
    <w:name w:val="Blockquote"/>
    <w:basedOn w:val="1"/>
    <w:next w:val="1"/>
    <w:autoRedefine/>
    <w:qFormat/>
    <w:uiPriority w:val="0"/>
    <w:pPr>
      <w:autoSpaceDE w:val="0"/>
      <w:autoSpaceDN w:val="0"/>
      <w:spacing w:before="100" w:after="100"/>
      <w:ind w:left="360" w:right="360"/>
      <w:jc w:val="both"/>
    </w:pPr>
    <w:rPr>
      <w:rFonts w:ascii="Times New Roman"/>
      <w:sz w:val="24"/>
    </w:rPr>
  </w:style>
  <w:style w:type="paragraph" w:customStyle="1" w:styleId="30">
    <w:name w:val="Char Char10 Char Char Char Char"/>
    <w:basedOn w:val="1"/>
    <w:next w:val="31"/>
    <w:qFormat/>
    <w:uiPriority w:val="0"/>
    <w:rPr>
      <w:rFonts w:ascii="Calibri" w:hAnsi="Calibri"/>
      <w:kern w:val="0"/>
    </w:rPr>
  </w:style>
  <w:style w:type="paragraph" w:customStyle="1" w:styleId="31">
    <w:name w:val="xl87"/>
    <w:basedOn w:val="1"/>
    <w:next w:val="32"/>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72"/>
    <w:basedOn w:val="1"/>
    <w:next w:val="1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table" w:customStyle="1" w:styleId="33">
    <w:name w:val="Table Normal"/>
    <w:autoRedefine/>
    <w:unhideWhenUsed/>
    <w:qFormat/>
    <w:uiPriority w:val="2"/>
    <w:tblPr>
      <w:tblCellMar>
        <w:top w:w="0" w:type="dxa"/>
        <w:left w:w="0" w:type="dxa"/>
        <w:bottom w:w="0" w:type="dxa"/>
        <w:right w:w="0" w:type="dxa"/>
      </w:tblCellMar>
    </w:tblPr>
  </w:style>
  <w:style w:type="character" w:customStyle="1" w:styleId="34">
    <w:name w:val="标题 2 Char"/>
    <w:autoRedefine/>
    <w:qFormat/>
    <w:uiPriority w:val="0"/>
    <w:rPr>
      <w:rFonts w:ascii="Arial" w:hAnsi="Arial" w:eastAsia="黑体"/>
      <w:b/>
      <w:kern w:val="2"/>
      <w:sz w:val="32"/>
      <w:lang w:val="en-US" w:eastAsia="zh-CN" w:bidi="ar-SA"/>
    </w:rPr>
  </w:style>
  <w:style w:type="paragraph" w:customStyle="1" w:styleId="35">
    <w:name w:val="Table Paragraph"/>
    <w:basedOn w:val="1"/>
    <w:autoRedefine/>
    <w:qFormat/>
    <w:uiPriority w:val="1"/>
  </w:style>
  <w:style w:type="paragraph" w:customStyle="1" w:styleId="36">
    <w:name w:val="无间隔1"/>
    <w:basedOn w:val="1"/>
    <w:qFormat/>
    <w:uiPriority w:val="1"/>
    <w:pPr>
      <w:spacing w:line="400" w:lineRule="exact"/>
    </w:pPr>
    <w:rPr>
      <w:sz w:val="24"/>
    </w:rPr>
  </w:style>
  <w:style w:type="paragraph" w:customStyle="1" w:styleId="37">
    <w:name w:val="Table Text"/>
    <w:basedOn w:val="1"/>
    <w:semiHidden/>
    <w:qFormat/>
    <w:uiPriority w:val="0"/>
    <w:rPr>
      <w:rFonts w:ascii="宋体" w:hAnsi="宋体" w:eastAsia="宋体" w:cs="宋体"/>
      <w:sz w:val="20"/>
      <w:szCs w:val="20"/>
      <w:lang w:eastAsia="en-US"/>
    </w:rPr>
  </w:style>
  <w:style w:type="paragraph" w:customStyle="1" w:styleId="38">
    <w:name w:val="Body Text First Indent1"/>
    <w:basedOn w:val="6"/>
    <w:qFormat/>
    <w:uiPriority w:val="0"/>
    <w:pPr>
      <w:ind w:firstLine="420" w:firstLineChars="100"/>
    </w:pPr>
  </w:style>
  <w:style w:type="paragraph" w:customStyle="1" w:styleId="39">
    <w:name w:val="纯文本1"/>
    <w:basedOn w:val="1"/>
    <w:qFormat/>
    <w:uiPriority w:val="0"/>
    <w:pPr>
      <w:adjustRightInd/>
    </w:pPr>
    <w:rPr>
      <w:rFonts w:ascii="宋体" w:hAnsi="Courier New"/>
      <w:kern w:val="0"/>
      <w:sz w:val="20"/>
      <w:szCs w:val="20"/>
    </w:rPr>
  </w:style>
  <w:style w:type="paragraph" w:customStyle="1" w:styleId="4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1">
    <w:name w:val="BodyText1I"/>
    <w:basedOn w:val="42"/>
    <w:qFormat/>
    <w:uiPriority w:val="99"/>
    <w:pPr>
      <w:ind w:firstLine="420" w:firstLineChars="100"/>
    </w:pPr>
  </w:style>
  <w:style w:type="paragraph" w:customStyle="1" w:styleId="42">
    <w:name w:val="BodyText"/>
    <w:basedOn w:val="1"/>
    <w:qFormat/>
    <w:uiPriority w:val="99"/>
    <w:pPr>
      <w:spacing w:after="120"/>
    </w:pPr>
  </w:style>
  <w:style w:type="paragraph" w:customStyle="1" w:styleId="43">
    <w:name w:val="正文1"/>
    <w:basedOn w:val="1"/>
    <w:qFormat/>
    <w:uiPriority w:val="0"/>
    <w:pPr>
      <w:widowControl/>
      <w:topLinePunct/>
      <w:spacing w:before="156" w:beforeLines="50" w:after="156" w:afterLines="50" w:line="300" w:lineRule="auto"/>
      <w:ind w:left="420"/>
    </w:pPr>
    <w:rPr>
      <w:szCs w:val="24"/>
    </w:rPr>
  </w:style>
  <w:style w:type="paragraph" w:customStyle="1" w:styleId="44">
    <w:name w:val="列出段落1"/>
    <w:basedOn w:val="1"/>
    <w:next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15271</Words>
  <Characters>16374</Characters>
  <Lines>0</Lines>
  <Paragraphs>0</Paragraphs>
  <TotalTime>19</TotalTime>
  <ScaleCrop>false</ScaleCrop>
  <LinksUpToDate>false</LinksUpToDate>
  <CharactersWithSpaces>17078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2024-03-12T00:48:00Z</dcterms:created>
  <dc:creator>河南顺驰</dc:creator>
  <cp:lastModifiedBy>WPS_1775703336</cp:lastModifiedBy>
  <cp:lastPrinted>2026-02-25T07:33:00Z</cp:lastPrinted>
  <dcterms:modified xsi:type="dcterms:W3CDTF">2026-04-24T08:39:58Z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ED126E5C741246C8B6C4EA7E3B10DE55_13</vt:lpwstr>
  </property>
  <property fmtid="{D5CDD505-2E9C-101B-9397-08002B2CF9AE}" pid="4" name="KSOTemplateDocerSaveRecord">
    <vt:lpwstr>eyJoZGlkIjoiZWI2N2U0MWIyZmUwYmI0ZTVhMGExYzFkNGFmOTQ3YTAiLCJ1c2VySWQiOiIxODIxMjUxNjcyIn0=</vt:lpwstr>
  </property>
</Properties>
</file>