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77E11AA4">
      <w:pPr>
        <w:pStyle w:val="10"/>
        <w:rPr>
          <w:rFonts w:ascii="宋体" w:hAnsi="宋体"/>
          <w:sz w:val="32"/>
          <w:highlight w:val="none"/>
        </w:rPr>
      </w:pPr>
    </w:p>
    <w:p w14:paraId="479DB073">
      <w:pPr>
        <w:pStyle w:val="38"/>
        <w:rPr>
          <w:rFonts w:ascii="宋体" w:hAnsi="宋体"/>
          <w:sz w:val="32"/>
          <w:highlight w:val="none"/>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eastAsia="zh-CN"/>
        </w:rPr>
        <w:t>郸城县公安局医疗服务采购项目</w:t>
      </w:r>
    </w:p>
    <w:p w14:paraId="6886C6F2">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val="en-US" w:eastAsia="zh-CN"/>
        </w:rPr>
        <w:t>郸财磋商采购-2026-20</w:t>
      </w:r>
    </w:p>
    <w:p w14:paraId="6F5A92F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2026年4月</w:t>
      </w:r>
    </w:p>
    <w:p w14:paraId="450A2A74">
      <w:pPr>
        <w:pStyle w:val="9"/>
        <w:jc w:val="center"/>
        <w:rPr>
          <w:rFonts w:ascii="宋体" w:hAnsi="宋体"/>
          <w:b/>
          <w:sz w:val="32"/>
          <w:highlight w:val="none"/>
        </w:rPr>
      </w:pPr>
    </w:p>
    <w:p w14:paraId="125C012F">
      <w:pPr>
        <w:rPr>
          <w:rFonts w:ascii="仿宋_GB2312" w:eastAsia="仿宋_GB2312"/>
          <w:b/>
          <w:sz w:val="30"/>
          <w:szCs w:val="30"/>
          <w:highlight w:val="none"/>
        </w:rPr>
        <w:sectPr>
          <w:headerReference r:id="rId3" w:type="default"/>
          <w:footerReference r:id="rId4"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1"/>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郸城县公安局医疗服务采购项目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05</w:t>
      </w:r>
      <w:r>
        <w:rPr>
          <w:rFonts w:hint="eastAsia" w:ascii="宋体" w:hAnsi="宋体" w:cs="宋体"/>
          <w:sz w:val="24"/>
          <w:highlight w:val="none"/>
        </w:rPr>
        <w:t>月</w:t>
      </w:r>
      <w:r>
        <w:rPr>
          <w:rFonts w:hint="eastAsia" w:ascii="宋体" w:hAnsi="宋体" w:cs="宋体"/>
          <w:sz w:val="24"/>
          <w:highlight w:val="none"/>
          <w:lang w:val="en-US" w:eastAsia="zh-CN"/>
        </w:rPr>
        <w:t>11</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5F4388FB">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郸财磋商采购-2026-20</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郸城县公安局医疗服务采购项目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1500000.00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1500000.00</w:t>
      </w:r>
      <w:r>
        <w:rPr>
          <w:rFonts w:hint="eastAsia" w:asciiTheme="minorEastAsia" w:hAnsiTheme="minorEastAsia" w:eastAsiaTheme="minorEastAsia" w:cstheme="minorEastAsia"/>
          <w:sz w:val="24"/>
          <w:highlight w:val="none"/>
          <w:lang w:eastAsia="zh-CN"/>
        </w:rPr>
        <w:t>元</w:t>
      </w:r>
    </w:p>
    <w:p w14:paraId="39192EAA">
      <w:pPr>
        <w:pStyle w:val="24"/>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郸城县公安局医疗服务采购项目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1500000.00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其他健康检查服务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1年</w:t>
      </w:r>
    </w:p>
    <w:p w14:paraId="4E4740DB">
      <w:pPr>
        <w:spacing w:line="360" w:lineRule="auto"/>
        <w:ind w:firstLine="480" w:firstLineChars="200"/>
        <w:jc w:val="left"/>
        <w:rPr>
          <w:rFonts w:ascii="宋体" w:hAnsi="宋体" w:cs="宋体"/>
          <w:sz w:val="24"/>
          <w:highlight w:val="none"/>
        </w:rPr>
      </w:pPr>
      <w:bookmarkStart w:id="4" w:name="_Toc35393799"/>
      <w:bookmarkStart w:id="5" w:name="_Toc35393630"/>
      <w:bookmarkStart w:id="6" w:name="_Toc28359090"/>
      <w:bookmarkStart w:id="7" w:name="_Toc28359013"/>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23C46480">
      <w:pPr>
        <w:spacing w:line="360" w:lineRule="auto"/>
        <w:ind w:firstLine="480" w:firstLineChars="200"/>
        <w:jc w:val="left"/>
        <w:rPr>
          <w:rFonts w:hint="eastAsia" w:ascii="宋体" w:hAnsi="宋体" w:eastAsia="宋体" w:cs="宋体"/>
          <w:color w:val="0000FF"/>
          <w:sz w:val="24"/>
          <w:highlight w:val="yellow"/>
          <w:lang w:val="en-US" w:eastAsia="zh-CN"/>
        </w:rPr>
      </w:pPr>
      <w:r>
        <w:rPr>
          <w:rFonts w:hint="eastAsia" w:ascii="宋体" w:hAnsi="宋体" w:cs="宋体"/>
          <w:sz w:val="24"/>
          <w:highlight w:val="none"/>
        </w:rPr>
        <w:t>本项目是否为只面向中小企业采购：否</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4D3F7B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1DD53F23">
      <w:pPr>
        <w:spacing w:line="360" w:lineRule="auto"/>
        <w:ind w:firstLine="480" w:firstLineChars="200"/>
        <w:rPr>
          <w:rFonts w:hint="eastAsia" w:ascii="宋体" w:hAnsi="宋体" w:cs="宋体"/>
          <w:sz w:val="24"/>
          <w:highlight w:val="none"/>
        </w:rPr>
      </w:pPr>
      <w:r>
        <w:rPr>
          <w:rFonts w:hint="eastAsia" w:ascii="宋体" w:hAnsi="宋体" w:cs="宋体"/>
          <w:bCs/>
          <w:kern w:val="2"/>
          <w:sz w:val="24"/>
          <w:szCs w:val="24"/>
          <w:highlight w:val="none"/>
          <w:lang w:val="en-US" w:eastAsia="zh-CN" w:bidi="ar-SA"/>
        </w:rPr>
        <w:t>3.2</w:t>
      </w:r>
      <w:r>
        <w:rPr>
          <w:rFonts w:hint="eastAsia" w:asciiTheme="minorEastAsia" w:hAnsiTheme="minorEastAsia" w:cstheme="minorEastAsia"/>
          <w:bCs/>
          <w:kern w:val="2"/>
          <w:sz w:val="24"/>
          <w:szCs w:val="24"/>
          <w:highlight w:val="none"/>
          <w:lang w:val="en-US" w:eastAsia="zh-CN" w:bidi="ar-SA"/>
        </w:rPr>
        <w:t>供应商需具有卫生行政主管部门颁发的《医疗机构执业许可证》</w:t>
      </w:r>
    </w:p>
    <w:p w14:paraId="24573C6F">
      <w:pPr>
        <w:pStyle w:val="26"/>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04</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2027</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05</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07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35393801"/>
      <w:bookmarkStart w:id="14" w:name="_Toc28359092"/>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05</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35393633"/>
      <w:bookmarkStart w:id="17" w:name="_Toc28359016"/>
      <w:bookmarkStart w:id="18" w:name="_Toc28359093"/>
      <w:bookmarkStart w:id="19" w:name="_Toc35393802"/>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05</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35393634"/>
      <w:bookmarkStart w:id="21" w:name="_Toc35393803"/>
      <w:bookmarkStart w:id="22" w:name="_Toc28359094"/>
      <w:bookmarkStart w:id="23" w:name="_Toc28359017"/>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35393636"/>
      <w:bookmarkStart w:id="27" w:name="_Toc35393805"/>
      <w:bookmarkStart w:id="28" w:name="_Toc28359018"/>
      <w:bookmarkStart w:id="29" w:name="_Toc2835909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2CF30A23">
      <w:pPr>
        <w:spacing w:line="360" w:lineRule="auto"/>
        <w:ind w:firstLine="480" w:firstLineChars="200"/>
        <w:jc w:val="left"/>
        <w:rPr>
          <w:rFonts w:hint="eastAsia" w:ascii="宋体" w:hAnsi="宋体" w:cs="宋体"/>
          <w:sz w:val="24"/>
        </w:rPr>
      </w:pPr>
      <w:r>
        <w:rPr>
          <w:rFonts w:hint="eastAsia" w:ascii="宋体" w:hAnsi="宋体" w:cs="宋体"/>
          <w:sz w:val="24"/>
        </w:rPr>
        <w:t>名 称：</w:t>
      </w:r>
      <w:r>
        <w:rPr>
          <w:rFonts w:hint="eastAsia" w:ascii="宋体" w:hAnsi="宋体" w:cs="宋体"/>
          <w:sz w:val="24"/>
          <w:lang w:val="en-US" w:eastAsia="zh-CN"/>
        </w:rPr>
        <w:t>郸城县公安局</w:t>
      </w:r>
      <w:r>
        <w:rPr>
          <w:rFonts w:hint="eastAsia" w:ascii="宋体" w:hAnsi="宋体" w:cs="宋体"/>
          <w:sz w:val="24"/>
        </w:rPr>
        <w:t>　　　　　　　　　　　</w:t>
      </w:r>
    </w:p>
    <w:p w14:paraId="10D6F8C9">
      <w:pPr>
        <w:spacing w:line="360" w:lineRule="auto"/>
        <w:ind w:firstLine="480" w:firstLineChars="200"/>
        <w:jc w:val="left"/>
        <w:rPr>
          <w:rFonts w:hint="eastAsia" w:ascii="宋体" w:hAnsi="宋体" w:cs="宋体"/>
          <w:sz w:val="24"/>
        </w:rPr>
      </w:pPr>
      <w:r>
        <w:rPr>
          <w:rFonts w:hint="eastAsia" w:ascii="宋体" w:hAnsi="宋体" w:cs="宋体"/>
          <w:sz w:val="24"/>
        </w:rPr>
        <w:t>地址：</w:t>
      </w:r>
      <w:r>
        <w:rPr>
          <w:rFonts w:hint="eastAsia" w:ascii="宋体" w:hAnsi="宋体" w:cs="宋体"/>
          <w:sz w:val="24"/>
          <w:lang w:val="en-US" w:eastAsia="zh-CN"/>
        </w:rPr>
        <w:t>郸城县</w:t>
      </w:r>
      <w:r>
        <w:rPr>
          <w:rFonts w:hint="eastAsia" w:ascii="宋体" w:hAnsi="宋体" w:cs="宋体"/>
          <w:sz w:val="24"/>
        </w:rPr>
        <w:t>　　　　　　　　　　　</w:t>
      </w:r>
    </w:p>
    <w:p w14:paraId="48A1CC16">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王丹</w:t>
      </w:r>
      <w:r>
        <w:rPr>
          <w:rFonts w:hint="eastAsia" w:ascii="宋体" w:hAnsi="宋体" w:cs="宋体"/>
          <w:sz w:val="24"/>
        </w:rPr>
        <w:t xml:space="preserve">    联系方式：</w:t>
      </w:r>
      <w:r>
        <w:rPr>
          <w:rFonts w:hint="eastAsia" w:ascii="宋体" w:hAnsi="宋体" w:cs="宋体"/>
          <w:sz w:val="24"/>
          <w:lang w:val="en-US" w:eastAsia="zh-CN"/>
        </w:rPr>
        <w:t>13592208588</w:t>
      </w:r>
      <w:r>
        <w:rPr>
          <w:rFonts w:hint="eastAsia" w:ascii="宋体" w:hAnsi="宋体" w:cs="宋体"/>
          <w:sz w:val="24"/>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0394-8106517、13513878800</w:t>
      </w:r>
      <w:r>
        <w:rPr>
          <w:rFonts w:hint="eastAsia" w:ascii="宋体" w:hAnsi="宋体" w:cs="宋体"/>
          <w:sz w:val="24"/>
        </w:rPr>
        <w:t>　　　　　　　　</w:t>
      </w:r>
    </w:p>
    <w:bookmarkEnd w:id="32"/>
    <w:bookmarkEnd w:id="33"/>
    <w:p w14:paraId="0E6566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cs="宋体"/>
          <w:sz w:val="24"/>
        </w:rPr>
        <w:t>3.</w:t>
      </w:r>
      <w:r>
        <w:rPr>
          <w:rFonts w:hint="eastAsia" w:asciiTheme="minorEastAsia" w:hAnsiTheme="minorEastAsia" w:eastAsiaTheme="minorEastAsia" w:cstheme="minorEastAsia"/>
          <w:b w:val="0"/>
          <w:i w:val="0"/>
          <w:iCs w:val="0"/>
          <w:sz w:val="24"/>
          <w:szCs w:val="24"/>
        </w:rPr>
        <w:t>监督单位：</w:t>
      </w:r>
      <w:r>
        <w:rPr>
          <w:rFonts w:ascii="宋体" w:hAnsi="宋体" w:eastAsia="宋体" w:cs="宋体"/>
          <w:color w:val="auto"/>
          <w:spacing w:val="0"/>
          <w:position w:val="0"/>
          <w:sz w:val="24"/>
          <w:highlight w:val="none"/>
          <w:shd w:val="clear" w:color="auto" w:fill="auto"/>
        </w:rPr>
        <w:t>郸城县政府采购监督管理办公室</w:t>
      </w:r>
    </w:p>
    <w:p w14:paraId="6E4B289D">
      <w:pPr>
        <w:pStyle w:val="36"/>
        <w:ind w:firstLine="720" w:firstLineChars="300"/>
        <w:rPr>
          <w:rFonts w:ascii="宋体" w:hAnsi="宋体" w:eastAsia="宋体" w:cs="宋体"/>
          <w:sz w:val="24"/>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0394-3298829</w:t>
      </w:r>
    </w:p>
    <w:p w14:paraId="14EA5711">
      <w:pPr>
        <w:pStyle w:val="36"/>
        <w:ind w:firstLine="480" w:firstLineChars="200"/>
        <w:rPr>
          <w:rFonts w:hint="eastAsia" w:ascii="宋体" w:hAnsi="宋体" w:cs="宋体"/>
          <w:sz w:val="24"/>
        </w:rPr>
      </w:pPr>
    </w:p>
    <w:p w14:paraId="7FAD1289">
      <w:pPr>
        <w:pStyle w:val="36"/>
        <w:ind w:firstLine="480" w:firstLineChars="200"/>
        <w:rPr>
          <w:highlight w:val="none"/>
        </w:rPr>
      </w:pPr>
      <w:r>
        <w:rPr>
          <w:rFonts w:hint="eastAsia" w:ascii="宋体" w:hAnsi="宋体" w:eastAsia="宋体" w:cs="宋体"/>
          <w:color w:val="auto"/>
          <w:spacing w:val="0"/>
          <w:position w:val="0"/>
          <w:sz w:val="24"/>
          <w:shd w:val="clear" w:fill="auto"/>
        </w:rPr>
        <w:t xml:space="preserve"> </w:t>
      </w:r>
    </w:p>
    <w:p w14:paraId="32DCD84C">
      <w:pPr>
        <w:pStyle w:val="36"/>
        <w:rPr>
          <w:highlight w:val="none"/>
        </w:rPr>
      </w:pPr>
    </w:p>
    <w:p w14:paraId="59FCCA32">
      <w:pPr>
        <w:pStyle w:val="10"/>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1"/>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2026年4月27日</w:t>
      </w:r>
      <w:r>
        <w:rPr>
          <w:rFonts w:hint="eastAsia" w:ascii="宋体" w:hAnsi="宋体" w:cs="宋体"/>
          <w:color w:val="000000" w:themeColor="text1"/>
          <w:sz w:val="24"/>
          <w:szCs w:val="24"/>
          <w:highlight w:val="none"/>
        </w:rPr>
        <w:t>　</w:t>
      </w:r>
    </w:p>
    <w:p w14:paraId="04D37CC4">
      <w:pPr>
        <w:pStyle w:val="26"/>
        <w:adjustRightInd w:val="0"/>
        <w:snapToGrid w:val="0"/>
        <w:spacing w:line="360" w:lineRule="auto"/>
        <w:ind w:firstLine="0" w:firstLineChars="0"/>
        <w:rPr>
          <w:highlight w:val="none"/>
        </w:rPr>
      </w:pPr>
    </w:p>
    <w:p w14:paraId="5F7863AB">
      <w:pPr>
        <w:jc w:val="center"/>
        <w:rPr>
          <w:rFonts w:hint="eastAsia" w:ascii="宋体" w:hAnsi="宋体" w:cs="宋体"/>
          <w:b/>
          <w:sz w:val="32"/>
          <w:szCs w:val="32"/>
          <w:highlight w:val="none"/>
        </w:rPr>
      </w:pPr>
    </w:p>
    <w:p w14:paraId="206AEE52">
      <w:pPr>
        <w:rPr>
          <w:rFonts w:hint="eastAsia" w:ascii="宋体" w:hAnsi="宋体" w:cs="宋体"/>
          <w:b/>
          <w:sz w:val="32"/>
          <w:szCs w:val="32"/>
          <w:highlight w:val="none"/>
        </w:rPr>
      </w:pPr>
      <w:r>
        <w:rPr>
          <w:rFonts w:hint="eastAsia" w:ascii="宋体" w:hAnsi="宋体" w:cs="宋体"/>
          <w:b/>
          <w:sz w:val="32"/>
          <w:szCs w:val="32"/>
          <w:highlight w:val="none"/>
        </w:rPr>
        <w:br w:type="page"/>
      </w: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郸城县公安局医疗服务采购项目</w:t>
            </w:r>
          </w:p>
          <w:p w14:paraId="5AB06AC2">
            <w:pPr>
              <w:rPr>
                <w:rFonts w:hint="eastAsia"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宋体" w:hAnsi="宋体" w:cs="宋体"/>
                <w:color w:val="0C0C0C" w:themeColor="text1" w:themeTint="F2"/>
                <w:sz w:val="24"/>
                <w:szCs w:val="24"/>
                <w:highlight w:val="none"/>
                <w:lang w:val="en-US" w:eastAsia="zh-CN"/>
              </w:rPr>
              <w:t>其他健康检查服务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郸城县公安局　</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sz w:val="24"/>
                <w:szCs w:val="24"/>
                <w:highlight w:val="none"/>
              </w:rPr>
            </w:pPr>
            <w:r>
              <w:rPr>
                <w:rFonts w:hint="eastAsia" w:ascii="宋体" w:hAnsi="宋体" w:eastAsia="宋体" w:cs="宋体"/>
                <w:color w:val="auto"/>
                <w:sz w:val="24"/>
                <w:szCs w:val="24"/>
                <w:lang w:val="en-US" w:eastAsia="zh-CN"/>
              </w:rPr>
              <w:t>服务期限</w:t>
            </w:r>
          </w:p>
        </w:tc>
        <w:tc>
          <w:tcPr>
            <w:tcW w:w="6615" w:type="dxa"/>
            <w:vAlign w:val="center"/>
          </w:tcPr>
          <w:p w14:paraId="738539C0">
            <w:pPr>
              <w:jc w:val="left"/>
              <w:rPr>
                <w:rFonts w:hint="eastAsia" w:ascii="宋体" w:hAnsi="宋体" w:cs="宋体"/>
                <w:sz w:val="24"/>
                <w:szCs w:val="24"/>
                <w:highlight w:val="none"/>
              </w:rPr>
            </w:pPr>
            <w:r>
              <w:rPr>
                <w:rFonts w:hint="eastAsia" w:ascii="宋体" w:hAnsi="宋体" w:eastAsia="宋体" w:cs="宋体"/>
                <w:color w:val="auto"/>
                <w:sz w:val="24"/>
                <w:szCs w:val="24"/>
                <w:lang w:val="en-US" w:eastAsia="zh-CN"/>
              </w:rPr>
              <w:t>1年</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sz w:val="24"/>
                <w:szCs w:val="24"/>
                <w:highlight w:val="none"/>
              </w:rPr>
              <w:t>付款方式</w:t>
            </w:r>
          </w:p>
        </w:tc>
        <w:tc>
          <w:tcPr>
            <w:tcW w:w="6615" w:type="dxa"/>
            <w:vAlign w:val="center"/>
          </w:tcPr>
          <w:p w14:paraId="36EF7C71">
            <w:pPr>
              <w:spacing w:line="360" w:lineRule="auto"/>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签订合同后按季度结算或每半年结算一次或每年结算一次（具体以合同约定为准）</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sz w:val="24"/>
                <w:szCs w:val="24"/>
                <w:highlight w:val="none"/>
              </w:rPr>
              <w:t>其他未列明行业</w:t>
            </w:r>
          </w:p>
        </w:tc>
      </w:tr>
    </w:tbl>
    <w:p w14:paraId="2BD7ACE3">
      <w:pPr>
        <w:pStyle w:val="26"/>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郸城县公安局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keepNext w:val="0"/>
        <w:keepLines w:val="0"/>
        <w:pageBreakBefore w:val="0"/>
        <w:widowControl w:val="0"/>
        <w:kinsoku/>
        <w:wordWrap/>
        <w:overflowPunct/>
        <w:topLinePunct w:val="0"/>
        <w:bidi w:val="0"/>
        <w:snapToGrid w:val="0"/>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786FACD">
      <w:pPr>
        <w:spacing w:line="360" w:lineRule="auto"/>
        <w:ind w:firstLine="55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highlight w:val="none"/>
          <w:lang w:val="zh-CN"/>
        </w:rPr>
        <w:t>。</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1"/>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1"/>
        <w:rPr>
          <w:rFonts w:ascii="宋体" w:hAnsi="宋体" w:cs="宋体"/>
          <w:sz w:val="24"/>
          <w:szCs w:val="24"/>
          <w:highlight w:val="none"/>
        </w:rPr>
      </w:pPr>
    </w:p>
    <w:p w14:paraId="3C2E2FD7">
      <w:pPr>
        <w:pStyle w:val="41"/>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36"/>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36"/>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8AAC56A">
      <w:pPr>
        <w:pStyle w:val="16"/>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767F526E">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7"/>
        <w:tblW w:w="88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70"/>
        <w:gridCol w:w="1453"/>
        <w:gridCol w:w="3226"/>
        <w:gridCol w:w="2770"/>
      </w:tblGrid>
      <w:tr w14:paraId="73C72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tcBorders>
              <w:left w:val="single" w:color="auto" w:sz="4" w:space="0"/>
            </w:tcBorders>
            <w:noWrap w:val="0"/>
            <w:vAlign w:val="center"/>
          </w:tcPr>
          <w:p w14:paraId="74B9E303">
            <w:pPr>
              <w:spacing w:line="360" w:lineRule="auto"/>
              <w:rPr>
                <w:rFonts w:hint="eastAsia" w:ascii="宋体" w:hAnsi="宋体" w:eastAsia="宋体" w:cs="宋体"/>
                <w:sz w:val="24"/>
                <w:szCs w:val="24"/>
              </w:rPr>
            </w:pPr>
            <w:r>
              <w:rPr>
                <w:rFonts w:hint="eastAsia" w:ascii="宋体" w:hAnsi="宋体" w:eastAsia="宋体" w:cs="宋体"/>
                <w:sz w:val="24"/>
                <w:szCs w:val="24"/>
              </w:rPr>
              <w:t>评分指标</w:t>
            </w:r>
          </w:p>
        </w:tc>
        <w:tc>
          <w:tcPr>
            <w:tcW w:w="1453" w:type="dxa"/>
            <w:noWrap w:val="0"/>
            <w:vAlign w:val="center"/>
          </w:tcPr>
          <w:p w14:paraId="42DA5833">
            <w:pPr>
              <w:spacing w:line="360" w:lineRule="auto"/>
              <w:rPr>
                <w:rFonts w:hint="eastAsia" w:ascii="宋体" w:hAnsi="宋体" w:eastAsia="宋体" w:cs="宋体"/>
                <w:sz w:val="24"/>
                <w:szCs w:val="24"/>
              </w:rPr>
            </w:pPr>
            <w:r>
              <w:rPr>
                <w:rFonts w:hint="eastAsia" w:ascii="宋体" w:hAnsi="宋体" w:eastAsia="宋体" w:cs="宋体"/>
                <w:sz w:val="24"/>
                <w:szCs w:val="24"/>
              </w:rPr>
              <w:t>分值</w:t>
            </w:r>
          </w:p>
        </w:tc>
        <w:tc>
          <w:tcPr>
            <w:tcW w:w="3226" w:type="dxa"/>
            <w:noWrap w:val="0"/>
            <w:vAlign w:val="center"/>
          </w:tcPr>
          <w:p w14:paraId="227A6800">
            <w:pPr>
              <w:spacing w:line="360" w:lineRule="auto"/>
              <w:rPr>
                <w:rFonts w:hint="eastAsia" w:ascii="宋体" w:hAnsi="宋体" w:eastAsia="宋体" w:cs="宋体"/>
                <w:sz w:val="24"/>
                <w:szCs w:val="24"/>
              </w:rPr>
            </w:pPr>
            <w:r>
              <w:rPr>
                <w:rFonts w:hint="eastAsia" w:ascii="宋体" w:hAnsi="宋体" w:eastAsia="宋体" w:cs="宋体"/>
                <w:sz w:val="24"/>
                <w:szCs w:val="24"/>
              </w:rPr>
              <w:t>指标说明及评分标准</w:t>
            </w:r>
          </w:p>
        </w:tc>
        <w:tc>
          <w:tcPr>
            <w:tcW w:w="2770" w:type="dxa"/>
            <w:noWrap w:val="0"/>
            <w:vAlign w:val="center"/>
          </w:tcPr>
          <w:p w14:paraId="3FD676ED">
            <w:pPr>
              <w:spacing w:line="360" w:lineRule="auto"/>
              <w:rPr>
                <w:rFonts w:hint="eastAsia" w:ascii="宋体" w:hAnsi="宋体" w:eastAsia="宋体" w:cs="宋体"/>
                <w:sz w:val="24"/>
                <w:szCs w:val="24"/>
              </w:rPr>
            </w:pPr>
            <w:r>
              <w:rPr>
                <w:rFonts w:hint="eastAsia" w:ascii="宋体" w:hAnsi="宋体" w:eastAsia="宋体" w:cs="宋体"/>
                <w:sz w:val="24"/>
                <w:szCs w:val="24"/>
              </w:rPr>
              <w:t>评分依据</w:t>
            </w:r>
          </w:p>
        </w:tc>
      </w:tr>
      <w:tr w14:paraId="4C7083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tcBorders>
              <w:left w:val="single" w:color="auto" w:sz="4" w:space="0"/>
            </w:tcBorders>
            <w:noWrap w:val="0"/>
            <w:vAlign w:val="center"/>
          </w:tcPr>
          <w:p w14:paraId="68537FDC">
            <w:pPr>
              <w:spacing w:line="360" w:lineRule="auto"/>
              <w:rPr>
                <w:rFonts w:hint="eastAsia" w:ascii="宋体" w:hAnsi="宋体" w:eastAsia="宋体" w:cs="宋体"/>
                <w:sz w:val="24"/>
                <w:szCs w:val="24"/>
              </w:rPr>
            </w:pPr>
            <w:r>
              <w:rPr>
                <w:rFonts w:hint="eastAsia" w:ascii="宋体" w:hAnsi="宋体" w:eastAsia="宋体" w:cs="宋体"/>
                <w:sz w:val="24"/>
                <w:szCs w:val="24"/>
              </w:rPr>
              <w:t>报价</w:t>
            </w:r>
            <w:r>
              <w:rPr>
                <w:rFonts w:hint="eastAsia" w:ascii="宋体" w:hAnsi="宋体" w:eastAsia="宋体" w:cs="宋体"/>
                <w:sz w:val="24"/>
                <w:szCs w:val="24"/>
                <w:lang w:val="en-US" w:eastAsia="zh-CN"/>
              </w:rPr>
              <w:t>部分</w:t>
            </w:r>
            <w:r>
              <w:rPr>
                <w:rFonts w:hint="eastAsia" w:ascii="宋体" w:hAnsi="宋体" w:eastAsia="宋体" w:cs="宋体"/>
                <w:sz w:val="24"/>
                <w:szCs w:val="24"/>
              </w:rPr>
              <w:t>（</w:t>
            </w:r>
            <w:r>
              <w:rPr>
                <w:rFonts w:hint="eastAsia" w:ascii="宋体" w:hAnsi="宋体" w:eastAsia="宋体" w:cs="宋体"/>
                <w:sz w:val="24"/>
                <w:szCs w:val="24"/>
                <w:lang w:val="en-US" w:eastAsia="zh-CN"/>
              </w:rPr>
              <w:t>20</w:t>
            </w:r>
            <w:r>
              <w:rPr>
                <w:rFonts w:hint="eastAsia" w:ascii="宋体" w:hAnsi="宋体" w:eastAsia="宋体" w:cs="宋体"/>
                <w:sz w:val="24"/>
                <w:szCs w:val="24"/>
              </w:rPr>
              <w:t>分）</w:t>
            </w:r>
          </w:p>
        </w:tc>
        <w:tc>
          <w:tcPr>
            <w:tcW w:w="1453" w:type="dxa"/>
            <w:noWrap w:val="0"/>
            <w:vAlign w:val="center"/>
          </w:tcPr>
          <w:p w14:paraId="5114F867">
            <w:pPr>
              <w:spacing w:line="360" w:lineRule="auto"/>
              <w:rPr>
                <w:rFonts w:hint="eastAsia" w:ascii="宋体" w:hAnsi="宋体" w:eastAsia="宋体" w:cs="宋体"/>
                <w:sz w:val="24"/>
                <w:szCs w:val="24"/>
              </w:rPr>
            </w:pPr>
            <w:r>
              <w:rPr>
                <w:rFonts w:hint="eastAsia" w:ascii="宋体" w:hAnsi="宋体" w:eastAsia="宋体" w:cs="宋体"/>
                <w:sz w:val="24"/>
                <w:szCs w:val="24"/>
              </w:rPr>
              <w:t>报价</w:t>
            </w:r>
            <w:r>
              <w:rPr>
                <w:rFonts w:hint="eastAsia" w:ascii="宋体" w:hAnsi="宋体" w:eastAsia="宋体" w:cs="宋体"/>
                <w:sz w:val="24"/>
                <w:szCs w:val="24"/>
                <w:lang w:val="en-US" w:eastAsia="zh-CN"/>
              </w:rPr>
              <w:t>（20分）</w:t>
            </w:r>
          </w:p>
        </w:tc>
        <w:tc>
          <w:tcPr>
            <w:tcW w:w="5996" w:type="dxa"/>
            <w:gridSpan w:val="2"/>
            <w:noWrap w:val="0"/>
            <w:vAlign w:val="center"/>
          </w:tcPr>
          <w:p w14:paraId="6FA9644F">
            <w:pPr>
              <w:spacing w:line="360" w:lineRule="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16465C34">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磋商报价得分=（磋商基准价/最后磋商报价）×</w:t>
            </w:r>
            <w:r>
              <w:rPr>
                <w:rFonts w:hint="eastAsia" w:ascii="宋体" w:hAnsi="宋体" w:eastAsia="宋体" w:cs="宋体"/>
                <w:sz w:val="24"/>
                <w:szCs w:val="24"/>
                <w:lang w:val="en-US" w:eastAsia="zh-CN"/>
              </w:rPr>
              <w:t>20</w:t>
            </w:r>
          </w:p>
          <w:p w14:paraId="2935A1E7">
            <w:pPr>
              <w:spacing w:line="360" w:lineRule="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4FFEB0BB">
            <w:pPr>
              <w:spacing w:line="360" w:lineRule="auto"/>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w:t>
            </w:r>
            <w:r>
              <w:rPr>
                <w:rFonts w:hint="eastAsia" w:ascii="宋体" w:hAnsi="宋体" w:eastAsia="宋体" w:cs="宋体"/>
                <w:sz w:val="24"/>
                <w:szCs w:val="24"/>
                <w:lang w:val="en-US" w:eastAsia="zh-CN"/>
              </w:rPr>
              <w:t>22</w:t>
            </w:r>
            <w:r>
              <w:rPr>
                <w:rFonts w:hint="eastAsia" w:ascii="宋体" w:hAnsi="宋体" w:eastAsia="宋体" w:cs="宋体"/>
                <w:sz w:val="24"/>
                <w:szCs w:val="24"/>
              </w:rPr>
              <w:t>〕</w:t>
            </w:r>
            <w:r>
              <w:rPr>
                <w:rFonts w:hint="eastAsia" w:ascii="宋体" w:hAnsi="宋体" w:eastAsia="宋体" w:cs="宋体"/>
                <w:sz w:val="24"/>
                <w:szCs w:val="24"/>
                <w:lang w:val="en-US" w:eastAsia="zh-CN"/>
              </w:rPr>
              <w:t>19</w:t>
            </w:r>
            <w:r>
              <w:rPr>
                <w:rFonts w:hint="eastAsia" w:ascii="宋体" w:hAnsi="宋体" w:eastAsia="宋体" w:cs="宋体"/>
                <w:sz w:val="24"/>
                <w:szCs w:val="24"/>
              </w:rPr>
              <w:t>号 ）文件规定：</w:t>
            </w:r>
          </w:p>
          <w:p w14:paraId="37A09B64">
            <w:pPr>
              <w:spacing w:line="360" w:lineRule="auto"/>
              <w:rPr>
                <w:rFonts w:hint="eastAsia" w:ascii="宋体" w:hAnsi="宋体" w:eastAsia="宋体" w:cs="宋体"/>
                <w:sz w:val="24"/>
                <w:szCs w:val="24"/>
              </w:rPr>
            </w:pPr>
            <w:r>
              <w:rPr>
                <w:rFonts w:hint="eastAsia" w:ascii="宋体" w:hAnsi="宋体" w:eastAsia="宋体" w:cs="宋体"/>
                <w:sz w:val="24"/>
                <w:szCs w:val="24"/>
              </w:rPr>
              <w:t>（1）对小微企业报价给予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%扣除，请按照《政府采购促进中小企业发展管理办法》要求提供中小企业声明函。</w:t>
            </w:r>
          </w:p>
          <w:p w14:paraId="77076FFC">
            <w:pPr>
              <w:spacing w:line="360" w:lineRule="auto"/>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58F49788">
            <w:pPr>
              <w:spacing w:line="360" w:lineRule="auto"/>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p w14:paraId="61A0EEAE">
            <w:pPr>
              <w:spacing w:line="360" w:lineRule="auto"/>
              <w:rPr>
                <w:rFonts w:hint="eastAsia" w:ascii="宋体" w:hAnsi="宋体" w:eastAsia="宋体" w:cs="宋体"/>
                <w:sz w:val="24"/>
                <w:szCs w:val="24"/>
              </w:rPr>
            </w:pPr>
            <w:r>
              <w:rPr>
                <w:rFonts w:hint="eastAsia" w:ascii="宋体" w:hAnsi="宋体" w:eastAsia="宋体" w:cs="宋体"/>
                <w:sz w:val="24"/>
                <w:szCs w:val="24"/>
              </w:rPr>
              <w:t>（4）没有提供有效证明材料的供应商将被视为不接受投标总价的扣除，用原投标总价参与评审。</w:t>
            </w:r>
          </w:p>
        </w:tc>
      </w:tr>
      <w:tr w14:paraId="40F5E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restart"/>
            <w:tcBorders>
              <w:left w:val="single" w:color="auto" w:sz="4" w:space="0"/>
            </w:tcBorders>
            <w:noWrap w:val="0"/>
            <w:vAlign w:val="center"/>
          </w:tcPr>
          <w:p w14:paraId="028732B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技术部分</w:t>
            </w:r>
          </w:p>
          <w:p w14:paraId="10FA7AB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cs="宋体"/>
                <w:sz w:val="24"/>
                <w:szCs w:val="24"/>
                <w:lang w:val="en-US" w:eastAsia="zh-CN"/>
              </w:rPr>
              <w:t>5</w:t>
            </w:r>
            <w:r>
              <w:rPr>
                <w:rFonts w:hint="eastAsia" w:ascii="宋体" w:hAnsi="宋体" w:eastAsia="宋体" w:cs="宋体"/>
                <w:sz w:val="24"/>
                <w:szCs w:val="24"/>
              </w:rPr>
              <w:t>分）</w:t>
            </w:r>
          </w:p>
        </w:tc>
        <w:tc>
          <w:tcPr>
            <w:tcW w:w="1453" w:type="dxa"/>
            <w:noWrap w:val="0"/>
            <w:vAlign w:val="center"/>
          </w:tcPr>
          <w:p w14:paraId="7335193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总体服务方案（7分）</w:t>
            </w:r>
          </w:p>
        </w:tc>
        <w:tc>
          <w:tcPr>
            <w:tcW w:w="5996" w:type="dxa"/>
            <w:gridSpan w:val="2"/>
            <w:noWrap w:val="0"/>
            <w:vAlign w:val="center"/>
          </w:tcPr>
          <w:p w14:paraId="60F37B74">
            <w:pPr>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w:t>
            </w:r>
            <w:r>
              <w:rPr>
                <w:rFonts w:hint="eastAsia" w:ascii="宋体" w:hAnsi="宋体" w:eastAsia="宋体" w:cs="宋体"/>
                <w:sz w:val="24"/>
                <w:szCs w:val="24"/>
              </w:rPr>
              <w:t>总体服务方案</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得7分，不提供不得分；</w:t>
            </w:r>
          </w:p>
        </w:tc>
      </w:tr>
      <w:tr w14:paraId="0F4A2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386DCCFB">
            <w:pPr>
              <w:spacing w:line="360" w:lineRule="auto"/>
              <w:jc w:val="center"/>
              <w:rPr>
                <w:rFonts w:hint="eastAsia" w:ascii="宋体" w:hAnsi="宋体" w:eastAsia="宋体" w:cs="宋体"/>
                <w:sz w:val="24"/>
                <w:szCs w:val="24"/>
              </w:rPr>
            </w:pPr>
          </w:p>
        </w:tc>
        <w:tc>
          <w:tcPr>
            <w:tcW w:w="1453" w:type="dxa"/>
            <w:noWrap w:val="0"/>
            <w:vAlign w:val="center"/>
          </w:tcPr>
          <w:p w14:paraId="1EC3CFC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服务质量保</w:t>
            </w:r>
          </w:p>
          <w:p w14:paraId="4BC02A1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障方案</w:t>
            </w:r>
          </w:p>
          <w:p w14:paraId="50E937B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（7分）</w:t>
            </w:r>
          </w:p>
        </w:tc>
        <w:tc>
          <w:tcPr>
            <w:tcW w:w="5996" w:type="dxa"/>
            <w:gridSpan w:val="2"/>
            <w:noWrap w:val="0"/>
            <w:vAlign w:val="top"/>
          </w:tcPr>
          <w:p w14:paraId="5BF53FD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提供针对本项目的</w:t>
            </w:r>
            <w:r>
              <w:rPr>
                <w:rFonts w:hint="eastAsia" w:ascii="宋体" w:hAnsi="宋体" w:eastAsia="宋体" w:cs="宋体"/>
                <w:sz w:val="24"/>
                <w:szCs w:val="24"/>
              </w:rPr>
              <w:t>质量保障与质量控制方案</w:t>
            </w:r>
            <w:r>
              <w:rPr>
                <w:rFonts w:hint="eastAsia" w:ascii="宋体" w:hAnsi="宋体" w:eastAsia="宋体" w:cs="宋体"/>
                <w:sz w:val="24"/>
                <w:szCs w:val="24"/>
                <w:lang w:eastAsia="zh-CN"/>
              </w:rPr>
              <w:t>（</w:t>
            </w:r>
            <w:r>
              <w:rPr>
                <w:rFonts w:hint="eastAsia" w:ascii="宋体" w:hAnsi="宋体" w:eastAsia="宋体" w:cs="宋体"/>
                <w:sz w:val="24"/>
                <w:szCs w:val="24"/>
              </w:rPr>
              <w:t>包括但不限于质量控制制度、质量保证体系、质量控制措施</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得7分，缺项或不提供不得分；</w:t>
            </w:r>
          </w:p>
        </w:tc>
      </w:tr>
      <w:tr w14:paraId="2E924C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16B61FDC">
            <w:pPr>
              <w:spacing w:line="360" w:lineRule="auto"/>
              <w:jc w:val="center"/>
              <w:rPr>
                <w:rFonts w:hint="eastAsia" w:ascii="宋体" w:hAnsi="宋体" w:eastAsia="宋体" w:cs="宋体"/>
                <w:sz w:val="24"/>
                <w:szCs w:val="24"/>
              </w:rPr>
            </w:pPr>
          </w:p>
        </w:tc>
        <w:tc>
          <w:tcPr>
            <w:tcW w:w="1453" w:type="dxa"/>
            <w:noWrap w:val="0"/>
            <w:vAlign w:val="center"/>
          </w:tcPr>
          <w:p w14:paraId="07DC48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管理制度</w:t>
            </w:r>
          </w:p>
          <w:p w14:paraId="6A6BF06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8</w:t>
            </w:r>
            <w:r>
              <w:rPr>
                <w:rFonts w:hint="eastAsia" w:ascii="宋体" w:hAnsi="宋体" w:eastAsia="宋体" w:cs="宋体"/>
                <w:sz w:val="24"/>
                <w:szCs w:val="24"/>
              </w:rPr>
              <w:t>分）</w:t>
            </w:r>
          </w:p>
        </w:tc>
        <w:tc>
          <w:tcPr>
            <w:tcW w:w="5996" w:type="dxa"/>
            <w:gridSpan w:val="2"/>
            <w:noWrap w:val="0"/>
            <w:vAlign w:val="top"/>
          </w:tcPr>
          <w:p w14:paraId="07EC2B66">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提供针</w:t>
            </w:r>
            <w:r>
              <w:rPr>
                <w:rFonts w:hint="eastAsia" w:ascii="宋体" w:hAnsi="宋体" w:eastAsia="宋体" w:cs="宋体"/>
                <w:sz w:val="24"/>
                <w:szCs w:val="24"/>
              </w:rPr>
              <w:t>对本项目制定的管理制度（包括但不限于轮岗制度、交接岗制度、病号跟踪治疗制度、及疑难杂症的会诊制度、电子档案管理制度）</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得</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分，缺项或不提供不得分；</w:t>
            </w:r>
          </w:p>
        </w:tc>
      </w:tr>
      <w:tr w14:paraId="207BA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3C01A12F">
            <w:pPr>
              <w:spacing w:line="360" w:lineRule="auto"/>
              <w:jc w:val="center"/>
              <w:rPr>
                <w:rFonts w:hint="eastAsia" w:ascii="宋体" w:hAnsi="宋体" w:eastAsia="宋体" w:cs="宋体"/>
                <w:sz w:val="24"/>
                <w:szCs w:val="24"/>
              </w:rPr>
            </w:pPr>
          </w:p>
        </w:tc>
        <w:tc>
          <w:tcPr>
            <w:tcW w:w="1453" w:type="dxa"/>
            <w:noWrap w:val="0"/>
            <w:vAlign w:val="center"/>
          </w:tcPr>
          <w:p w14:paraId="77E09446">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人员配备方案</w:t>
            </w:r>
            <w:r>
              <w:rPr>
                <w:rFonts w:hint="eastAsia" w:ascii="宋体" w:hAnsi="宋体" w:eastAsia="宋体" w:cs="宋体"/>
                <w:sz w:val="24"/>
                <w:szCs w:val="24"/>
              </w:rPr>
              <w:t>（6分）</w:t>
            </w:r>
          </w:p>
        </w:tc>
        <w:tc>
          <w:tcPr>
            <w:tcW w:w="5996" w:type="dxa"/>
            <w:gridSpan w:val="2"/>
            <w:noWrap w:val="0"/>
            <w:vAlign w:val="center"/>
          </w:tcPr>
          <w:p w14:paraId="07BDC5F2">
            <w:pPr>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提供人员配备方案的得6分，不提供不得分</w:t>
            </w:r>
            <w:r>
              <w:rPr>
                <w:rFonts w:hint="eastAsia" w:ascii="宋体" w:hAnsi="宋体" w:cs="宋体"/>
                <w:sz w:val="24"/>
                <w:szCs w:val="24"/>
                <w:lang w:val="en-US" w:eastAsia="zh-CN"/>
              </w:rPr>
              <w:t>。</w:t>
            </w:r>
            <w:bookmarkStart w:id="38" w:name="_GoBack"/>
            <w:bookmarkEnd w:id="38"/>
          </w:p>
        </w:tc>
      </w:tr>
      <w:tr w14:paraId="7491F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4D00BB21">
            <w:pPr>
              <w:spacing w:line="360" w:lineRule="auto"/>
              <w:jc w:val="center"/>
              <w:rPr>
                <w:rFonts w:hint="eastAsia" w:ascii="宋体" w:hAnsi="宋体" w:eastAsia="宋体" w:cs="宋体"/>
                <w:sz w:val="24"/>
                <w:szCs w:val="24"/>
              </w:rPr>
            </w:pPr>
          </w:p>
        </w:tc>
        <w:tc>
          <w:tcPr>
            <w:tcW w:w="1453" w:type="dxa"/>
            <w:noWrap w:val="0"/>
            <w:vAlign w:val="center"/>
          </w:tcPr>
          <w:p w14:paraId="2B5E4E2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风险管理措施（ 6分）</w:t>
            </w:r>
          </w:p>
        </w:tc>
        <w:tc>
          <w:tcPr>
            <w:tcW w:w="5996" w:type="dxa"/>
            <w:gridSpan w:val="2"/>
            <w:noWrap w:val="0"/>
            <w:vAlign w:val="top"/>
          </w:tcPr>
          <w:p w14:paraId="7CDEDC30">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提供针对本项目的</w:t>
            </w:r>
            <w:r>
              <w:rPr>
                <w:rFonts w:hint="eastAsia" w:ascii="宋体" w:hAnsi="宋体" w:eastAsia="宋体" w:cs="宋体"/>
                <w:sz w:val="24"/>
                <w:szCs w:val="24"/>
              </w:rPr>
              <w:t>风险管理措施</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得6分，缺项或不提供不得分</w:t>
            </w:r>
            <w:r>
              <w:rPr>
                <w:rFonts w:hint="eastAsia" w:ascii="宋体" w:hAnsi="宋体" w:cs="宋体"/>
                <w:sz w:val="24"/>
                <w:szCs w:val="24"/>
                <w:lang w:val="en-US" w:eastAsia="zh-CN"/>
              </w:rPr>
              <w:t>。</w:t>
            </w:r>
          </w:p>
        </w:tc>
      </w:tr>
      <w:tr w14:paraId="17CE7C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3255D3F7">
            <w:pPr>
              <w:spacing w:line="360" w:lineRule="auto"/>
              <w:jc w:val="center"/>
              <w:rPr>
                <w:rFonts w:hint="eastAsia" w:ascii="宋体" w:hAnsi="宋体" w:eastAsia="宋体" w:cs="宋体"/>
                <w:sz w:val="24"/>
                <w:szCs w:val="24"/>
              </w:rPr>
            </w:pPr>
          </w:p>
        </w:tc>
        <w:tc>
          <w:tcPr>
            <w:tcW w:w="1453" w:type="dxa"/>
            <w:noWrap w:val="0"/>
            <w:vAlign w:val="center"/>
          </w:tcPr>
          <w:p w14:paraId="7976C90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继续教育与</w:t>
            </w:r>
          </w:p>
          <w:p w14:paraId="72ACF74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培训、工作</w:t>
            </w:r>
          </w:p>
          <w:p w14:paraId="1E4D515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沟通机制 (</w:t>
            </w:r>
          </w:p>
          <w:p w14:paraId="1EE15DE5">
            <w:pPr>
              <w:spacing w:line="360" w:lineRule="auto"/>
              <w:jc w:val="center"/>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rPr>
              <w:t>分）</w:t>
            </w:r>
          </w:p>
        </w:tc>
        <w:tc>
          <w:tcPr>
            <w:tcW w:w="5996" w:type="dxa"/>
            <w:gridSpan w:val="2"/>
            <w:noWrap w:val="0"/>
            <w:vAlign w:val="top"/>
          </w:tcPr>
          <w:p w14:paraId="1AD36C1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提供针对本项目</w:t>
            </w:r>
            <w:r>
              <w:rPr>
                <w:rFonts w:hint="eastAsia" w:ascii="宋体" w:hAnsi="宋体" w:eastAsia="宋体" w:cs="宋体"/>
                <w:sz w:val="24"/>
                <w:szCs w:val="24"/>
              </w:rPr>
              <w:t>特点及要求所制定的继续教育与培训、工作沟通机制（包括但不限于派驻医务人员的日常人事管理、业务管理及常态化做好医疗业务培训和相关职业道德教育培训；项目服务队伍内部沟通机制、与采购单位的沟通机制）</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得</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分，缺项或不提供不得分</w:t>
            </w:r>
            <w:r>
              <w:rPr>
                <w:rFonts w:hint="eastAsia" w:ascii="宋体" w:hAnsi="宋体" w:cs="宋体"/>
                <w:sz w:val="24"/>
                <w:szCs w:val="24"/>
                <w:lang w:val="en-US" w:eastAsia="zh-CN"/>
              </w:rPr>
              <w:t>。</w:t>
            </w:r>
          </w:p>
        </w:tc>
      </w:tr>
      <w:tr w14:paraId="4D3CB2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61436D5A">
            <w:pPr>
              <w:spacing w:line="360" w:lineRule="auto"/>
              <w:jc w:val="center"/>
              <w:rPr>
                <w:rFonts w:hint="eastAsia" w:ascii="宋体" w:hAnsi="宋体" w:eastAsia="宋体" w:cs="宋体"/>
                <w:sz w:val="24"/>
                <w:szCs w:val="24"/>
              </w:rPr>
            </w:pPr>
          </w:p>
        </w:tc>
        <w:tc>
          <w:tcPr>
            <w:tcW w:w="1453" w:type="dxa"/>
            <w:noWrap w:val="0"/>
            <w:vAlign w:val="center"/>
          </w:tcPr>
          <w:p w14:paraId="35DAACA5">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项目重点难</w:t>
            </w:r>
          </w:p>
          <w:p w14:paraId="3496546A">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点分析及合</w:t>
            </w:r>
          </w:p>
          <w:p w14:paraId="7F91B117">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理化建议 (</w:t>
            </w:r>
          </w:p>
          <w:p w14:paraId="6E3FEC01">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6分）</w:t>
            </w:r>
          </w:p>
        </w:tc>
        <w:tc>
          <w:tcPr>
            <w:tcW w:w="5996" w:type="dxa"/>
            <w:gridSpan w:val="2"/>
            <w:noWrap w:val="0"/>
            <w:vAlign w:val="center"/>
          </w:tcPr>
          <w:p w14:paraId="0819A77D">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提供针对本项目实施过程中出现的重点难点分析及合理化建议方案的得6分，缺项或不提供不得分</w:t>
            </w:r>
            <w:r>
              <w:rPr>
                <w:rFonts w:hint="eastAsia" w:ascii="宋体" w:hAnsi="宋体" w:cs="宋体"/>
                <w:sz w:val="24"/>
                <w:szCs w:val="24"/>
                <w:lang w:val="en-US" w:eastAsia="zh-CN"/>
              </w:rPr>
              <w:t>。</w:t>
            </w:r>
          </w:p>
        </w:tc>
      </w:tr>
      <w:tr w14:paraId="7D5296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052006DC">
            <w:pPr>
              <w:spacing w:line="360" w:lineRule="auto"/>
              <w:jc w:val="center"/>
              <w:rPr>
                <w:rFonts w:hint="eastAsia" w:ascii="宋体" w:hAnsi="宋体" w:eastAsia="宋体" w:cs="宋体"/>
                <w:sz w:val="24"/>
                <w:szCs w:val="24"/>
              </w:rPr>
            </w:pPr>
          </w:p>
        </w:tc>
        <w:tc>
          <w:tcPr>
            <w:tcW w:w="1453" w:type="dxa"/>
            <w:noWrap w:val="0"/>
            <w:vAlign w:val="center"/>
          </w:tcPr>
          <w:p w14:paraId="623D15AE">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应急预案</w:t>
            </w:r>
          </w:p>
          <w:p w14:paraId="28B4A833">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（6分）</w:t>
            </w:r>
          </w:p>
        </w:tc>
        <w:tc>
          <w:tcPr>
            <w:tcW w:w="5996" w:type="dxa"/>
            <w:gridSpan w:val="2"/>
            <w:noWrap w:val="0"/>
            <w:vAlign w:val="top"/>
          </w:tcPr>
          <w:p w14:paraId="0DCB6D94">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提供针对本项目特点及要求所制定的应急预案方案（</w:t>
            </w:r>
            <w:r>
              <w:rPr>
                <w:rFonts w:hint="eastAsia" w:ascii="宋体" w:hAnsi="宋体" w:eastAsia="宋体" w:cs="宋体"/>
                <w:sz w:val="24"/>
                <w:szCs w:val="24"/>
              </w:rPr>
              <w:t>包括但不限于</w:t>
            </w:r>
            <w:r>
              <w:rPr>
                <w:rFonts w:hint="eastAsia" w:ascii="宋体" w:hAnsi="宋体" w:eastAsia="宋体" w:cs="宋体"/>
                <w:sz w:val="24"/>
                <w:szCs w:val="24"/>
                <w:lang w:val="en-US" w:eastAsia="zh-CN"/>
              </w:rPr>
              <w:t>遇有医疗特殊时期，围绕收押 、监所管理、物品交接、应急处置等方面）</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得6分，缺项或不提供不得分</w:t>
            </w:r>
            <w:r>
              <w:rPr>
                <w:rFonts w:hint="eastAsia" w:ascii="宋体" w:hAnsi="宋体" w:cs="宋体"/>
                <w:sz w:val="24"/>
                <w:szCs w:val="24"/>
                <w:lang w:val="en-US" w:eastAsia="zh-CN"/>
              </w:rPr>
              <w:t>。</w:t>
            </w:r>
          </w:p>
        </w:tc>
      </w:tr>
      <w:tr w14:paraId="58611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restart"/>
            <w:tcBorders>
              <w:left w:val="single" w:color="auto" w:sz="4" w:space="0"/>
            </w:tcBorders>
            <w:noWrap w:val="0"/>
            <w:vAlign w:val="center"/>
          </w:tcPr>
          <w:p w14:paraId="4FADCFED">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p w14:paraId="59384665">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25</w:t>
            </w:r>
            <w:r>
              <w:rPr>
                <w:rFonts w:hint="eastAsia" w:ascii="宋体" w:hAnsi="宋体" w:eastAsia="宋体" w:cs="宋体"/>
                <w:sz w:val="24"/>
                <w:szCs w:val="24"/>
                <w:lang w:val="en-US" w:eastAsia="zh-CN"/>
              </w:rPr>
              <w:t>分）</w:t>
            </w:r>
          </w:p>
        </w:tc>
        <w:tc>
          <w:tcPr>
            <w:tcW w:w="1453" w:type="dxa"/>
            <w:noWrap w:val="0"/>
            <w:vAlign w:val="center"/>
          </w:tcPr>
          <w:p w14:paraId="4C8D7FA4">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企业实力</w:t>
            </w:r>
          </w:p>
          <w:p w14:paraId="37BDE7B1">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分）</w:t>
            </w:r>
          </w:p>
        </w:tc>
        <w:tc>
          <w:tcPr>
            <w:tcW w:w="5996" w:type="dxa"/>
            <w:gridSpan w:val="2"/>
            <w:noWrap w:val="0"/>
            <w:vAlign w:val="top"/>
          </w:tcPr>
          <w:p w14:paraId="2D26AA71">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具有急诊救治服务的能力（包括但不限于急诊、重症监护室、急诊病房等），具有急诊病房得2分；具有重症监护室得</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分；本项最多</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分。</w:t>
            </w:r>
          </w:p>
          <w:p w14:paraId="3100D6A7">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注：投标文件中须提供相关证明图片且清晰可见，未提供的不得分，不累计得分。</w:t>
            </w:r>
          </w:p>
        </w:tc>
      </w:tr>
      <w:tr w14:paraId="6B2E4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34D86C8C">
            <w:pPr>
              <w:spacing w:line="360" w:lineRule="auto"/>
              <w:jc w:val="center"/>
              <w:rPr>
                <w:rFonts w:hint="eastAsia" w:ascii="宋体" w:hAnsi="宋体" w:eastAsia="宋体" w:cs="宋体"/>
                <w:sz w:val="24"/>
                <w:szCs w:val="24"/>
                <w:lang w:val="en-US" w:eastAsia="zh-CN"/>
              </w:rPr>
            </w:pPr>
          </w:p>
        </w:tc>
        <w:tc>
          <w:tcPr>
            <w:tcW w:w="1453" w:type="dxa"/>
            <w:noWrap w:val="0"/>
            <w:vAlign w:val="center"/>
          </w:tcPr>
          <w:p w14:paraId="17BACA35">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人员配备 (12分）</w:t>
            </w:r>
          </w:p>
        </w:tc>
        <w:tc>
          <w:tcPr>
            <w:tcW w:w="5996" w:type="dxa"/>
            <w:gridSpan w:val="2"/>
            <w:noWrap w:val="0"/>
            <w:vAlign w:val="top"/>
          </w:tcPr>
          <w:p w14:paraId="0EAEDB79">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1.拟派项目负责人具有副高级及以上职称的得2分，最高2分。</w:t>
            </w:r>
          </w:p>
          <w:p w14:paraId="5FB15260">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2.拟派项目人员中在满足采购需求的基础上每再提供1名具有主治医师资格人员的得1分，最多得5分。</w:t>
            </w:r>
          </w:p>
          <w:p w14:paraId="1906FA81">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3.拟派项目人员中在满足采购需求的基础上每再提供1名具有护理资格人员的得1分，最多得5分；</w:t>
            </w:r>
          </w:p>
          <w:p w14:paraId="3CE786C0">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注：投标文件中须提供以上人员证书且清晰可见，未提供的不得分，不累计得分。</w:t>
            </w:r>
          </w:p>
        </w:tc>
      </w:tr>
      <w:tr w14:paraId="7E2BB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70" w:type="dxa"/>
            <w:vMerge w:val="continue"/>
            <w:tcBorders>
              <w:left w:val="single" w:color="auto" w:sz="4" w:space="0"/>
            </w:tcBorders>
            <w:noWrap w:val="0"/>
            <w:vAlign w:val="center"/>
          </w:tcPr>
          <w:p w14:paraId="0518BEAF">
            <w:pPr>
              <w:spacing w:line="360" w:lineRule="auto"/>
              <w:jc w:val="center"/>
              <w:rPr>
                <w:rFonts w:hint="eastAsia" w:ascii="宋体" w:hAnsi="宋体" w:eastAsia="宋体" w:cs="宋体"/>
                <w:sz w:val="24"/>
                <w:szCs w:val="24"/>
                <w:lang w:val="en-US" w:eastAsia="zh-CN"/>
              </w:rPr>
            </w:pPr>
          </w:p>
        </w:tc>
        <w:tc>
          <w:tcPr>
            <w:tcW w:w="1453" w:type="dxa"/>
            <w:noWrap w:val="0"/>
            <w:vAlign w:val="center"/>
          </w:tcPr>
          <w:p w14:paraId="0E167BF0">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服务承诺</w:t>
            </w:r>
          </w:p>
          <w:p w14:paraId="39BF478C">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（9分）</w:t>
            </w:r>
          </w:p>
        </w:tc>
        <w:tc>
          <w:tcPr>
            <w:tcW w:w="5996" w:type="dxa"/>
            <w:gridSpan w:val="2"/>
            <w:noWrap w:val="0"/>
            <w:vAlign w:val="top"/>
          </w:tcPr>
          <w:p w14:paraId="33DA1466">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1.投标人承诺为采购人提供绿色通道（包括但不限于对被监管人员的门诊、急诊及住院实行先看病后缴费</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协调医院相关业务科室，开辟各种辅助检查的优先检查通道，给予优先检查、优先诊疗、优先救治、优先住院等快速有效的出所就医保障工作；对于需要转送其他医院救治的， 由院方负责协调对接等），方便采购人第一时间可以押送就医的得3分，缺项不得分。</w:t>
            </w:r>
          </w:p>
          <w:p w14:paraId="2E99E96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2.采购人若出现突发事件等重大情况，投标人承诺第一时间增派人手，协助采购人</w:t>
            </w:r>
            <w:r>
              <w:rPr>
                <w:rFonts w:hint="eastAsia" w:ascii="宋体" w:hAnsi="宋体" w:cs="宋体"/>
                <w:sz w:val="24"/>
                <w:szCs w:val="24"/>
                <w:lang w:val="en-US" w:eastAsia="zh-CN"/>
              </w:rPr>
              <w:t>的</w:t>
            </w:r>
            <w:r>
              <w:rPr>
                <w:rFonts w:hint="eastAsia" w:ascii="宋体" w:hAnsi="宋体" w:eastAsia="宋体" w:cs="宋体"/>
                <w:sz w:val="24"/>
                <w:szCs w:val="24"/>
                <w:lang w:val="en-US" w:eastAsia="zh-CN"/>
              </w:rPr>
              <w:t>得2分，不提供不得分。</w:t>
            </w:r>
          </w:p>
          <w:p w14:paraId="42F2089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3.承诺可实施远程医疗会诊服务的，使在押人员在监所内就可得到有效救治的得2分，不提供不得分。</w:t>
            </w:r>
          </w:p>
          <w:p w14:paraId="23DA0942">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4.承诺提供市医保药品目录内药品（特殊药品采购另行协商解决）并保证药品质量及进货渠道、运输途径的合法合规性的得2分，缺项不得分。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36"/>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308A9F2">
      <w:pPr>
        <w:spacing w:line="560" w:lineRule="exact"/>
        <w:rPr>
          <w:rFonts w:ascii="宋体" w:hAnsi="宋体" w:cs="宋体"/>
          <w:sz w:val="24"/>
          <w:highlight w:val="none"/>
        </w:rPr>
        <w:sectPr>
          <w:footerReference r:id="rId5" w:type="default"/>
          <w:pgSz w:w="11907" w:h="16840"/>
          <w:pgMar w:top="2098" w:right="1474" w:bottom="1985" w:left="1588" w:header="851" w:footer="992" w:gutter="0"/>
          <w:pgNumType w:fmt="decimal"/>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1B7BF28D">
      <w:pPr>
        <w:spacing w:line="360" w:lineRule="auto"/>
        <w:ind w:firstLine="241" w:firstLineChars="100"/>
        <w:jc w:val="lef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（1）技术要求</w:t>
      </w:r>
    </w:p>
    <w:p w14:paraId="7225963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为保障执法办案管理中心及监所在押人员合法权益，降低嫌疑人及被羁押人员在监管场所病亡风险，根据公安部下发公监管【2025】552号《关于加强监管医院(病区)建设管理工作的通知》,《关于在全省执法办案管理中心开展前置医疗工作的通知》(豫公明发[2025]53号)在广泛征求办案单位、办案管理中心、监所意见建议的基础上，结合我局执法办案管理中心及监所羁押量和日常医疗需求，总结近两年医疗卫生专业化运行过程中的经验和不足，拟在本次服务采购工作中提出下列服务需求：</w:t>
      </w:r>
    </w:p>
    <w:p w14:paraId="4722C5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一、医疗机构级别</w:t>
      </w:r>
    </w:p>
    <w:p w14:paraId="7A35CDE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本次采购要求医疗机构级别为二级以上(包括二级)乡镇、县区级医院。</w:t>
      </w:r>
    </w:p>
    <w:p w14:paraId="0077FF7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二、医务模式要求</w:t>
      </w:r>
    </w:p>
    <w:p w14:paraId="079AE04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1、协作医院对郸城县公安局执法办案管理中心体检区、看守所、拘留所和协作医院监管病区提供医疗服务。并负责办理相关驻监所医疗机构手续。</w:t>
      </w:r>
    </w:p>
    <w:p w14:paraId="280677D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协作医院负责为郸城县公安局执法办案管理中心体检区、看守所、拘留所和协作医院设立全科监管病区提供医疗服务。医护人员具体工作内容、标准符合执法办案管理中心、监管场所要求及医疗卫生行业标准。</w:t>
      </w:r>
    </w:p>
    <w:p w14:paraId="6B2222D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3、协作医院负责办理相关的医疗机构执业许可证(包括设备职业病防止预评价、控制评价报告、诊疗许可证办理、看守所、拘留所医疗机构执业许可证等)。</w:t>
      </w:r>
    </w:p>
    <w:p w14:paraId="1406301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协作医院应安排1名院领导负责郸城县公安局执法办案管理中心体检区、看守所、拘留所和协作医院全科监管病区医疗服务工作，同时明确1名负责人具体负责执法办案管理中心体检区，看守所、拘留所全科监管病区所有医护人员，实行科室化运作模式。</w:t>
      </w:r>
    </w:p>
    <w:p w14:paraId="059287F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5、派驻医护人员必须具备相应的医师资格和护理资格(包括B超、检验、全科等相应学科医师执业资格),具有至少三年以上工作经验，派遣实习生不作为派驻医护人员力量。</w:t>
      </w:r>
    </w:p>
    <w:p w14:paraId="2BC7ED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6、所有医护岗位值班时间均为24小时。</w:t>
      </w:r>
    </w:p>
    <w:p w14:paraId="7E09B53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三、协作医院派驻人员数量及工作运转模式要求</w:t>
      </w:r>
    </w:p>
    <w:p w14:paraId="5C01EBE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郸城县公安局执法办案管理中心体检区，看守所，拘留所和协作医院监管病区医护人员实行派驻制度，公安局执法办案管理中心派驻医师2人，医技10人；看守所派驻医师3人，医护3人；拘留所派驻医师2人医护2人。派驻人员必须具备相应的执业医师资格和护理资格，必须满足监所日常医疗需求。</w:t>
      </w:r>
    </w:p>
    <w:p w14:paraId="0B73BF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2、郸城县公安局执法办案管理中心体检区、看守所、拘留所和协作医院监管病区医护人员实行实行派驻值班制度，每日白班派驻不低于1名医生、1名护士；夜班派驻不低于1</w:t>
      </w:r>
    </w:p>
    <w:p w14:paraId="66CA1C2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sectPr>
          <w:headerReference r:id="rId6" w:type="default"/>
          <w:footerReference r:id="rId7" w:type="default"/>
          <w:pgSz w:w="11900" w:h="16920"/>
          <w:pgMar w:top="1109" w:right="859" w:bottom="1293" w:left="1279" w:header="1089" w:footer="1136" w:gutter="0"/>
          <w:pgNumType w:fmt="decimal"/>
          <w:cols w:space="720" w:num="1"/>
        </w:sectPr>
      </w:pPr>
    </w:p>
    <w:p w14:paraId="7198DD5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名医生、1名护士。进行每日医疗工作。</w:t>
      </w:r>
    </w:p>
    <w:p w14:paraId="36DB926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四、医疗服务要求</w:t>
      </w:r>
    </w:p>
    <w:p w14:paraId="2C674F2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1、协作医院有完善的服务方案并报监所审核，包括具体的管理制度、轮班制度、交接班制度、病号跟踪制度等。</w:t>
      </w:r>
    </w:p>
    <w:p w14:paraId="4072EFA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协作医院派驻在执法办案管理中心体检区，看守所、拘留所和监管病区的医护人员需提前向采购人进行报备，相关资质不符合要求或未经同意不得派驻以上场所从事医疗服务工作，派驻医护人员轮换需经采购人方同意，不得随意进行轮换。</w:t>
      </w:r>
    </w:p>
    <w:p w14:paraId="76E97CC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协作医院派驻医师负责对办案部门送押到郸城县公安局执法办案管理中心及看守所拘留所的拟羁押人员进行健康与体表检查、病史问诊等，初步判断体检及拟羁押人员身体状况是否符合羁押，并登记、收集新入所人员医务档案材料。对不适合羁押人员要提出不予收押、收拘建议，并上报当班领导。</w:t>
      </w:r>
    </w:p>
    <w:p w14:paraId="2660828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4、派驻医护人员应进行体检、初诊、监所巡诊、急诊病号的登记和治疗工作，并负责监所在押在拘人员突发疾病的处理工作，巡诊每日上下午各一次，处置病号情况应进行登记并出具医嘱。</w:t>
      </w:r>
    </w:p>
    <w:p w14:paraId="31FF0E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派驻的医护人员在体检、初诊、监所巡诊中发现病号或对巡视民警报告的病号要及时到现场诊治，对危重病人及时救治，对诊断不清，需要出所检查的在押(拘)人员，要及时提出出所检查意见。对监所重点病号开展专家热线咨询或现场会诊服务，真正做到小病不出所，急、危病能及时应对处置。出所就医所需检查及治疗费用由采购人据实结算。</w:t>
      </w:r>
    </w:p>
    <w:p w14:paraId="3509AB3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6、派驻的医护人员发现疫情要及时向监所领导报告并采取有效措施进行控制。</w:t>
      </w:r>
    </w:p>
    <w:p w14:paraId="66AF36B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7、派驻的医护人员为在进入执法办案管理中心的嫌疑人及监所在押人员逐人建立符合监管和医疗相关规定的医疗档案，(医疗档案应详细记载在押人员的病史、每次健康检查情况、体表检查、七日跟踪、患病情况、每次用药情况、在所和出所治疗情况、住院病历、半年五项体检健康检查等),积极做好在押人员健康调查工作，配合办案单位对在押人员进行必要的辅助检查，切实掌握在押人员的身体健康状况。</w:t>
      </w:r>
    </w:p>
    <w:p w14:paraId="778DC7A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8、协作医院负责执法办案管理中心体检区，看守所、拘留所和监管病区过期药品和医疗垃圾的集中处理。</w:t>
      </w:r>
    </w:p>
    <w:p w14:paraId="5AB0A51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9、对执法办案管理中心体检区，看守所、拘留所和监管病区接待的体检人员，在押管理教育工作由办案单位及监所承担，医疗责任由协作医院承担；因派驻人员处理不当导致嫌疑人、在押人员伤残或者死亡等情况的，由协作医院按照医疗事故处理办法出面处理善后事宜；在押(拘)人员因病正常死亡的，双方应相互配合处理善后事宜；</w:t>
      </w:r>
    </w:p>
    <w:p w14:paraId="3D8377B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sectPr>
          <w:headerReference r:id="rId8" w:type="default"/>
          <w:footerReference r:id="rId9" w:type="default"/>
          <w:pgSz w:w="11900" w:h="16940"/>
          <w:pgMar w:top="1130" w:right="904" w:bottom="1303" w:left="1259" w:header="1110" w:footer="1147" w:gutter="0"/>
          <w:pgNumType w:fmt="decimal"/>
          <w:cols w:space="720" w:num="1"/>
        </w:sectPr>
      </w:pPr>
    </w:p>
    <w:p w14:paraId="675C107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10、派驻医护工作人员应遵守并服从执法办案管理中心及监所管理的有关规定，签订保密协议，不得泄露在押(拘)人员及住院在押(拘)人员的信息，不得打听相关案情或为在押(拘)人员通风报信、捎带物品、食品、药品等违禁危险物品以及其他有违反监所管理的行为，对在押(拘)人员的病情及诊疗情况负有保密责任，不得提供虚假信息，不得瞒报虚报在押(拘)人员病情及诊断，病区病历由协作医院和监所共同管理。</w:t>
      </w:r>
    </w:p>
    <w:p w14:paraId="2A5ABEA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11、协作医院派驻医护人员在工作中被发现有违反执法办案管理中心及监所管理规定或其他已不再适合继续从事执法办案管理中心及监所医疗工作行为的，由采购人用人单位提出后派驻方应当及时予以更换；</w:t>
      </w:r>
    </w:p>
    <w:p w14:paraId="659CBE6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12、协作医院有义务根据监所需求如实出具有关诊断、鉴定等证明材料。</w:t>
      </w:r>
    </w:p>
    <w:p w14:paraId="0B6F1F6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13、协作医院应在医院院区或监所设置专门监管病区。拟设置监管病区病床不少于3张，提供民警值班室进行监控看管。并在监管病区加装安全防范措施(如防护网、AB门、监控全方位无死角等),并提供紧急病人住院绿色通道。</w:t>
      </w:r>
    </w:p>
    <w:p w14:paraId="67EADDA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14、协作医院负责将医管系统接入执法办案管理中心及监所，畅通医保报销渠道。</w:t>
      </w:r>
    </w:p>
    <w:p w14:paraId="6881649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15、协作医院应在执法办案管理中心及监所建立药房，保障监所日常所需用药，供应确保及时有效。</w:t>
      </w:r>
    </w:p>
    <w:p w14:paraId="6EA41E2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16、协作医院应针对执法办案管理中心及监所在押(拘)人员出所就医建立绿色通道，具体内容由双方协商确定。</w:t>
      </w:r>
    </w:p>
    <w:p w14:paraId="66CFDBC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五、违约责任：</w:t>
      </w:r>
    </w:p>
    <w:p w14:paraId="7017864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1、如派驻的医护人员不具备相应资格，一经发现，采购人有权单方解除本协议，造成其他后果的，由协作医院承担全部赔偿责任。</w:t>
      </w:r>
    </w:p>
    <w:p w14:paraId="5A797C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2、如派驻的医护人员存在脱岗情况，发现一次，通报协作医院做具体处置，同时采购人有权要求协作医院调整人员安排或单方解除本协议，由此造成其他后果的，由供方承担全部赔偿责任。</w:t>
      </w:r>
    </w:p>
    <w:p w14:paraId="7A27750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如协作医院建立的医疗档案存在错误或遗漏，发现一次，通报院方做具体处置，造成其他后果的，由协作医院承担全部赔偿责任；累计发现3次以上的，采购人有权要求协作医院调整人员安排或单方解除本协议。</w:t>
      </w:r>
    </w:p>
    <w:p w14:paraId="491C84F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4、如协作医院派驻人员处理不当导致嫌疑人、在押人员伤残或者死亡等情况的，由协作医院承担全部赔偿责任，如协作医院处理善后事宜不积极或不妥当，采购人可单方处理，全部相关费用均由协作医院承担。</w:t>
      </w:r>
    </w:p>
    <w:p w14:paraId="430AE7C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5、派驻人员的不当行为及产生的一切后果，均由协作医院承担，协作医院不得以系派</w:t>
      </w:r>
    </w:p>
    <w:p w14:paraId="1CD6532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sectPr>
          <w:headerReference r:id="rId10" w:type="default"/>
          <w:footerReference r:id="rId11" w:type="default"/>
          <w:pgSz w:w="11900" w:h="16920"/>
          <w:pgMar w:top="1129" w:right="784" w:bottom="1293" w:left="1249" w:header="1109" w:footer="490" w:gutter="0"/>
          <w:pgNumType w:fmt="decimal"/>
          <w:cols w:space="720" w:num="1"/>
        </w:sectPr>
      </w:pPr>
    </w:p>
    <w:p w14:paraId="4A9A62D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驻人员个人行为为由进行推脱。</w:t>
      </w:r>
    </w:p>
    <w:p w14:paraId="020A0B0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6、协作医院未经报备，未得到采购人同意随意更换派驻人员，发现协作医院有此行为的，采购人有权拒绝该人员派驻，并有权单方解除本协议，造成其他后果的，由协作医院承担全部赔偿责任。</w:t>
      </w:r>
    </w:p>
    <w:p w14:paraId="3AFA17A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7、协作医院不得以任何理由暂停服务或降低服务标准，由此造成一切后果的，由协作医院承担全部赔偿责任。</w:t>
      </w:r>
    </w:p>
    <w:p w14:paraId="78C055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六、执法办案管理中心及监所的权利和义务</w:t>
      </w:r>
    </w:p>
    <w:p w14:paraId="175B67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1、执法办案管理中心及监所提供符合医疗条件的必备场所并承担协作方在工作时的日常水电费用支出。提供全部仪器设备及医用耗材，并确保合格且处于有效期内。</w:t>
      </w:r>
    </w:p>
    <w:p w14:paraId="2AF77C8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2、执法办案管理中心及监所为协作方提供正常的医务工作环境，为派驻医务工作人员的生活和后勤服务提供便利。</w:t>
      </w:r>
    </w:p>
    <w:p w14:paraId="6B471C4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3、执法办案管理中心及监所有权对派驻医护人员进行核查，发现不适宜在执法办案管理中心及监所工作的采购人有权要求协作方及时更换。</w:t>
      </w:r>
    </w:p>
    <w:p w14:paraId="48E6F89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4、执法办案管理中心及监所有权按照执法办案管理中心及监所管理制度对派驻医护人员进行管理。</w:t>
      </w:r>
    </w:p>
    <w:p w14:paraId="2730C635">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(2)商务要求</w:t>
      </w:r>
    </w:p>
    <w:p w14:paraId="5518E2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1、支付方式：签订合同后，(按季度结算或每半年结算一次或每年结算一次),具体以合同约定为准。</w:t>
      </w:r>
    </w:p>
    <w:p w14:paraId="764EC4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2、供货地点：采购人指定地点；</w:t>
      </w:r>
    </w:p>
    <w:p w14:paraId="7585660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3、服务期：1年；</w:t>
      </w:r>
    </w:p>
    <w:p w14:paraId="432D8B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4、质量保证：合格，符合现行国家和行业规范标准。</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lang w:val="en-US" w:eastAsia="zh-CN"/>
        </w:rPr>
        <w:t>5</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5CB7EE59">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36"/>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36"/>
        <w:ind w:firstLine="240"/>
        <w:rPr>
          <w:rFonts w:ascii="宋体" w:hAnsi="宋体" w:cs="宋体"/>
          <w:sz w:val="24"/>
          <w:highlight w:val="none"/>
        </w:rPr>
      </w:pPr>
    </w:p>
    <w:p w14:paraId="2742E2F9">
      <w:pPr>
        <w:pStyle w:val="36"/>
        <w:ind w:firstLine="240"/>
        <w:rPr>
          <w:rFonts w:ascii="宋体" w:hAnsi="宋体" w:cs="宋体"/>
          <w:sz w:val="24"/>
          <w:highlight w:val="none"/>
        </w:rPr>
      </w:pPr>
    </w:p>
    <w:p w14:paraId="399B1873">
      <w:pPr>
        <w:pStyle w:val="36"/>
        <w:ind w:firstLine="240"/>
        <w:rPr>
          <w:rFonts w:ascii="宋体" w:hAnsi="宋体" w:cs="宋体"/>
          <w:sz w:val="24"/>
          <w:highlight w:val="none"/>
        </w:rPr>
      </w:pPr>
    </w:p>
    <w:p w14:paraId="4A5C0908">
      <w:pPr>
        <w:pStyle w:val="36"/>
        <w:ind w:firstLine="240"/>
        <w:rPr>
          <w:rFonts w:ascii="宋体" w:hAnsi="宋体" w:cs="宋体"/>
          <w:sz w:val="24"/>
          <w:highlight w:val="none"/>
        </w:rPr>
      </w:pPr>
    </w:p>
    <w:p w14:paraId="72335D9F">
      <w:pPr>
        <w:pStyle w:val="36"/>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36"/>
        <w:ind w:firstLine="210"/>
        <w:rPr>
          <w:highlight w:val="none"/>
        </w:rPr>
      </w:pPr>
    </w:p>
    <w:p w14:paraId="7CDDF6E2">
      <w:pPr>
        <w:pStyle w:val="36"/>
        <w:ind w:firstLine="210"/>
        <w:rPr>
          <w:highlight w:val="none"/>
        </w:rPr>
      </w:pPr>
    </w:p>
    <w:p w14:paraId="014F088B">
      <w:pPr>
        <w:pStyle w:val="36"/>
        <w:ind w:firstLine="210"/>
        <w:rPr>
          <w:highlight w:val="none"/>
        </w:rPr>
      </w:pPr>
    </w:p>
    <w:p w14:paraId="11C3C249">
      <w:pPr>
        <w:pStyle w:val="36"/>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4"/>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 xml:space="preserve">电 话：               </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197934561"/>
      <w:bookmarkStart w:id="35" w:name="_Toc49541423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36"/>
        <w:ind w:firstLine="240"/>
        <w:rPr>
          <w:rFonts w:ascii="宋体" w:hAnsi="宋体" w:cs="宋体"/>
          <w:sz w:val="24"/>
          <w:highlight w:val="none"/>
        </w:rPr>
      </w:pPr>
    </w:p>
    <w:p w14:paraId="0AF5410C">
      <w:pPr>
        <w:pStyle w:val="36"/>
        <w:ind w:firstLine="240"/>
        <w:rPr>
          <w:rFonts w:ascii="宋体" w:hAnsi="宋体" w:cs="宋体"/>
          <w:sz w:val="24"/>
          <w:highlight w:val="none"/>
        </w:rPr>
      </w:pPr>
    </w:p>
    <w:p w14:paraId="36C60824">
      <w:pPr>
        <w:pStyle w:val="36"/>
        <w:ind w:firstLine="240"/>
        <w:rPr>
          <w:rFonts w:ascii="宋体" w:hAnsi="宋体" w:cs="宋体"/>
          <w:sz w:val="24"/>
          <w:highlight w:val="none"/>
        </w:rPr>
      </w:pPr>
    </w:p>
    <w:p w14:paraId="35A34597">
      <w:pPr>
        <w:pStyle w:val="36"/>
        <w:ind w:firstLine="240"/>
        <w:rPr>
          <w:rFonts w:ascii="宋体" w:hAnsi="宋体" w:cs="宋体"/>
          <w:sz w:val="24"/>
          <w:highlight w:val="none"/>
        </w:rPr>
      </w:pPr>
    </w:p>
    <w:p w14:paraId="5A8EFA76">
      <w:pPr>
        <w:pStyle w:val="36"/>
        <w:ind w:firstLine="240"/>
        <w:rPr>
          <w:rFonts w:ascii="宋体" w:hAnsi="宋体" w:cs="宋体"/>
          <w:sz w:val="24"/>
          <w:highlight w:val="none"/>
        </w:rPr>
      </w:pPr>
    </w:p>
    <w:p w14:paraId="35705D53">
      <w:pPr>
        <w:pStyle w:val="36"/>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36"/>
        <w:ind w:firstLine="241"/>
        <w:rPr>
          <w:rFonts w:ascii="宋体" w:hAnsi="宋体" w:cs="宋体"/>
          <w:b/>
          <w:sz w:val="24"/>
          <w:highlight w:val="none"/>
        </w:rPr>
      </w:pPr>
    </w:p>
    <w:p w14:paraId="7912DE7A">
      <w:pPr>
        <w:pStyle w:val="36"/>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1"/>
        <w:rPr>
          <w:rFonts w:ascii="宋体" w:hAnsi="宋体" w:cs="宋体"/>
          <w:sz w:val="24"/>
          <w:szCs w:val="24"/>
          <w:highlight w:val="none"/>
        </w:rPr>
      </w:pPr>
    </w:p>
    <w:p w14:paraId="51726D06">
      <w:pPr>
        <w:pStyle w:val="41"/>
        <w:rPr>
          <w:rFonts w:ascii="宋体" w:hAnsi="宋体" w:cs="宋体"/>
          <w:sz w:val="24"/>
          <w:szCs w:val="24"/>
          <w:highlight w:val="none"/>
        </w:rPr>
      </w:pPr>
    </w:p>
    <w:p w14:paraId="5CF83A87">
      <w:pPr>
        <w:pStyle w:val="41"/>
        <w:rPr>
          <w:rFonts w:ascii="宋体" w:hAnsi="宋体" w:cs="宋体"/>
          <w:sz w:val="24"/>
          <w:szCs w:val="24"/>
          <w:highlight w:val="none"/>
        </w:rPr>
      </w:pPr>
    </w:p>
    <w:p w14:paraId="6949FCEF">
      <w:pPr>
        <w:pStyle w:val="41"/>
        <w:rPr>
          <w:rFonts w:ascii="宋体" w:hAnsi="宋体" w:cs="宋体"/>
          <w:sz w:val="24"/>
          <w:szCs w:val="24"/>
          <w:highlight w:val="none"/>
        </w:rPr>
      </w:pPr>
    </w:p>
    <w:p w14:paraId="66079CD5">
      <w:pPr>
        <w:pStyle w:val="41"/>
        <w:rPr>
          <w:rFonts w:ascii="宋体" w:hAnsi="宋体" w:cs="宋体"/>
          <w:sz w:val="24"/>
          <w:szCs w:val="24"/>
          <w:highlight w:val="none"/>
        </w:rPr>
      </w:pPr>
    </w:p>
    <w:p w14:paraId="2955110F">
      <w:pPr>
        <w:pStyle w:val="41"/>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1"/>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1"/>
        <w:rPr>
          <w:rFonts w:ascii="宋体" w:hAnsi="宋体" w:cs="宋体"/>
          <w:sz w:val="24"/>
          <w:szCs w:val="24"/>
          <w:highlight w:val="none"/>
        </w:rPr>
      </w:pPr>
    </w:p>
    <w:p w14:paraId="05C4B55B">
      <w:pPr>
        <w:pStyle w:val="6"/>
        <w:rPr>
          <w:rFonts w:ascii="宋体" w:hAnsi="宋体" w:eastAsia="宋体" w:cs="宋体"/>
          <w:sz w:val="24"/>
          <w:highlight w:val="none"/>
        </w:rPr>
      </w:pPr>
    </w:p>
    <w:p w14:paraId="4F4099A1">
      <w:pPr>
        <w:rPr>
          <w:rFonts w:ascii="宋体" w:hAnsi="宋体" w:cs="宋体"/>
          <w:sz w:val="24"/>
          <w:highlight w:val="none"/>
        </w:rPr>
      </w:pPr>
    </w:p>
    <w:p w14:paraId="742CDDD6">
      <w:pPr>
        <w:pStyle w:val="41"/>
        <w:rPr>
          <w:rFonts w:ascii="宋体" w:hAnsi="宋体" w:cs="宋体"/>
          <w:sz w:val="24"/>
          <w:szCs w:val="24"/>
          <w:highlight w:val="none"/>
        </w:rPr>
      </w:pPr>
    </w:p>
    <w:p w14:paraId="4A130160">
      <w:pPr>
        <w:pStyle w:val="6"/>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36"/>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10"/>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10"/>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2"/>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10"/>
        <w:pageBreakBefore w:val="0"/>
        <w:widowControl w:val="0"/>
        <w:kinsoku/>
        <w:wordWrap/>
        <w:overflowPunct w:val="0"/>
        <w:topLinePunct w:val="0"/>
        <w:autoSpaceDE/>
        <w:autoSpaceDN/>
        <w:bidi w:val="0"/>
        <w:adjustRightInd/>
        <w:snapToGrid/>
        <w:spacing w:line="364" w:lineRule="auto"/>
        <w:ind w:firstLine="420" w:firstLineChars="200"/>
        <w:textAlignment w:val="auto"/>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2"/>
        <w:pageBreakBefore w:val="0"/>
        <w:widowControl w:val="0"/>
        <w:kinsoku/>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10"/>
        <w:pageBreakBefore w:val="0"/>
        <w:widowControl w:val="0"/>
        <w:kinsoku/>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2"/>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6CA963B">
      <w:pPr>
        <w:spacing w:line="360" w:lineRule="auto"/>
        <w:ind w:firstLine="420" w:firstLineChars="20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s="宋体"/>
          <w:color w:val="auto"/>
          <w:highlight w:val="none"/>
        </w:rPr>
        <w:t>乙方</w:t>
      </w:r>
      <w:r>
        <w:rPr>
          <w:rFonts w:hint="eastAsia" w:ascii="宋体" w:hAnsi="宋体" w:cs="宋体"/>
          <w:color w:val="auto"/>
          <w:highlight w:val="none"/>
          <w:lang w:val="en-US" w:eastAsia="zh-CN"/>
        </w:rPr>
        <w:t>需在投标文件中承诺合同未约定或者未经采购人同意，不得向他人转让中标项目，也不得将中标项目肢解后分别向他人转让。否则视为不响应招标文件实质性要求。</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2"/>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36"/>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36"/>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36"/>
        <w:ind w:firstLine="321"/>
        <w:jc w:val="center"/>
        <w:rPr>
          <w:b/>
          <w:sz w:val="32"/>
          <w:szCs w:val="32"/>
          <w:highlight w:val="none"/>
        </w:rPr>
      </w:pPr>
      <w:r>
        <w:rPr>
          <w:rFonts w:hint="eastAsia"/>
          <w:b/>
          <w:sz w:val="32"/>
          <w:szCs w:val="32"/>
          <w:highlight w:val="none"/>
        </w:rPr>
        <w:t>周口市政府采购合同融资政策告知函</w:t>
      </w:r>
    </w:p>
    <w:p w14:paraId="1FD406FB">
      <w:pPr>
        <w:pStyle w:val="36"/>
        <w:ind w:firstLine="240"/>
        <w:rPr>
          <w:rFonts w:asciiTheme="minorEastAsia" w:hAnsiTheme="minorEastAsia" w:eastAsiaTheme="minorEastAsia"/>
          <w:sz w:val="24"/>
          <w:highlight w:val="none"/>
        </w:rPr>
      </w:pPr>
    </w:p>
    <w:p w14:paraId="0E082FA9">
      <w:pPr>
        <w:pStyle w:val="36"/>
        <w:ind w:firstLine="240"/>
        <w:rPr>
          <w:rFonts w:asciiTheme="minorEastAsia" w:hAnsiTheme="minorEastAsia" w:eastAsiaTheme="minorEastAsia"/>
          <w:sz w:val="24"/>
          <w:highlight w:val="none"/>
        </w:rPr>
      </w:pPr>
    </w:p>
    <w:p w14:paraId="620107BF">
      <w:pPr>
        <w:pStyle w:val="36"/>
        <w:ind w:firstLine="240"/>
        <w:rPr>
          <w:rFonts w:asciiTheme="minorEastAsia" w:hAnsiTheme="minorEastAsia" w:eastAsiaTheme="minorEastAsia"/>
          <w:sz w:val="24"/>
          <w:highlight w:val="none"/>
        </w:rPr>
      </w:pPr>
    </w:p>
    <w:p w14:paraId="01674F72">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4"/>
        <w:spacing w:before="0" w:beforeAutospacing="0" w:after="0" w:afterAutospacing="0" w:line="330" w:lineRule="atLeast"/>
        <w:rPr>
          <w:rFonts w:cs="仿宋_GB2312"/>
          <w:b/>
          <w:bCs/>
          <w:color w:val="0000FF"/>
          <w:sz w:val="21"/>
          <w:szCs w:val="21"/>
          <w:highlight w:val="none"/>
        </w:rPr>
      </w:pPr>
    </w:p>
    <w:p w14:paraId="40B779FA">
      <w:pPr>
        <w:pStyle w:val="24"/>
        <w:spacing w:before="0" w:beforeAutospacing="0" w:after="0" w:afterAutospacing="0" w:line="330" w:lineRule="atLeast"/>
        <w:rPr>
          <w:rFonts w:cs="仿宋_GB2312"/>
          <w:b/>
          <w:bCs/>
          <w:color w:val="0000FF"/>
          <w:sz w:val="21"/>
          <w:szCs w:val="21"/>
          <w:highlight w:val="none"/>
        </w:rPr>
      </w:pPr>
    </w:p>
    <w:p w14:paraId="183C33C5">
      <w:pPr>
        <w:pStyle w:val="24"/>
        <w:spacing w:before="0" w:beforeAutospacing="0" w:after="0" w:afterAutospacing="0" w:line="330" w:lineRule="atLeast"/>
        <w:rPr>
          <w:rFonts w:cs="仿宋_GB2312"/>
          <w:b/>
          <w:bCs/>
          <w:color w:val="0000FF"/>
          <w:sz w:val="21"/>
          <w:szCs w:val="21"/>
          <w:highlight w:val="none"/>
        </w:rPr>
      </w:pPr>
    </w:p>
    <w:p w14:paraId="37E20749">
      <w:pPr>
        <w:pStyle w:val="24"/>
        <w:spacing w:before="0" w:beforeAutospacing="0" w:after="0" w:afterAutospacing="0" w:line="330" w:lineRule="atLeast"/>
        <w:rPr>
          <w:rFonts w:cs="仿宋_GB2312"/>
          <w:b/>
          <w:bCs/>
          <w:color w:val="0000FF"/>
          <w:sz w:val="21"/>
          <w:szCs w:val="21"/>
          <w:highlight w:val="none"/>
        </w:rPr>
      </w:pPr>
    </w:p>
    <w:p w14:paraId="085FE3BA">
      <w:pPr>
        <w:pStyle w:val="24"/>
        <w:spacing w:before="0" w:beforeAutospacing="0" w:after="0" w:afterAutospacing="0" w:line="330" w:lineRule="atLeast"/>
        <w:rPr>
          <w:rFonts w:cs="仿宋_GB2312"/>
          <w:b/>
          <w:bCs/>
          <w:color w:val="0000FF"/>
          <w:sz w:val="21"/>
          <w:szCs w:val="21"/>
          <w:highlight w:val="none"/>
        </w:rPr>
      </w:pPr>
    </w:p>
    <w:p w14:paraId="78203EFC">
      <w:pPr>
        <w:pStyle w:val="24"/>
        <w:spacing w:before="0" w:beforeAutospacing="0" w:after="0" w:afterAutospacing="0" w:line="330" w:lineRule="atLeast"/>
        <w:rPr>
          <w:rFonts w:cs="仿宋_GB2312"/>
          <w:b/>
          <w:bCs/>
          <w:color w:val="0000FF"/>
          <w:sz w:val="21"/>
          <w:szCs w:val="21"/>
          <w:highlight w:val="none"/>
        </w:rPr>
      </w:pPr>
    </w:p>
    <w:p w14:paraId="062659B3">
      <w:pPr>
        <w:pStyle w:val="24"/>
        <w:spacing w:before="0" w:beforeAutospacing="0" w:after="0" w:afterAutospacing="0" w:line="330" w:lineRule="atLeast"/>
        <w:rPr>
          <w:rFonts w:cs="仿宋_GB2312"/>
          <w:b/>
          <w:bCs/>
          <w:color w:val="0000FF"/>
          <w:sz w:val="21"/>
          <w:szCs w:val="21"/>
          <w:highlight w:val="none"/>
        </w:rPr>
      </w:pPr>
    </w:p>
    <w:p w14:paraId="14F724CC">
      <w:pPr>
        <w:pStyle w:val="24"/>
        <w:spacing w:before="0" w:beforeAutospacing="0" w:after="0" w:afterAutospacing="0" w:line="330" w:lineRule="atLeast"/>
        <w:rPr>
          <w:rFonts w:cs="仿宋_GB2312"/>
          <w:b/>
          <w:bCs/>
          <w:color w:val="0000FF"/>
          <w:sz w:val="21"/>
          <w:szCs w:val="21"/>
          <w:highlight w:val="none"/>
        </w:rPr>
      </w:pPr>
    </w:p>
    <w:p w14:paraId="57E04E81">
      <w:pPr>
        <w:pStyle w:val="24"/>
        <w:spacing w:before="0" w:beforeAutospacing="0" w:after="0" w:afterAutospacing="0" w:line="330" w:lineRule="atLeast"/>
        <w:rPr>
          <w:rFonts w:cs="仿宋_GB2312"/>
          <w:b/>
          <w:bCs/>
          <w:color w:val="0000FF"/>
          <w:sz w:val="21"/>
          <w:szCs w:val="21"/>
          <w:highlight w:val="none"/>
        </w:rPr>
      </w:pPr>
    </w:p>
    <w:p w14:paraId="46A6A1B1">
      <w:pPr>
        <w:pStyle w:val="24"/>
        <w:spacing w:before="0" w:beforeAutospacing="0" w:after="0" w:afterAutospacing="0" w:line="330" w:lineRule="atLeast"/>
        <w:rPr>
          <w:rFonts w:cs="仿宋_GB2312"/>
          <w:b/>
          <w:bCs/>
          <w:color w:val="0000FF"/>
          <w:sz w:val="21"/>
          <w:szCs w:val="21"/>
          <w:highlight w:val="none"/>
        </w:rPr>
      </w:pPr>
    </w:p>
    <w:p w14:paraId="3EFB33B5">
      <w:pPr>
        <w:pStyle w:val="24"/>
        <w:spacing w:before="0" w:beforeAutospacing="0" w:after="0" w:afterAutospacing="0" w:line="330" w:lineRule="atLeast"/>
        <w:rPr>
          <w:rFonts w:cs="仿宋_GB2312"/>
          <w:b/>
          <w:bCs/>
          <w:color w:val="0000FF"/>
          <w:sz w:val="21"/>
          <w:szCs w:val="21"/>
          <w:highlight w:val="none"/>
        </w:rPr>
      </w:pPr>
    </w:p>
    <w:p w14:paraId="12ABD3D6">
      <w:pPr>
        <w:pStyle w:val="24"/>
        <w:spacing w:before="0" w:beforeAutospacing="0" w:after="0" w:afterAutospacing="0" w:line="330" w:lineRule="atLeast"/>
        <w:rPr>
          <w:rFonts w:cs="仿宋_GB2312"/>
          <w:b/>
          <w:bCs/>
          <w:color w:val="0000FF"/>
          <w:sz w:val="21"/>
          <w:szCs w:val="21"/>
          <w:highlight w:val="none"/>
        </w:rPr>
      </w:pPr>
    </w:p>
    <w:p w14:paraId="6B947510">
      <w:pPr>
        <w:pStyle w:val="24"/>
        <w:spacing w:before="0" w:beforeAutospacing="0" w:after="0" w:afterAutospacing="0" w:line="330" w:lineRule="atLeast"/>
        <w:rPr>
          <w:rFonts w:cs="仿宋_GB2312"/>
          <w:b/>
          <w:bCs/>
          <w:color w:val="0000FF"/>
          <w:sz w:val="21"/>
          <w:szCs w:val="21"/>
          <w:highlight w:val="none"/>
        </w:rPr>
      </w:pPr>
    </w:p>
    <w:p w14:paraId="0622DF07">
      <w:pPr>
        <w:pStyle w:val="36"/>
        <w:ind w:firstLine="210"/>
        <w:rPr>
          <w:highlight w:val="none"/>
        </w:rPr>
      </w:pPr>
    </w:p>
    <w:sectPr>
      <w:headerReference r:id="rId12" w:type="default"/>
      <w:footerReference r:id="rId13" w:type="default"/>
      <w:pgSz w:w="11907" w:h="16840"/>
      <w:pgMar w:top="1440" w:right="1588" w:bottom="1440" w:left="1588" w:header="851" w:footer="56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63F00">
    <w:pPr>
      <w:pStyle w:val="18"/>
    </w:pPr>
    <w:r>
      <w:rPr>
        <w:sz w:val="18"/>
      </w:rPr>
      <w:pict>
        <v:shape id="_x0000_s4106" o:spid="_x0000_s4106"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38D5E82E">
                <w:pPr>
                  <w:pStyle w:val="1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107" o:spid="_x0000_s4107"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69C601EC">
                <w:pPr>
                  <w:pStyle w:val="18"/>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9B0AA">
    <w:pPr>
      <w:spacing w:line="225" w:lineRule="auto"/>
      <w:ind w:left="4670"/>
      <w:rPr>
        <w:rFonts w:ascii="宋体" w:hAnsi="宋体" w:eastAsia="宋体" w:cs="宋体"/>
        <w:sz w:val="12"/>
        <w:szCs w:val="12"/>
      </w:rPr>
    </w:pPr>
    <w:r>
      <w:rPr>
        <w:sz w:val="12"/>
      </w:rPr>
      <w:pict>
        <v:shape id="_x0000_s4108" o:spid="_x0000_s4108"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54E9308D">
                <w:pPr>
                  <w:pStyle w:val="18"/>
                </w:pPr>
                <w:r>
                  <w:fldChar w:fldCharType="begin"/>
                </w:r>
                <w:r>
                  <w:instrText xml:space="preserve"> PAGE  \* MERGEFORMAT </w:instrText>
                </w:r>
                <w:r>
                  <w:fldChar w:fldCharType="separate"/>
                </w:r>
                <w:r>
                  <w:t>26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321B6">
    <w:pPr>
      <w:spacing w:line="224" w:lineRule="auto"/>
      <w:ind w:left="4680"/>
      <w:rPr>
        <w:rFonts w:ascii="宋体" w:hAnsi="宋体" w:eastAsia="宋体" w:cs="宋体"/>
        <w:sz w:val="12"/>
        <w:szCs w:val="12"/>
      </w:rPr>
    </w:pPr>
    <w:r>
      <w:rPr>
        <w:sz w:val="12"/>
      </w:rPr>
      <w:pict>
        <v:shape id="_x0000_s4109" o:spid="_x0000_s4109"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31504AF3">
                <w:pPr>
                  <w:pStyle w:val="18"/>
                </w:pPr>
                <w:r>
                  <w:fldChar w:fldCharType="begin"/>
                </w:r>
                <w:r>
                  <w:instrText xml:space="preserve"> PAGE  \* MERGEFORMAT </w:instrText>
                </w:r>
                <w:r>
                  <w:fldChar w:fldCharType="separate"/>
                </w:r>
                <w:r>
                  <w:t>27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30353">
    <w:pPr>
      <w:pStyle w:val="10"/>
      <w:spacing w:line="278" w:lineRule="auto"/>
    </w:pPr>
    <w:r>
      <w:rPr>
        <w:sz w:val="21"/>
      </w:rPr>
      <w:pict>
        <v:shape id="_x0000_s4110" o:spid="_x0000_s4110"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3F5F7984">
                <w:pPr>
                  <w:pStyle w:val="18"/>
                </w:pPr>
                <w:r>
                  <w:fldChar w:fldCharType="begin"/>
                </w:r>
                <w:r>
                  <w:instrText xml:space="preserve"> PAGE  \* MERGEFORMAT </w:instrText>
                </w:r>
                <w:r>
                  <w:fldChar w:fldCharType="separate"/>
                </w:r>
                <w:r>
                  <w:t>28</w:t>
                </w:r>
                <w:r>
                  <w:fldChar w:fldCharType="end"/>
                </w:r>
              </w:p>
            </w:txbxContent>
          </v:textbox>
        </v:shape>
      </w:pict>
    </w:r>
  </w:p>
  <w:p w14:paraId="05A83228">
    <w:pPr>
      <w:pStyle w:val="10"/>
      <w:spacing w:line="277" w:lineRule="auto"/>
    </w:pPr>
  </w:p>
  <w:p w14:paraId="2890451B">
    <w:pPr>
      <w:spacing w:line="39" w:lineRule="exact"/>
      <w:ind w:firstLine="458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B105">
    <w:pPr>
      <w:pStyle w:val="10"/>
      <w:spacing w:line="278" w:lineRule="auto"/>
    </w:pPr>
    <w:r>
      <w:rPr>
        <w:sz w:val="21"/>
      </w:rPr>
      <w:pict>
        <v:shape id="_x0000_s4111" o:spid="_x0000_s4111"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2C03CD47">
                <w:pPr>
                  <w:pStyle w:val="18"/>
                </w:pPr>
                <w:r>
                  <w:fldChar w:fldCharType="begin"/>
                </w:r>
                <w:r>
                  <w:instrText xml:space="preserve"> PAGE  \* MERGEFORMAT </w:instrText>
                </w:r>
                <w:r>
                  <w:fldChar w:fldCharType="separate"/>
                </w:r>
                <w:r>
                  <w:t>29</w:t>
                </w:r>
                <w:r>
                  <w:fldChar w:fldCharType="end"/>
                </w:r>
              </w:p>
            </w:txbxContent>
          </v:textbox>
        </v:shape>
      </w:pict>
    </w:r>
  </w:p>
  <w:p w14:paraId="3734B4E9">
    <w:pPr>
      <w:pStyle w:val="10"/>
      <w:spacing w:line="277" w:lineRule="auto"/>
    </w:pPr>
  </w:p>
  <w:p w14:paraId="639BCDFD">
    <w:pPr>
      <w:spacing w:line="39" w:lineRule="exact"/>
      <w:ind w:firstLine="45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07A95">
    <w:pPr>
      <w:pStyle w:val="10"/>
      <w:spacing w:line="104" w:lineRule="auto"/>
      <w:rPr>
        <w:sz w:val="2"/>
      </w:rPr>
    </w:pPr>
    <w:r>
      <w:drawing>
        <wp:anchor distT="0" distB="0" distL="0" distR="0" simplePos="0" relativeHeight="251659264" behindDoc="0" locked="0" layoutInCell="0" allowOverlap="1">
          <wp:simplePos x="0" y="0"/>
          <wp:positionH relativeFrom="page">
            <wp:posOffset>824865</wp:posOffset>
          </wp:positionH>
          <wp:positionV relativeFrom="page">
            <wp:posOffset>691515</wp:posOffset>
          </wp:positionV>
          <wp:extent cx="6146800" cy="12700"/>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
                  <a:stretch>
                    <a:fillRect/>
                  </a:stretch>
                </pic:blipFill>
                <pic:spPr>
                  <a:xfrm>
                    <a:off x="0" y="0"/>
                    <a:ext cx="6146834" cy="12678"/>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A8174">
    <w:pPr>
      <w:pStyle w:val="10"/>
      <w:spacing w:line="104" w:lineRule="auto"/>
      <w:rPr>
        <w:sz w:val="2"/>
      </w:rPr>
    </w:pPr>
    <w:r>
      <w:drawing>
        <wp:anchor distT="0" distB="0" distL="0" distR="0" simplePos="0" relativeHeight="251660288" behindDoc="0" locked="0" layoutInCell="0" allowOverlap="1">
          <wp:simplePos x="0" y="0"/>
          <wp:positionH relativeFrom="page">
            <wp:posOffset>812165</wp:posOffset>
          </wp:positionH>
          <wp:positionV relativeFrom="page">
            <wp:posOffset>704850</wp:posOffset>
          </wp:positionV>
          <wp:extent cx="6146800" cy="1270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
                  <a:stretch>
                    <a:fillRect/>
                  </a:stretch>
                </pic:blipFill>
                <pic:spPr>
                  <a:xfrm>
                    <a:off x="0" y="0"/>
                    <a:ext cx="6146835" cy="12693"/>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5D515">
    <w:pPr>
      <w:pStyle w:val="10"/>
      <w:spacing w:line="104" w:lineRule="auto"/>
      <w:rPr>
        <w:sz w:val="2"/>
      </w:rPr>
    </w:pPr>
    <w:r>
      <w:drawing>
        <wp:anchor distT="0" distB="0" distL="0" distR="0" simplePos="0" relativeHeight="251661312" behindDoc="0" locked="0" layoutInCell="0" allowOverlap="1">
          <wp:simplePos x="0" y="0"/>
          <wp:positionH relativeFrom="page">
            <wp:posOffset>824865</wp:posOffset>
          </wp:positionH>
          <wp:positionV relativeFrom="page">
            <wp:posOffset>704215</wp:posOffset>
          </wp:positionV>
          <wp:extent cx="6153150" cy="12700"/>
          <wp:effectExtent l="0" t="0" r="0" b="0"/>
          <wp:wrapNone/>
          <wp:docPr id="1" name="IM 16"/>
          <wp:cNvGraphicFramePr/>
          <a:graphic xmlns:a="http://schemas.openxmlformats.org/drawingml/2006/main">
            <a:graphicData uri="http://schemas.openxmlformats.org/drawingml/2006/picture">
              <pic:pic xmlns:pic="http://schemas.openxmlformats.org/drawingml/2006/picture">
                <pic:nvPicPr>
                  <pic:cNvPr id="1" name="IM 16"/>
                  <pic:cNvPicPr/>
                </pic:nvPicPr>
                <pic:blipFill>
                  <a:blip r:embed="rId1"/>
                  <a:stretch>
                    <a:fillRect/>
                  </a:stretch>
                </pic:blipFill>
                <pic:spPr>
                  <a:xfrm>
                    <a:off x="0" y="0"/>
                    <a:ext cx="6153183" cy="12677"/>
                  </a:xfrm>
                  <a:prstGeom prst="rect">
                    <a:avLst/>
                  </a:prstGeom>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6D9AF">
    <w:pPr>
      <w:pStyle w:val="10"/>
      <w:spacing w:line="104" w:lineRule="auto"/>
      <w:rPr>
        <w:sz w:val="2"/>
      </w:rPr>
    </w:pPr>
    <w:r>
      <w:drawing>
        <wp:anchor distT="0" distB="0" distL="0" distR="0" simplePos="0" relativeHeight="251661312" behindDoc="0" locked="0" layoutInCell="0" allowOverlap="1">
          <wp:simplePos x="0" y="0"/>
          <wp:positionH relativeFrom="page">
            <wp:posOffset>824865</wp:posOffset>
          </wp:positionH>
          <wp:positionV relativeFrom="page">
            <wp:posOffset>704215</wp:posOffset>
          </wp:positionV>
          <wp:extent cx="6153150" cy="1270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153183" cy="1267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40F3"/>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E5743"/>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24362A"/>
    <w:rsid w:val="02300221"/>
    <w:rsid w:val="02305D77"/>
    <w:rsid w:val="02317AF5"/>
    <w:rsid w:val="0243687E"/>
    <w:rsid w:val="026C6D7F"/>
    <w:rsid w:val="027A149C"/>
    <w:rsid w:val="02B07FF7"/>
    <w:rsid w:val="02BA21E0"/>
    <w:rsid w:val="02CA345F"/>
    <w:rsid w:val="02D36DFE"/>
    <w:rsid w:val="02ED333D"/>
    <w:rsid w:val="02F32FFC"/>
    <w:rsid w:val="03092923"/>
    <w:rsid w:val="03196F07"/>
    <w:rsid w:val="034026E5"/>
    <w:rsid w:val="0346264F"/>
    <w:rsid w:val="035166A0"/>
    <w:rsid w:val="03733BDF"/>
    <w:rsid w:val="03A308DC"/>
    <w:rsid w:val="03D5618C"/>
    <w:rsid w:val="03DC636C"/>
    <w:rsid w:val="03EF6322"/>
    <w:rsid w:val="040532BA"/>
    <w:rsid w:val="04073203"/>
    <w:rsid w:val="040B08CC"/>
    <w:rsid w:val="04176582"/>
    <w:rsid w:val="04717837"/>
    <w:rsid w:val="04721B8D"/>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D93108"/>
    <w:rsid w:val="07F876A6"/>
    <w:rsid w:val="081E6D6D"/>
    <w:rsid w:val="08306015"/>
    <w:rsid w:val="083E11BD"/>
    <w:rsid w:val="08660CC0"/>
    <w:rsid w:val="08703D30"/>
    <w:rsid w:val="088E7A4F"/>
    <w:rsid w:val="08AA23AF"/>
    <w:rsid w:val="08B33959"/>
    <w:rsid w:val="08BB45BC"/>
    <w:rsid w:val="08CC4A1B"/>
    <w:rsid w:val="08DB1CFF"/>
    <w:rsid w:val="09066CD0"/>
    <w:rsid w:val="090F7700"/>
    <w:rsid w:val="09293C1C"/>
    <w:rsid w:val="092E1232"/>
    <w:rsid w:val="095A5B83"/>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55920"/>
    <w:rsid w:val="0AEE2A27"/>
    <w:rsid w:val="0AFA4C08"/>
    <w:rsid w:val="0B065FC2"/>
    <w:rsid w:val="0B226B74"/>
    <w:rsid w:val="0B7A6133"/>
    <w:rsid w:val="0B867103"/>
    <w:rsid w:val="0B93537C"/>
    <w:rsid w:val="0BA61553"/>
    <w:rsid w:val="0BAE62C0"/>
    <w:rsid w:val="0BBA0B5B"/>
    <w:rsid w:val="0BBE689D"/>
    <w:rsid w:val="0BD0037E"/>
    <w:rsid w:val="0BE35ECF"/>
    <w:rsid w:val="0BEB3B44"/>
    <w:rsid w:val="0C0644C0"/>
    <w:rsid w:val="0C4F74F5"/>
    <w:rsid w:val="0C505731"/>
    <w:rsid w:val="0C522BFB"/>
    <w:rsid w:val="0C5B0590"/>
    <w:rsid w:val="0C7B02EA"/>
    <w:rsid w:val="0CB8153E"/>
    <w:rsid w:val="0CBB4B8B"/>
    <w:rsid w:val="0CC2416B"/>
    <w:rsid w:val="0CCA3020"/>
    <w:rsid w:val="0D1150F2"/>
    <w:rsid w:val="0D3D1A44"/>
    <w:rsid w:val="0D417345"/>
    <w:rsid w:val="0D4234FE"/>
    <w:rsid w:val="0D45142A"/>
    <w:rsid w:val="0D705975"/>
    <w:rsid w:val="0D802AB6"/>
    <w:rsid w:val="0D9F44AC"/>
    <w:rsid w:val="0DC32327"/>
    <w:rsid w:val="0DC54782"/>
    <w:rsid w:val="0DD405FA"/>
    <w:rsid w:val="0DDC1DC5"/>
    <w:rsid w:val="0DFE5677"/>
    <w:rsid w:val="0DFF4F4B"/>
    <w:rsid w:val="0E0D1416"/>
    <w:rsid w:val="0E3C1CFB"/>
    <w:rsid w:val="0E470868"/>
    <w:rsid w:val="0E4D1706"/>
    <w:rsid w:val="0E590AFF"/>
    <w:rsid w:val="0E664FCA"/>
    <w:rsid w:val="0E745939"/>
    <w:rsid w:val="0E835B7C"/>
    <w:rsid w:val="0EA31D7A"/>
    <w:rsid w:val="0EDB4DDC"/>
    <w:rsid w:val="0EF425D6"/>
    <w:rsid w:val="0F31382A"/>
    <w:rsid w:val="0F4A4D91"/>
    <w:rsid w:val="0F6634D4"/>
    <w:rsid w:val="0F9D4A1B"/>
    <w:rsid w:val="0F9F2542"/>
    <w:rsid w:val="0FC5229E"/>
    <w:rsid w:val="0FDF5034"/>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5455AE"/>
    <w:rsid w:val="11613351"/>
    <w:rsid w:val="116A6B7F"/>
    <w:rsid w:val="11844488"/>
    <w:rsid w:val="118C11EC"/>
    <w:rsid w:val="119A7465"/>
    <w:rsid w:val="11B36778"/>
    <w:rsid w:val="11DF30C9"/>
    <w:rsid w:val="12080872"/>
    <w:rsid w:val="12103BCB"/>
    <w:rsid w:val="126A32DB"/>
    <w:rsid w:val="12902616"/>
    <w:rsid w:val="12AD766B"/>
    <w:rsid w:val="12C060EB"/>
    <w:rsid w:val="12C0739F"/>
    <w:rsid w:val="12D01F78"/>
    <w:rsid w:val="12EC0194"/>
    <w:rsid w:val="13070B2A"/>
    <w:rsid w:val="1351688D"/>
    <w:rsid w:val="13517FF7"/>
    <w:rsid w:val="13533D6F"/>
    <w:rsid w:val="13552B79"/>
    <w:rsid w:val="13561AB1"/>
    <w:rsid w:val="13793DF7"/>
    <w:rsid w:val="137D5290"/>
    <w:rsid w:val="137E7A43"/>
    <w:rsid w:val="13E23345"/>
    <w:rsid w:val="13F82B68"/>
    <w:rsid w:val="13FB7F63"/>
    <w:rsid w:val="141C4A83"/>
    <w:rsid w:val="14214AFF"/>
    <w:rsid w:val="14302302"/>
    <w:rsid w:val="14354A58"/>
    <w:rsid w:val="144E2788"/>
    <w:rsid w:val="14504752"/>
    <w:rsid w:val="1451054A"/>
    <w:rsid w:val="14677422"/>
    <w:rsid w:val="146A4FD5"/>
    <w:rsid w:val="147A17CF"/>
    <w:rsid w:val="148B12E6"/>
    <w:rsid w:val="149522B6"/>
    <w:rsid w:val="149C34F4"/>
    <w:rsid w:val="14DE58BA"/>
    <w:rsid w:val="152E6B10"/>
    <w:rsid w:val="15311E8E"/>
    <w:rsid w:val="15347BD0"/>
    <w:rsid w:val="15437E13"/>
    <w:rsid w:val="154C6CC8"/>
    <w:rsid w:val="15521864"/>
    <w:rsid w:val="15593193"/>
    <w:rsid w:val="156C736A"/>
    <w:rsid w:val="157C1645"/>
    <w:rsid w:val="1585042C"/>
    <w:rsid w:val="1598015F"/>
    <w:rsid w:val="159D5775"/>
    <w:rsid w:val="15BF1042"/>
    <w:rsid w:val="15D47D5A"/>
    <w:rsid w:val="15D66ED9"/>
    <w:rsid w:val="15FA2BC8"/>
    <w:rsid w:val="16041350"/>
    <w:rsid w:val="160C6457"/>
    <w:rsid w:val="161A5018"/>
    <w:rsid w:val="161A6585"/>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D74DC1"/>
    <w:rsid w:val="18EB2C9C"/>
    <w:rsid w:val="18F57676"/>
    <w:rsid w:val="193E7F56"/>
    <w:rsid w:val="195E16BF"/>
    <w:rsid w:val="197C38F7"/>
    <w:rsid w:val="19A60971"/>
    <w:rsid w:val="19BE61D3"/>
    <w:rsid w:val="19C71013"/>
    <w:rsid w:val="19ED659F"/>
    <w:rsid w:val="19FA13E8"/>
    <w:rsid w:val="1A152210"/>
    <w:rsid w:val="1A197394"/>
    <w:rsid w:val="1A1D4FC7"/>
    <w:rsid w:val="1A2024D1"/>
    <w:rsid w:val="1A670100"/>
    <w:rsid w:val="1A6C12ED"/>
    <w:rsid w:val="1A8618F5"/>
    <w:rsid w:val="1A9D7FC6"/>
    <w:rsid w:val="1AA94BBC"/>
    <w:rsid w:val="1AD339E7"/>
    <w:rsid w:val="1AE259D8"/>
    <w:rsid w:val="1AE34745"/>
    <w:rsid w:val="1AED58EF"/>
    <w:rsid w:val="1B057C4F"/>
    <w:rsid w:val="1B300E3A"/>
    <w:rsid w:val="1B3501FE"/>
    <w:rsid w:val="1B561B37"/>
    <w:rsid w:val="1B724FAE"/>
    <w:rsid w:val="1B960FA2"/>
    <w:rsid w:val="1BAC671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063C00"/>
    <w:rsid w:val="1D097B94"/>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DA6160"/>
    <w:rsid w:val="20193BC8"/>
    <w:rsid w:val="202D76F6"/>
    <w:rsid w:val="204F3B10"/>
    <w:rsid w:val="20601879"/>
    <w:rsid w:val="2063580D"/>
    <w:rsid w:val="206C021E"/>
    <w:rsid w:val="208F215E"/>
    <w:rsid w:val="20981EA4"/>
    <w:rsid w:val="20A51947"/>
    <w:rsid w:val="20B15F3B"/>
    <w:rsid w:val="20EC5803"/>
    <w:rsid w:val="20F36B91"/>
    <w:rsid w:val="21222FD3"/>
    <w:rsid w:val="213D7E0C"/>
    <w:rsid w:val="21747CD2"/>
    <w:rsid w:val="21751354"/>
    <w:rsid w:val="2177331E"/>
    <w:rsid w:val="218617B3"/>
    <w:rsid w:val="219A700D"/>
    <w:rsid w:val="21A460DD"/>
    <w:rsid w:val="21ED67BC"/>
    <w:rsid w:val="21EF55AB"/>
    <w:rsid w:val="220D398C"/>
    <w:rsid w:val="226677BB"/>
    <w:rsid w:val="22721109"/>
    <w:rsid w:val="22853819"/>
    <w:rsid w:val="22C12E9B"/>
    <w:rsid w:val="22D93819"/>
    <w:rsid w:val="22EA32EC"/>
    <w:rsid w:val="22F4099F"/>
    <w:rsid w:val="22FD3CF7"/>
    <w:rsid w:val="2301566F"/>
    <w:rsid w:val="23111551"/>
    <w:rsid w:val="231F3C6E"/>
    <w:rsid w:val="23242385"/>
    <w:rsid w:val="23282412"/>
    <w:rsid w:val="23290648"/>
    <w:rsid w:val="23384D2F"/>
    <w:rsid w:val="234731C4"/>
    <w:rsid w:val="23825FAA"/>
    <w:rsid w:val="238E494F"/>
    <w:rsid w:val="23953F30"/>
    <w:rsid w:val="23B00D6A"/>
    <w:rsid w:val="23CB7951"/>
    <w:rsid w:val="23DC74F7"/>
    <w:rsid w:val="240B2444"/>
    <w:rsid w:val="24165293"/>
    <w:rsid w:val="24634583"/>
    <w:rsid w:val="24727DCD"/>
    <w:rsid w:val="24822706"/>
    <w:rsid w:val="2482721D"/>
    <w:rsid w:val="2483647E"/>
    <w:rsid w:val="24A10BF5"/>
    <w:rsid w:val="24D70B68"/>
    <w:rsid w:val="24FB4505"/>
    <w:rsid w:val="24FB6014"/>
    <w:rsid w:val="25137802"/>
    <w:rsid w:val="2519649B"/>
    <w:rsid w:val="251E2F40"/>
    <w:rsid w:val="25203CCD"/>
    <w:rsid w:val="2584600A"/>
    <w:rsid w:val="258C3110"/>
    <w:rsid w:val="25D16D75"/>
    <w:rsid w:val="25DF5936"/>
    <w:rsid w:val="25E46AA9"/>
    <w:rsid w:val="25EB7E37"/>
    <w:rsid w:val="25FA3AC0"/>
    <w:rsid w:val="26223BC6"/>
    <w:rsid w:val="262525E5"/>
    <w:rsid w:val="26285323"/>
    <w:rsid w:val="26483AF9"/>
    <w:rsid w:val="264E6012"/>
    <w:rsid w:val="26502390"/>
    <w:rsid w:val="26802C75"/>
    <w:rsid w:val="26AB07CC"/>
    <w:rsid w:val="26C03072"/>
    <w:rsid w:val="26E50D2A"/>
    <w:rsid w:val="26E86A6C"/>
    <w:rsid w:val="26F21A04"/>
    <w:rsid w:val="26F62F37"/>
    <w:rsid w:val="27035654"/>
    <w:rsid w:val="27397C5C"/>
    <w:rsid w:val="27435A51"/>
    <w:rsid w:val="275D2FB6"/>
    <w:rsid w:val="27610678"/>
    <w:rsid w:val="27644345"/>
    <w:rsid w:val="27873B8F"/>
    <w:rsid w:val="279C795E"/>
    <w:rsid w:val="27C74EE3"/>
    <w:rsid w:val="28017035"/>
    <w:rsid w:val="28043432"/>
    <w:rsid w:val="28480D72"/>
    <w:rsid w:val="28593D52"/>
    <w:rsid w:val="285E0D94"/>
    <w:rsid w:val="287B63A6"/>
    <w:rsid w:val="28887BBF"/>
    <w:rsid w:val="288C33EF"/>
    <w:rsid w:val="28D948BF"/>
    <w:rsid w:val="28F25980"/>
    <w:rsid w:val="28F33BD2"/>
    <w:rsid w:val="28F74D45"/>
    <w:rsid w:val="29023E15"/>
    <w:rsid w:val="29051210"/>
    <w:rsid w:val="290C4C94"/>
    <w:rsid w:val="292A336C"/>
    <w:rsid w:val="29387837"/>
    <w:rsid w:val="29613C02"/>
    <w:rsid w:val="29736AC1"/>
    <w:rsid w:val="297E7214"/>
    <w:rsid w:val="29A0718A"/>
    <w:rsid w:val="29BD5D4E"/>
    <w:rsid w:val="29D3130E"/>
    <w:rsid w:val="29DD218D"/>
    <w:rsid w:val="29DD2CB3"/>
    <w:rsid w:val="2A0C2A72"/>
    <w:rsid w:val="2A111E36"/>
    <w:rsid w:val="2A366266"/>
    <w:rsid w:val="2A383867"/>
    <w:rsid w:val="2A397C18"/>
    <w:rsid w:val="2A5015D5"/>
    <w:rsid w:val="2AA44A58"/>
    <w:rsid w:val="2AB729DE"/>
    <w:rsid w:val="2AB949A8"/>
    <w:rsid w:val="2AF27EBA"/>
    <w:rsid w:val="2AF63392"/>
    <w:rsid w:val="2AFC2AE6"/>
    <w:rsid w:val="2B45448D"/>
    <w:rsid w:val="2B7E174D"/>
    <w:rsid w:val="2B856638"/>
    <w:rsid w:val="2BA2368E"/>
    <w:rsid w:val="2BA67492"/>
    <w:rsid w:val="2BC03B14"/>
    <w:rsid w:val="2BCA04EF"/>
    <w:rsid w:val="2BDA1BE3"/>
    <w:rsid w:val="2BEE4D59"/>
    <w:rsid w:val="2C0343BA"/>
    <w:rsid w:val="2C047EA4"/>
    <w:rsid w:val="2C66791C"/>
    <w:rsid w:val="2C673F8F"/>
    <w:rsid w:val="2C6B1CD2"/>
    <w:rsid w:val="2CB41783"/>
    <w:rsid w:val="2CC338BC"/>
    <w:rsid w:val="2CD77367"/>
    <w:rsid w:val="2CE00E0B"/>
    <w:rsid w:val="2D221D01"/>
    <w:rsid w:val="2D2D6F87"/>
    <w:rsid w:val="2D360531"/>
    <w:rsid w:val="2D531028"/>
    <w:rsid w:val="2D676A80"/>
    <w:rsid w:val="2D7352E2"/>
    <w:rsid w:val="2D7A3266"/>
    <w:rsid w:val="2DA134D1"/>
    <w:rsid w:val="2DCE2518"/>
    <w:rsid w:val="2DD33BD7"/>
    <w:rsid w:val="2DD41AF8"/>
    <w:rsid w:val="2DD9710F"/>
    <w:rsid w:val="2DDB4C35"/>
    <w:rsid w:val="2DE0224B"/>
    <w:rsid w:val="2DE53D06"/>
    <w:rsid w:val="2DFB7085"/>
    <w:rsid w:val="2E0C1292"/>
    <w:rsid w:val="2E304F81"/>
    <w:rsid w:val="2E591C0D"/>
    <w:rsid w:val="2E8E1A42"/>
    <w:rsid w:val="2E8F76EA"/>
    <w:rsid w:val="2EAA4B78"/>
    <w:rsid w:val="2EC868B0"/>
    <w:rsid w:val="2EC95935"/>
    <w:rsid w:val="2F097580"/>
    <w:rsid w:val="2F465CA7"/>
    <w:rsid w:val="2F5F2B72"/>
    <w:rsid w:val="2F7E1D1C"/>
    <w:rsid w:val="2F932167"/>
    <w:rsid w:val="2F9B467C"/>
    <w:rsid w:val="2FAA0D63"/>
    <w:rsid w:val="2FC17E5A"/>
    <w:rsid w:val="2FCA6D0F"/>
    <w:rsid w:val="2FD01CE8"/>
    <w:rsid w:val="2FD42B08"/>
    <w:rsid w:val="305D5DD5"/>
    <w:rsid w:val="30A26617"/>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BD0DAD"/>
    <w:rsid w:val="32C71C2C"/>
    <w:rsid w:val="32E427DE"/>
    <w:rsid w:val="32EC3440"/>
    <w:rsid w:val="32FF13C6"/>
    <w:rsid w:val="33022C64"/>
    <w:rsid w:val="33055DF4"/>
    <w:rsid w:val="333F5C66"/>
    <w:rsid w:val="33482D6D"/>
    <w:rsid w:val="334868C9"/>
    <w:rsid w:val="33523A32"/>
    <w:rsid w:val="33552D94"/>
    <w:rsid w:val="335D1FE1"/>
    <w:rsid w:val="339B7340"/>
    <w:rsid w:val="33DA636A"/>
    <w:rsid w:val="33EA25D1"/>
    <w:rsid w:val="33F848B7"/>
    <w:rsid w:val="342521E3"/>
    <w:rsid w:val="34366616"/>
    <w:rsid w:val="344F1ED9"/>
    <w:rsid w:val="345D2848"/>
    <w:rsid w:val="34637732"/>
    <w:rsid w:val="34655258"/>
    <w:rsid w:val="346C2A8B"/>
    <w:rsid w:val="34863867"/>
    <w:rsid w:val="34943D90"/>
    <w:rsid w:val="349A13A6"/>
    <w:rsid w:val="34B524C1"/>
    <w:rsid w:val="34D60CBB"/>
    <w:rsid w:val="34E341D7"/>
    <w:rsid w:val="34FC75A6"/>
    <w:rsid w:val="35030C9C"/>
    <w:rsid w:val="353C4230"/>
    <w:rsid w:val="35447564"/>
    <w:rsid w:val="35A23F2B"/>
    <w:rsid w:val="35A3072E"/>
    <w:rsid w:val="35E85214"/>
    <w:rsid w:val="35F47297"/>
    <w:rsid w:val="35FA132C"/>
    <w:rsid w:val="360311CD"/>
    <w:rsid w:val="360D7E33"/>
    <w:rsid w:val="362C7056"/>
    <w:rsid w:val="363B2715"/>
    <w:rsid w:val="3651018A"/>
    <w:rsid w:val="3659703F"/>
    <w:rsid w:val="366C6D72"/>
    <w:rsid w:val="36857E34"/>
    <w:rsid w:val="36943C7E"/>
    <w:rsid w:val="36B71ED4"/>
    <w:rsid w:val="36B85B13"/>
    <w:rsid w:val="36D23A94"/>
    <w:rsid w:val="36D30B9F"/>
    <w:rsid w:val="36EC3A0F"/>
    <w:rsid w:val="36F56D67"/>
    <w:rsid w:val="37052D23"/>
    <w:rsid w:val="372D6D42"/>
    <w:rsid w:val="37405933"/>
    <w:rsid w:val="37607F59"/>
    <w:rsid w:val="376940D0"/>
    <w:rsid w:val="3790083E"/>
    <w:rsid w:val="379C3687"/>
    <w:rsid w:val="37AE7F63"/>
    <w:rsid w:val="37B370E4"/>
    <w:rsid w:val="37BE0537"/>
    <w:rsid w:val="37C404E8"/>
    <w:rsid w:val="37DA41AF"/>
    <w:rsid w:val="37DD09A1"/>
    <w:rsid w:val="37DE5A4E"/>
    <w:rsid w:val="38020739"/>
    <w:rsid w:val="38204506"/>
    <w:rsid w:val="382F62A9"/>
    <w:rsid w:val="383F751D"/>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565AB7"/>
    <w:rsid w:val="396170BB"/>
    <w:rsid w:val="39736669"/>
    <w:rsid w:val="399D5494"/>
    <w:rsid w:val="39B7430B"/>
    <w:rsid w:val="39BA7DF4"/>
    <w:rsid w:val="39C26CA9"/>
    <w:rsid w:val="39D4535A"/>
    <w:rsid w:val="3A034261"/>
    <w:rsid w:val="3A1C460B"/>
    <w:rsid w:val="3A1E4827"/>
    <w:rsid w:val="3A26548A"/>
    <w:rsid w:val="3A612966"/>
    <w:rsid w:val="3A777A93"/>
    <w:rsid w:val="3A944AE9"/>
    <w:rsid w:val="3AA06EC0"/>
    <w:rsid w:val="3AA50AA5"/>
    <w:rsid w:val="3AC16F61"/>
    <w:rsid w:val="3ACA2C02"/>
    <w:rsid w:val="3ACC1BCC"/>
    <w:rsid w:val="3ACC4283"/>
    <w:rsid w:val="3AE80991"/>
    <w:rsid w:val="3B08098E"/>
    <w:rsid w:val="3B693880"/>
    <w:rsid w:val="3B6B584A"/>
    <w:rsid w:val="3B8763FC"/>
    <w:rsid w:val="3B903503"/>
    <w:rsid w:val="3B920829"/>
    <w:rsid w:val="3BAE6CD9"/>
    <w:rsid w:val="3BB6283D"/>
    <w:rsid w:val="3BB84807"/>
    <w:rsid w:val="3BC82C9D"/>
    <w:rsid w:val="3C221C81"/>
    <w:rsid w:val="3C270B87"/>
    <w:rsid w:val="3C3000ED"/>
    <w:rsid w:val="3C371186"/>
    <w:rsid w:val="3C3C2D43"/>
    <w:rsid w:val="3C5207B8"/>
    <w:rsid w:val="3C7921E9"/>
    <w:rsid w:val="3C885F88"/>
    <w:rsid w:val="3CBE5E4E"/>
    <w:rsid w:val="3CE358B4"/>
    <w:rsid w:val="3CF25AF7"/>
    <w:rsid w:val="3D141F11"/>
    <w:rsid w:val="3D232399"/>
    <w:rsid w:val="3D2E2D19"/>
    <w:rsid w:val="3D31181A"/>
    <w:rsid w:val="3D485717"/>
    <w:rsid w:val="3D6A38DF"/>
    <w:rsid w:val="3D7911B5"/>
    <w:rsid w:val="3D7D3613"/>
    <w:rsid w:val="3DA037A5"/>
    <w:rsid w:val="3DB35286"/>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52388"/>
    <w:rsid w:val="3EFB5137"/>
    <w:rsid w:val="3F1749BD"/>
    <w:rsid w:val="3F285800"/>
    <w:rsid w:val="3F2A77CA"/>
    <w:rsid w:val="3F4F365B"/>
    <w:rsid w:val="3F4F5483"/>
    <w:rsid w:val="3F577E93"/>
    <w:rsid w:val="3F6A6789"/>
    <w:rsid w:val="3F7D78FA"/>
    <w:rsid w:val="3F9A5B70"/>
    <w:rsid w:val="3FA56E51"/>
    <w:rsid w:val="3FBB0422"/>
    <w:rsid w:val="3FBD063E"/>
    <w:rsid w:val="3FCC6AD3"/>
    <w:rsid w:val="3FCF0015"/>
    <w:rsid w:val="4037219F"/>
    <w:rsid w:val="4050500F"/>
    <w:rsid w:val="40517EBE"/>
    <w:rsid w:val="405C7E57"/>
    <w:rsid w:val="408353E4"/>
    <w:rsid w:val="409273D5"/>
    <w:rsid w:val="40AC5344"/>
    <w:rsid w:val="40D27557"/>
    <w:rsid w:val="40D6427E"/>
    <w:rsid w:val="40EF3CF6"/>
    <w:rsid w:val="40FA31CC"/>
    <w:rsid w:val="41093759"/>
    <w:rsid w:val="41214BFD"/>
    <w:rsid w:val="41263FC1"/>
    <w:rsid w:val="412D35A2"/>
    <w:rsid w:val="412F10C8"/>
    <w:rsid w:val="41380196"/>
    <w:rsid w:val="41415EFF"/>
    <w:rsid w:val="41434B73"/>
    <w:rsid w:val="414F52C6"/>
    <w:rsid w:val="418F600A"/>
    <w:rsid w:val="41A20564"/>
    <w:rsid w:val="41D026B4"/>
    <w:rsid w:val="41EE4ADF"/>
    <w:rsid w:val="420A5691"/>
    <w:rsid w:val="42114C71"/>
    <w:rsid w:val="42204EB5"/>
    <w:rsid w:val="42213106"/>
    <w:rsid w:val="422E5823"/>
    <w:rsid w:val="423A7D24"/>
    <w:rsid w:val="425608D6"/>
    <w:rsid w:val="425D589D"/>
    <w:rsid w:val="425F59DD"/>
    <w:rsid w:val="425F778B"/>
    <w:rsid w:val="42770F78"/>
    <w:rsid w:val="42935686"/>
    <w:rsid w:val="42982C9D"/>
    <w:rsid w:val="42B21FB1"/>
    <w:rsid w:val="42B6777F"/>
    <w:rsid w:val="42CB6A8E"/>
    <w:rsid w:val="42E3216A"/>
    <w:rsid w:val="43195B8C"/>
    <w:rsid w:val="43574906"/>
    <w:rsid w:val="43640466"/>
    <w:rsid w:val="4383394D"/>
    <w:rsid w:val="439D67BD"/>
    <w:rsid w:val="43D1290A"/>
    <w:rsid w:val="43D51DCA"/>
    <w:rsid w:val="43EA7528"/>
    <w:rsid w:val="4439400C"/>
    <w:rsid w:val="446E1F07"/>
    <w:rsid w:val="44C47D79"/>
    <w:rsid w:val="44CB55AC"/>
    <w:rsid w:val="44D0671E"/>
    <w:rsid w:val="44D81A76"/>
    <w:rsid w:val="44E95A32"/>
    <w:rsid w:val="44F22B38"/>
    <w:rsid w:val="44F45243"/>
    <w:rsid w:val="45050ABD"/>
    <w:rsid w:val="45100658"/>
    <w:rsid w:val="451707F1"/>
    <w:rsid w:val="452567EA"/>
    <w:rsid w:val="454D4212"/>
    <w:rsid w:val="456B16B7"/>
    <w:rsid w:val="45921C25"/>
    <w:rsid w:val="459260C9"/>
    <w:rsid w:val="45E05087"/>
    <w:rsid w:val="45E16709"/>
    <w:rsid w:val="460F0807"/>
    <w:rsid w:val="46207231"/>
    <w:rsid w:val="465313B5"/>
    <w:rsid w:val="4654337F"/>
    <w:rsid w:val="465515D1"/>
    <w:rsid w:val="46603AD2"/>
    <w:rsid w:val="46886BA6"/>
    <w:rsid w:val="471A1ED2"/>
    <w:rsid w:val="473D3E13"/>
    <w:rsid w:val="4743767B"/>
    <w:rsid w:val="474451A1"/>
    <w:rsid w:val="475D052A"/>
    <w:rsid w:val="47777325"/>
    <w:rsid w:val="477E5B11"/>
    <w:rsid w:val="478657BA"/>
    <w:rsid w:val="47C655AE"/>
    <w:rsid w:val="47CA7D9C"/>
    <w:rsid w:val="47CB141F"/>
    <w:rsid w:val="47E55DDB"/>
    <w:rsid w:val="47F46BC7"/>
    <w:rsid w:val="481132D5"/>
    <w:rsid w:val="48311BC9"/>
    <w:rsid w:val="48524AAD"/>
    <w:rsid w:val="48531B40"/>
    <w:rsid w:val="48627FD5"/>
    <w:rsid w:val="48861F15"/>
    <w:rsid w:val="48D72771"/>
    <w:rsid w:val="48F629D2"/>
    <w:rsid w:val="490552AA"/>
    <w:rsid w:val="49AB59AC"/>
    <w:rsid w:val="49C83E68"/>
    <w:rsid w:val="49D722FD"/>
    <w:rsid w:val="49EF3AEA"/>
    <w:rsid w:val="49F21769"/>
    <w:rsid w:val="4A003601"/>
    <w:rsid w:val="4A0B1FA6"/>
    <w:rsid w:val="4A1277D9"/>
    <w:rsid w:val="4A1B043B"/>
    <w:rsid w:val="4A260766"/>
    <w:rsid w:val="4A5B1180"/>
    <w:rsid w:val="4AB61684"/>
    <w:rsid w:val="4ABA2026"/>
    <w:rsid w:val="4ABB577A"/>
    <w:rsid w:val="4AF33166"/>
    <w:rsid w:val="4AF528F5"/>
    <w:rsid w:val="4AF869CF"/>
    <w:rsid w:val="4B315A3D"/>
    <w:rsid w:val="4B5C2F33"/>
    <w:rsid w:val="4B5D6832"/>
    <w:rsid w:val="4B7A4CDC"/>
    <w:rsid w:val="4B8225F6"/>
    <w:rsid w:val="4B937D5C"/>
    <w:rsid w:val="4B944C64"/>
    <w:rsid w:val="4BB5041C"/>
    <w:rsid w:val="4BF11ABA"/>
    <w:rsid w:val="4C0373D9"/>
    <w:rsid w:val="4C346C1E"/>
    <w:rsid w:val="4C3E2B07"/>
    <w:rsid w:val="4C577725"/>
    <w:rsid w:val="4C63431C"/>
    <w:rsid w:val="4C7B78B7"/>
    <w:rsid w:val="4C92075D"/>
    <w:rsid w:val="4C935807"/>
    <w:rsid w:val="4C96451A"/>
    <w:rsid w:val="4CAC7A71"/>
    <w:rsid w:val="4CB87FAD"/>
    <w:rsid w:val="4CF22EBA"/>
    <w:rsid w:val="4D091EAA"/>
    <w:rsid w:val="4D153868"/>
    <w:rsid w:val="4D21045F"/>
    <w:rsid w:val="4D471D29"/>
    <w:rsid w:val="4D4C3002"/>
    <w:rsid w:val="4D7F33D7"/>
    <w:rsid w:val="4DA90454"/>
    <w:rsid w:val="4DEA4CF4"/>
    <w:rsid w:val="4E3C6BD2"/>
    <w:rsid w:val="4E516B22"/>
    <w:rsid w:val="4E79167E"/>
    <w:rsid w:val="4E913FBD"/>
    <w:rsid w:val="4E9F7959"/>
    <w:rsid w:val="4EAA4484"/>
    <w:rsid w:val="4ECF5C98"/>
    <w:rsid w:val="4F245FE4"/>
    <w:rsid w:val="4F6E3703"/>
    <w:rsid w:val="4F960564"/>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1C23892"/>
    <w:rsid w:val="51EB2DE9"/>
    <w:rsid w:val="520420FD"/>
    <w:rsid w:val="52390069"/>
    <w:rsid w:val="523A78CD"/>
    <w:rsid w:val="5246001F"/>
    <w:rsid w:val="524F431A"/>
    <w:rsid w:val="52500E9E"/>
    <w:rsid w:val="52861534"/>
    <w:rsid w:val="528D1696"/>
    <w:rsid w:val="52A04D83"/>
    <w:rsid w:val="52AD183E"/>
    <w:rsid w:val="52C06024"/>
    <w:rsid w:val="52CB2821"/>
    <w:rsid w:val="52CC5908"/>
    <w:rsid w:val="530879CB"/>
    <w:rsid w:val="53195734"/>
    <w:rsid w:val="53330CBE"/>
    <w:rsid w:val="537312E8"/>
    <w:rsid w:val="5391176E"/>
    <w:rsid w:val="539D45B7"/>
    <w:rsid w:val="53A86F0D"/>
    <w:rsid w:val="53B65415"/>
    <w:rsid w:val="53C438F2"/>
    <w:rsid w:val="53D77AC9"/>
    <w:rsid w:val="53FD0BB2"/>
    <w:rsid w:val="53FF0DCE"/>
    <w:rsid w:val="540957A8"/>
    <w:rsid w:val="540A3D6B"/>
    <w:rsid w:val="542F765C"/>
    <w:rsid w:val="543E06FA"/>
    <w:rsid w:val="54436F0C"/>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766E6E"/>
    <w:rsid w:val="558F3DC0"/>
    <w:rsid w:val="55913CA7"/>
    <w:rsid w:val="55997DAA"/>
    <w:rsid w:val="55B94FAC"/>
    <w:rsid w:val="55C323BB"/>
    <w:rsid w:val="55F3226C"/>
    <w:rsid w:val="560C332E"/>
    <w:rsid w:val="56165297"/>
    <w:rsid w:val="56486A5C"/>
    <w:rsid w:val="564D4072"/>
    <w:rsid w:val="56895636"/>
    <w:rsid w:val="56B24C1F"/>
    <w:rsid w:val="56CF0F2B"/>
    <w:rsid w:val="56E16569"/>
    <w:rsid w:val="570457DB"/>
    <w:rsid w:val="571C57F3"/>
    <w:rsid w:val="57580486"/>
    <w:rsid w:val="575E462C"/>
    <w:rsid w:val="57BE6730"/>
    <w:rsid w:val="57C40364"/>
    <w:rsid w:val="57D63BF4"/>
    <w:rsid w:val="57DD1426"/>
    <w:rsid w:val="57DE6E15"/>
    <w:rsid w:val="57E66554"/>
    <w:rsid w:val="57F8000E"/>
    <w:rsid w:val="58360B36"/>
    <w:rsid w:val="58382B00"/>
    <w:rsid w:val="585711D8"/>
    <w:rsid w:val="587D519F"/>
    <w:rsid w:val="589A7317"/>
    <w:rsid w:val="58BD4DB3"/>
    <w:rsid w:val="59444C41"/>
    <w:rsid w:val="597A4A53"/>
    <w:rsid w:val="59B52E52"/>
    <w:rsid w:val="59B90367"/>
    <w:rsid w:val="59CC347C"/>
    <w:rsid w:val="59DA41E0"/>
    <w:rsid w:val="59F900F6"/>
    <w:rsid w:val="5A0C1C4B"/>
    <w:rsid w:val="5A221ED3"/>
    <w:rsid w:val="5A2375CC"/>
    <w:rsid w:val="5A2424B3"/>
    <w:rsid w:val="5A2F4B9E"/>
    <w:rsid w:val="5A3906A0"/>
    <w:rsid w:val="5A7B6CD4"/>
    <w:rsid w:val="5A9919E3"/>
    <w:rsid w:val="5AAE70AA"/>
    <w:rsid w:val="5ABF12B7"/>
    <w:rsid w:val="5B2A7B0A"/>
    <w:rsid w:val="5B2F58ED"/>
    <w:rsid w:val="5B411CCC"/>
    <w:rsid w:val="5B417B6B"/>
    <w:rsid w:val="5B54373E"/>
    <w:rsid w:val="5B5437AD"/>
    <w:rsid w:val="5B8027F4"/>
    <w:rsid w:val="5B81656C"/>
    <w:rsid w:val="5BA1276A"/>
    <w:rsid w:val="5BAD7D2F"/>
    <w:rsid w:val="5BC11E23"/>
    <w:rsid w:val="5BC745F2"/>
    <w:rsid w:val="5BCD3B32"/>
    <w:rsid w:val="5BD963A8"/>
    <w:rsid w:val="5C115B42"/>
    <w:rsid w:val="5C1B42CB"/>
    <w:rsid w:val="5C1B7B96"/>
    <w:rsid w:val="5C3F7E9C"/>
    <w:rsid w:val="5C5F065B"/>
    <w:rsid w:val="5C6F4617"/>
    <w:rsid w:val="5C982768"/>
    <w:rsid w:val="5CA161B2"/>
    <w:rsid w:val="5CAF68E9"/>
    <w:rsid w:val="5CBC5AAE"/>
    <w:rsid w:val="5CC543A9"/>
    <w:rsid w:val="5CE46DB3"/>
    <w:rsid w:val="5CF27722"/>
    <w:rsid w:val="5D1F7DEB"/>
    <w:rsid w:val="5D215911"/>
    <w:rsid w:val="5D3C6BEF"/>
    <w:rsid w:val="5DAA7FFC"/>
    <w:rsid w:val="5DAB2F88"/>
    <w:rsid w:val="5E084D23"/>
    <w:rsid w:val="5E176D14"/>
    <w:rsid w:val="5E196F30"/>
    <w:rsid w:val="5E1A1D8F"/>
    <w:rsid w:val="5E1E00A2"/>
    <w:rsid w:val="5E2E29DB"/>
    <w:rsid w:val="5E3577AE"/>
    <w:rsid w:val="5E655CD1"/>
    <w:rsid w:val="5EB855B3"/>
    <w:rsid w:val="5ED510A9"/>
    <w:rsid w:val="5EE21916"/>
    <w:rsid w:val="5EEC2FF0"/>
    <w:rsid w:val="5F0E295E"/>
    <w:rsid w:val="5F1871E8"/>
    <w:rsid w:val="5F1C0A86"/>
    <w:rsid w:val="5F1C2834"/>
    <w:rsid w:val="5F2416E8"/>
    <w:rsid w:val="5F261B1F"/>
    <w:rsid w:val="5F3B6A32"/>
    <w:rsid w:val="5F4417E0"/>
    <w:rsid w:val="5F4B3119"/>
    <w:rsid w:val="5F6E5059"/>
    <w:rsid w:val="5F750196"/>
    <w:rsid w:val="5F88669E"/>
    <w:rsid w:val="5FAD4D87"/>
    <w:rsid w:val="5FBA204D"/>
    <w:rsid w:val="5FEB2206"/>
    <w:rsid w:val="5FF23595"/>
    <w:rsid w:val="5FF94923"/>
    <w:rsid w:val="60363DC9"/>
    <w:rsid w:val="605F38FD"/>
    <w:rsid w:val="606C7B8D"/>
    <w:rsid w:val="606F72DB"/>
    <w:rsid w:val="607B04BD"/>
    <w:rsid w:val="608368E3"/>
    <w:rsid w:val="60AC7F80"/>
    <w:rsid w:val="60C56EFB"/>
    <w:rsid w:val="60CC2038"/>
    <w:rsid w:val="60D22077"/>
    <w:rsid w:val="60E5134B"/>
    <w:rsid w:val="60F035F8"/>
    <w:rsid w:val="61365912"/>
    <w:rsid w:val="613E10B3"/>
    <w:rsid w:val="61483DB4"/>
    <w:rsid w:val="61905EB4"/>
    <w:rsid w:val="61D07906"/>
    <w:rsid w:val="61D373F6"/>
    <w:rsid w:val="61F03F10"/>
    <w:rsid w:val="61FD4500"/>
    <w:rsid w:val="62051CA5"/>
    <w:rsid w:val="622A5268"/>
    <w:rsid w:val="622F04A1"/>
    <w:rsid w:val="623C143F"/>
    <w:rsid w:val="623E1776"/>
    <w:rsid w:val="62456183"/>
    <w:rsid w:val="625D29E9"/>
    <w:rsid w:val="62707B3A"/>
    <w:rsid w:val="62744735"/>
    <w:rsid w:val="62A768B8"/>
    <w:rsid w:val="62B334AF"/>
    <w:rsid w:val="62DF24F6"/>
    <w:rsid w:val="62EC69C1"/>
    <w:rsid w:val="630F26B0"/>
    <w:rsid w:val="63615846"/>
    <w:rsid w:val="638132F5"/>
    <w:rsid w:val="638B7F88"/>
    <w:rsid w:val="63B05C41"/>
    <w:rsid w:val="63BC45E5"/>
    <w:rsid w:val="63C86026"/>
    <w:rsid w:val="63F0603D"/>
    <w:rsid w:val="64025D70"/>
    <w:rsid w:val="64436AB5"/>
    <w:rsid w:val="645C0879"/>
    <w:rsid w:val="645F787B"/>
    <w:rsid w:val="64741C1C"/>
    <w:rsid w:val="647B6A0A"/>
    <w:rsid w:val="647D689B"/>
    <w:rsid w:val="648C064A"/>
    <w:rsid w:val="649F2599"/>
    <w:rsid w:val="64F63B27"/>
    <w:rsid w:val="65055B18"/>
    <w:rsid w:val="651641C9"/>
    <w:rsid w:val="655C6080"/>
    <w:rsid w:val="65605444"/>
    <w:rsid w:val="656B3097"/>
    <w:rsid w:val="65742119"/>
    <w:rsid w:val="657F2DFA"/>
    <w:rsid w:val="6592686F"/>
    <w:rsid w:val="65A44D2D"/>
    <w:rsid w:val="65B0017A"/>
    <w:rsid w:val="65B0271E"/>
    <w:rsid w:val="65C43C25"/>
    <w:rsid w:val="65E73470"/>
    <w:rsid w:val="65EF1521"/>
    <w:rsid w:val="665C4848"/>
    <w:rsid w:val="66763171"/>
    <w:rsid w:val="668A0D6B"/>
    <w:rsid w:val="66AB4942"/>
    <w:rsid w:val="66B94F27"/>
    <w:rsid w:val="66C37A39"/>
    <w:rsid w:val="66DC0AFB"/>
    <w:rsid w:val="66F67E0E"/>
    <w:rsid w:val="67114C48"/>
    <w:rsid w:val="67303449"/>
    <w:rsid w:val="679E1DF4"/>
    <w:rsid w:val="67E73776"/>
    <w:rsid w:val="67F85E08"/>
    <w:rsid w:val="68411B87"/>
    <w:rsid w:val="687951D6"/>
    <w:rsid w:val="688431F8"/>
    <w:rsid w:val="68AB69AF"/>
    <w:rsid w:val="68BC6E36"/>
    <w:rsid w:val="68D653C8"/>
    <w:rsid w:val="68D85250"/>
    <w:rsid w:val="68F6059A"/>
    <w:rsid w:val="69470DF5"/>
    <w:rsid w:val="695D23C7"/>
    <w:rsid w:val="696077C1"/>
    <w:rsid w:val="698D4180"/>
    <w:rsid w:val="69AF055A"/>
    <w:rsid w:val="69B51B3F"/>
    <w:rsid w:val="69BF098B"/>
    <w:rsid w:val="69C441F4"/>
    <w:rsid w:val="69CE6625"/>
    <w:rsid w:val="69F50851"/>
    <w:rsid w:val="69FF522C"/>
    <w:rsid w:val="6A0960AB"/>
    <w:rsid w:val="6A413A96"/>
    <w:rsid w:val="6A8120E5"/>
    <w:rsid w:val="6A8219B9"/>
    <w:rsid w:val="6A885ED1"/>
    <w:rsid w:val="6AAD6A36"/>
    <w:rsid w:val="6B182A49"/>
    <w:rsid w:val="6B511AB7"/>
    <w:rsid w:val="6B5275DD"/>
    <w:rsid w:val="6B6712DB"/>
    <w:rsid w:val="6B762D04"/>
    <w:rsid w:val="6BB43DF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A71E62"/>
    <w:rsid w:val="6DB602F7"/>
    <w:rsid w:val="6DDE15FC"/>
    <w:rsid w:val="6DE0518A"/>
    <w:rsid w:val="6DE7336D"/>
    <w:rsid w:val="6E22598D"/>
    <w:rsid w:val="6E2434B3"/>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D50A94"/>
    <w:rsid w:val="71534FCD"/>
    <w:rsid w:val="71864485"/>
    <w:rsid w:val="718F6E95"/>
    <w:rsid w:val="71973F9C"/>
    <w:rsid w:val="71A32941"/>
    <w:rsid w:val="71FD0B25"/>
    <w:rsid w:val="720B620B"/>
    <w:rsid w:val="721147C0"/>
    <w:rsid w:val="721A6835"/>
    <w:rsid w:val="724E4FA2"/>
    <w:rsid w:val="72823C75"/>
    <w:rsid w:val="728F1117"/>
    <w:rsid w:val="729F75AC"/>
    <w:rsid w:val="72A430EE"/>
    <w:rsid w:val="72A5093A"/>
    <w:rsid w:val="72BE68BD"/>
    <w:rsid w:val="72C708B1"/>
    <w:rsid w:val="72CD6775"/>
    <w:rsid w:val="72DA72BE"/>
    <w:rsid w:val="72EE22E1"/>
    <w:rsid w:val="73075151"/>
    <w:rsid w:val="731F249B"/>
    <w:rsid w:val="736B3932"/>
    <w:rsid w:val="73702AE1"/>
    <w:rsid w:val="738B702F"/>
    <w:rsid w:val="739A5FC5"/>
    <w:rsid w:val="73AA445A"/>
    <w:rsid w:val="73C83C54"/>
    <w:rsid w:val="73D31750"/>
    <w:rsid w:val="74170E85"/>
    <w:rsid w:val="741900CE"/>
    <w:rsid w:val="742A7275"/>
    <w:rsid w:val="74365CEE"/>
    <w:rsid w:val="74392095"/>
    <w:rsid w:val="7447614D"/>
    <w:rsid w:val="7460720F"/>
    <w:rsid w:val="7465554B"/>
    <w:rsid w:val="74975370"/>
    <w:rsid w:val="749B0247"/>
    <w:rsid w:val="74AA60C2"/>
    <w:rsid w:val="74DE3871"/>
    <w:rsid w:val="74F6547D"/>
    <w:rsid w:val="75096F5F"/>
    <w:rsid w:val="751E6757"/>
    <w:rsid w:val="752B3379"/>
    <w:rsid w:val="752E10BB"/>
    <w:rsid w:val="75376381"/>
    <w:rsid w:val="755328D0"/>
    <w:rsid w:val="759321B8"/>
    <w:rsid w:val="75954C96"/>
    <w:rsid w:val="759E1D9D"/>
    <w:rsid w:val="75A447EA"/>
    <w:rsid w:val="75CD2682"/>
    <w:rsid w:val="75DA08FB"/>
    <w:rsid w:val="75DC35E9"/>
    <w:rsid w:val="75FA2D4B"/>
    <w:rsid w:val="76171B4F"/>
    <w:rsid w:val="7629538E"/>
    <w:rsid w:val="762F6E99"/>
    <w:rsid w:val="767F69B6"/>
    <w:rsid w:val="76870A83"/>
    <w:rsid w:val="768F5B89"/>
    <w:rsid w:val="76902210"/>
    <w:rsid w:val="769E5BA6"/>
    <w:rsid w:val="76BE4084"/>
    <w:rsid w:val="77184DE6"/>
    <w:rsid w:val="773D55E5"/>
    <w:rsid w:val="77AE2E62"/>
    <w:rsid w:val="77BE6726"/>
    <w:rsid w:val="77E517D3"/>
    <w:rsid w:val="77ED2E5B"/>
    <w:rsid w:val="77FA11D3"/>
    <w:rsid w:val="77FD1797"/>
    <w:rsid w:val="78120820"/>
    <w:rsid w:val="782C4FAF"/>
    <w:rsid w:val="7879089F"/>
    <w:rsid w:val="789E20B4"/>
    <w:rsid w:val="789E6834"/>
    <w:rsid w:val="78AF2513"/>
    <w:rsid w:val="78B443FF"/>
    <w:rsid w:val="78BE4504"/>
    <w:rsid w:val="78ED1F7D"/>
    <w:rsid w:val="78FB3F8B"/>
    <w:rsid w:val="791365FE"/>
    <w:rsid w:val="79314CD6"/>
    <w:rsid w:val="794A5D98"/>
    <w:rsid w:val="79521FAF"/>
    <w:rsid w:val="795F7FF3"/>
    <w:rsid w:val="797E2052"/>
    <w:rsid w:val="797F3C93"/>
    <w:rsid w:val="799534B7"/>
    <w:rsid w:val="79986B03"/>
    <w:rsid w:val="79DD67E6"/>
    <w:rsid w:val="79DE4F03"/>
    <w:rsid w:val="79FA072F"/>
    <w:rsid w:val="7A340F22"/>
    <w:rsid w:val="7A3C1B84"/>
    <w:rsid w:val="7A4078C7"/>
    <w:rsid w:val="7A545120"/>
    <w:rsid w:val="7A684727"/>
    <w:rsid w:val="7A7C6425"/>
    <w:rsid w:val="7A835A05"/>
    <w:rsid w:val="7AAF2356"/>
    <w:rsid w:val="7AB23BF5"/>
    <w:rsid w:val="7ACD0A2E"/>
    <w:rsid w:val="7AD26045"/>
    <w:rsid w:val="7AE81103"/>
    <w:rsid w:val="7AEC7106"/>
    <w:rsid w:val="7B095F0A"/>
    <w:rsid w:val="7B25086A"/>
    <w:rsid w:val="7B403937"/>
    <w:rsid w:val="7B767318"/>
    <w:rsid w:val="7B892BA7"/>
    <w:rsid w:val="7B8B4516"/>
    <w:rsid w:val="7BA72548"/>
    <w:rsid w:val="7BCB1412"/>
    <w:rsid w:val="7BCF79D9"/>
    <w:rsid w:val="7BDA1655"/>
    <w:rsid w:val="7BDE7397"/>
    <w:rsid w:val="7BFF6846"/>
    <w:rsid w:val="7C0304D8"/>
    <w:rsid w:val="7C10151B"/>
    <w:rsid w:val="7C1A4C7A"/>
    <w:rsid w:val="7C2974E5"/>
    <w:rsid w:val="7C3A0345"/>
    <w:rsid w:val="7C3C40BE"/>
    <w:rsid w:val="7C444892"/>
    <w:rsid w:val="7C55371E"/>
    <w:rsid w:val="7CAE7448"/>
    <w:rsid w:val="7CB62772"/>
    <w:rsid w:val="7CCD4D16"/>
    <w:rsid w:val="7D37724C"/>
    <w:rsid w:val="7D6F401F"/>
    <w:rsid w:val="7D9D293A"/>
    <w:rsid w:val="7DBB1012"/>
    <w:rsid w:val="7DDF2F52"/>
    <w:rsid w:val="7DF36BF7"/>
    <w:rsid w:val="7DF764EE"/>
    <w:rsid w:val="7E2579C2"/>
    <w:rsid w:val="7E2D0162"/>
    <w:rsid w:val="7E33504C"/>
    <w:rsid w:val="7E5410D9"/>
    <w:rsid w:val="7E543E84"/>
    <w:rsid w:val="7E7F0292"/>
    <w:rsid w:val="7E8A310F"/>
    <w:rsid w:val="7EAC5767"/>
    <w:rsid w:val="7EBC3294"/>
    <w:rsid w:val="7EC90255"/>
    <w:rsid w:val="7EED5B43"/>
    <w:rsid w:val="7EF40C80"/>
    <w:rsid w:val="7F01339C"/>
    <w:rsid w:val="7F101066"/>
    <w:rsid w:val="7F402117"/>
    <w:rsid w:val="7F565496"/>
    <w:rsid w:val="7F620EF8"/>
    <w:rsid w:val="7F822E3C"/>
    <w:rsid w:val="7FE9455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3"/>
    <w:qFormat/>
    <w:uiPriority w:val="0"/>
    <w:rPr>
      <w:rFonts w:ascii="宋体"/>
      <w:sz w:val="18"/>
      <w:szCs w:val="18"/>
    </w:rPr>
  </w:style>
  <w:style w:type="paragraph" w:styleId="8">
    <w:name w:val="annotation text"/>
    <w:basedOn w:val="1"/>
    <w:link w:val="52"/>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50"/>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8"/>
    <w:qFormat/>
    <w:uiPriority w:val="99"/>
    <w:rPr>
      <w:rFonts w:ascii="宋体" w:hAnsi="Courier New"/>
      <w:szCs w:val="20"/>
    </w:rPr>
  </w:style>
  <w:style w:type="paragraph" w:styleId="15">
    <w:name w:val="Date"/>
    <w:basedOn w:val="1"/>
    <w:next w:val="1"/>
    <w:link w:val="54"/>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5"/>
    <w:qFormat/>
    <w:uiPriority w:val="99"/>
    <w:pPr>
      <w:tabs>
        <w:tab w:val="center" w:pos="4153"/>
        <w:tab w:val="right" w:pos="8306"/>
      </w:tabs>
      <w:snapToGrid w:val="0"/>
      <w:jc w:val="left"/>
    </w:pPr>
    <w:rPr>
      <w:sz w:val="18"/>
      <w:szCs w:val="18"/>
    </w:rPr>
  </w:style>
  <w:style w:type="paragraph" w:styleId="19">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2"/>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49"/>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字符"/>
    <w:link w:val="4"/>
    <w:semiHidden/>
    <w:qFormat/>
    <w:uiPriority w:val="0"/>
    <w:rPr>
      <w:b/>
      <w:bCs/>
      <w:kern w:val="2"/>
      <w:sz w:val="32"/>
      <w:szCs w:val="32"/>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我的正文"/>
    <w:basedOn w:val="11"/>
    <w:qFormat/>
    <w:uiPriority w:val="0"/>
    <w:pPr>
      <w:spacing w:line="500" w:lineRule="exact"/>
      <w:ind w:firstLine="480" w:firstLineChars="200"/>
    </w:pPr>
    <w:rPr>
      <w:sz w:val="24"/>
    </w:rPr>
  </w:style>
  <w:style w:type="paragraph" w:customStyle="1" w:styleId="40">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Body Text 21"/>
    <w:basedOn w:val="1"/>
    <w:next w:val="10"/>
    <w:qFormat/>
    <w:uiPriority w:val="0"/>
    <w:rPr>
      <w:rFonts w:ascii="ˎ̥" w:hAnsi="ˎ̥" w:cs="宋体"/>
      <w:b/>
      <w:sz w:val="32"/>
    </w:r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5"/>
    <w:qFormat/>
    <w:uiPriority w:val="0"/>
    <w:rPr>
      <w:kern w:val="2"/>
      <w:sz w:val="21"/>
      <w:szCs w:val="24"/>
    </w:rPr>
  </w:style>
  <w:style w:type="character" w:customStyle="1" w:styleId="50">
    <w:name w:val="正文文本 字符"/>
    <w:link w:val="10"/>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8"/>
    <w:qFormat/>
    <w:uiPriority w:val="0"/>
    <w:rPr>
      <w:kern w:val="2"/>
      <w:sz w:val="21"/>
      <w:szCs w:val="24"/>
    </w:rPr>
  </w:style>
  <w:style w:type="character" w:customStyle="1" w:styleId="53">
    <w:name w:val="文档结构图 字符"/>
    <w:link w:val="7"/>
    <w:qFormat/>
    <w:uiPriority w:val="0"/>
    <w:rPr>
      <w:rFonts w:ascii="宋体"/>
      <w:kern w:val="2"/>
      <w:sz w:val="18"/>
      <w:szCs w:val="18"/>
    </w:rPr>
  </w:style>
  <w:style w:type="character" w:customStyle="1" w:styleId="54">
    <w:name w:val="日期 字符"/>
    <w:link w:val="15"/>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29"/>
    <w:qFormat/>
    <w:uiPriority w:val="0"/>
    <w:rPr>
      <w:rFonts w:hint="eastAsia" w:ascii="宋体" w:hAnsi="宋体" w:eastAsia="宋体" w:cs="宋体"/>
      <w:color w:val="000000"/>
      <w:sz w:val="18"/>
      <w:szCs w:val="18"/>
      <w:u w:val="none"/>
    </w:rPr>
  </w:style>
  <w:style w:type="character" w:customStyle="1" w:styleId="58">
    <w:name w:val="纯文本 字符"/>
    <w:link w:val="14"/>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29"/>
    <w:qFormat/>
    <w:uiPriority w:val="0"/>
  </w:style>
  <w:style w:type="character" w:customStyle="1" w:styleId="72">
    <w:name w:val="正文文本 2 字符"/>
    <w:link w:val="22"/>
    <w:qFormat/>
    <w:uiPriority w:val="0"/>
    <w:rPr>
      <w:kern w:val="2"/>
      <w:sz w:val="21"/>
      <w:szCs w:val="24"/>
    </w:rPr>
  </w:style>
  <w:style w:type="character" w:customStyle="1" w:styleId="73">
    <w:name w:val="NormalCharacter"/>
    <w:qFormat/>
    <w:uiPriority w:val="0"/>
  </w:style>
  <w:style w:type="character" w:customStyle="1" w:styleId="74">
    <w:name w:val="页眉 字符"/>
    <w:link w:val="19"/>
    <w:qFormat/>
    <w:uiPriority w:val="99"/>
    <w:rPr>
      <w:kern w:val="2"/>
      <w:sz w:val="18"/>
      <w:szCs w:val="18"/>
    </w:rPr>
  </w:style>
  <w:style w:type="character" w:customStyle="1" w:styleId="75">
    <w:name w:val="页脚 字符"/>
    <w:link w:val="18"/>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29"/>
    <w:qFormat/>
    <w:uiPriority w:val="0"/>
    <w:rPr>
      <w:sz w:val="21"/>
      <w:szCs w:val="21"/>
    </w:rPr>
  </w:style>
  <w:style w:type="character" w:customStyle="1" w:styleId="81">
    <w:name w:val="first-child"/>
    <w:basedOn w:val="29"/>
    <w:qFormat/>
    <w:uiPriority w:val="0"/>
    <w:rPr>
      <w:color w:val="1F3149"/>
      <w:sz w:val="24"/>
      <w:szCs w:val="24"/>
    </w:rPr>
  </w:style>
  <w:style w:type="character" w:customStyle="1" w:styleId="82">
    <w:name w:val="first-child1"/>
    <w:basedOn w:val="29"/>
    <w:qFormat/>
    <w:uiPriority w:val="0"/>
    <w:rPr>
      <w:color w:val="1F3149"/>
      <w:sz w:val="24"/>
      <w:szCs w:val="24"/>
    </w:rPr>
  </w:style>
  <w:style w:type="character" w:customStyle="1" w:styleId="83">
    <w:name w:val="xiadan"/>
    <w:basedOn w:val="29"/>
    <w:qFormat/>
    <w:uiPriority w:val="0"/>
    <w:rPr>
      <w:shd w:val="clear" w:color="auto" w:fill="E4393C"/>
    </w:rPr>
  </w:style>
  <w:style w:type="character" w:customStyle="1" w:styleId="84">
    <w:name w:val="fr"/>
    <w:basedOn w:val="29"/>
    <w:qFormat/>
    <w:uiPriority w:val="0"/>
  </w:style>
  <w:style w:type="character" w:customStyle="1" w:styleId="85">
    <w:name w:val="icon_ds"/>
    <w:basedOn w:val="29"/>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7"/>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29"/>
    <w:qFormat/>
    <w:uiPriority w:val="0"/>
    <w:rPr>
      <w:rFonts w:hint="eastAsia" w:ascii="宋体" w:hAnsi="宋体" w:eastAsia="宋体" w:cs="宋体"/>
      <w:b/>
      <w:bCs/>
      <w:color w:val="000000"/>
      <w:sz w:val="24"/>
      <w:szCs w:val="24"/>
      <w:u w:val="none"/>
    </w:rPr>
  </w:style>
  <w:style w:type="character" w:customStyle="1" w:styleId="92">
    <w:name w:val="font51"/>
    <w:basedOn w:val="29"/>
    <w:qFormat/>
    <w:uiPriority w:val="0"/>
    <w:rPr>
      <w:rFonts w:ascii="Arial" w:hAnsi="Arial" w:cs="Arial"/>
      <w:color w:val="000000"/>
      <w:sz w:val="24"/>
      <w:szCs w:val="24"/>
      <w:u w:val="none"/>
    </w:rPr>
  </w:style>
  <w:style w:type="paragraph" w:customStyle="1" w:styleId="93">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106" textRotate="1"/>
    <customShpInfo spid="_x0000_s4107" textRotate="1"/>
    <customShpInfo spid="_x0000_s4108" textRotate="1"/>
    <customShpInfo spid="_x0000_s4109" textRotate="1"/>
    <customShpInfo spid="_x0000_s4110" textRotate="1"/>
    <customShpInfo spid="_x0000_s4111"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16851</Words>
  <Characters>17694</Characters>
  <Lines>146</Lines>
  <Paragraphs>41</Paragraphs>
  <TotalTime>0</TotalTime>
  <ScaleCrop>false</ScaleCrop>
  <LinksUpToDate>false</LinksUpToDate>
  <CharactersWithSpaces>18210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2026-04-27T05:32:32Z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3F3AEF60031F459BB45F1EB8C7A16E06</vt:lpwstr>
  </property>
  <property fmtid="{D5CDD505-2E9C-101B-9397-08002B2CF9AE}" pid="4" name="KSOTemplateDocerSaveRecord">
    <vt:lpwstr>eyJoZGlkIjoiMGI2ZDFmZmVjNjhiYmI3Nzg5YTgxNzM4YzkzMWZjMzEiLCJ1c2VySWQiOiIxMDQyNjE2NTI1In0=</vt:lpwstr>
  </property>
</Properties>
</file>