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CECBDA">
      <w:pPr>
        <w:tabs>
          <w:tab w:val="left" w:pos="420"/>
        </w:tabs>
        <w:spacing w:line="1700" w:lineRule="exact"/>
        <w:jc w:val="center"/>
        <w:rPr>
          <w:rFonts w:hint="eastAsia" w:ascii="宋体" w:hAnsi="宋体" w:eastAsia="宋体" w:cs="宋体"/>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eastAsia="宋体" w:cs="宋体"/>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53838812">
      <w:pPr>
        <w:tabs>
          <w:tab w:val="left" w:pos="315"/>
          <w:tab w:val="left" w:pos="8820"/>
        </w:tabs>
        <w:spacing w:line="500" w:lineRule="exact"/>
        <w:ind w:right="267" w:rightChars="127"/>
        <w:jc w:val="center"/>
        <w:rPr>
          <w:rFonts w:hint="eastAsia" w:ascii="宋体" w:hAnsi="宋体" w:eastAsia="宋体" w:cs="宋体"/>
          <w:color w:val="auto"/>
          <w:sz w:val="48"/>
          <w:highlight w:val="none"/>
        </w:rPr>
      </w:pPr>
    </w:p>
    <w:p w14:paraId="6CFB053D">
      <w:pPr>
        <w:tabs>
          <w:tab w:val="left" w:pos="315"/>
          <w:tab w:val="left" w:pos="8820"/>
        </w:tabs>
        <w:spacing w:line="500" w:lineRule="exact"/>
        <w:ind w:right="267" w:rightChars="127"/>
        <w:jc w:val="center"/>
        <w:rPr>
          <w:rFonts w:hint="eastAsia" w:ascii="宋体" w:hAnsi="宋体" w:eastAsia="宋体" w:cs="宋体"/>
          <w:color w:val="auto"/>
          <w:sz w:val="52"/>
          <w:highlight w:val="none"/>
        </w:rPr>
      </w:pPr>
    </w:p>
    <w:p w14:paraId="59B7FC6F">
      <w:pPr>
        <w:tabs>
          <w:tab w:val="left" w:pos="315"/>
          <w:tab w:val="left" w:pos="8820"/>
        </w:tabs>
        <w:spacing w:line="360" w:lineRule="auto"/>
        <w:ind w:right="267" w:rightChars="127"/>
        <w:jc w:val="center"/>
        <w:rPr>
          <w:rFonts w:hint="eastAsia" w:ascii="宋体" w:hAnsi="宋体" w:eastAsia="宋体" w:cs="宋体"/>
          <w:color w:val="auto"/>
          <w:sz w:val="52"/>
          <w:highlight w:val="none"/>
        </w:rPr>
      </w:pPr>
      <w:r>
        <w:rPr>
          <w:rFonts w:hint="eastAsia" w:ascii="宋体" w:hAnsi="宋体" w:eastAsia="宋体" w:cs="宋体"/>
          <w:color w:val="auto"/>
          <w:sz w:val="52"/>
          <w:highlight w:val="none"/>
        </w:rPr>
        <w:t>政 府 采 购 招 标 文 件</w:t>
      </w:r>
    </w:p>
    <w:p w14:paraId="086962C8">
      <w:pPr>
        <w:tabs>
          <w:tab w:val="left" w:pos="315"/>
          <w:tab w:val="left" w:pos="8820"/>
        </w:tabs>
        <w:spacing w:line="500" w:lineRule="exact"/>
        <w:ind w:right="267" w:rightChars="127"/>
        <w:jc w:val="center"/>
        <w:rPr>
          <w:rFonts w:hint="eastAsia" w:ascii="宋体" w:hAnsi="宋体" w:eastAsia="宋体" w:cs="宋体"/>
          <w:color w:val="auto"/>
          <w:sz w:val="44"/>
          <w:highlight w:val="none"/>
        </w:rPr>
      </w:pPr>
    </w:p>
    <w:p w14:paraId="440E272A">
      <w:pPr>
        <w:tabs>
          <w:tab w:val="left" w:pos="315"/>
          <w:tab w:val="left" w:pos="8820"/>
        </w:tabs>
        <w:ind w:right="267" w:rightChars="127"/>
        <w:rPr>
          <w:rFonts w:hint="eastAsia" w:ascii="宋体" w:hAnsi="宋体" w:eastAsia="宋体" w:cs="宋体"/>
          <w:color w:val="auto"/>
          <w:sz w:val="44"/>
          <w:highlight w:val="none"/>
        </w:rPr>
      </w:pPr>
    </w:p>
    <w:p w14:paraId="6BC95DE0">
      <w:pPr>
        <w:tabs>
          <w:tab w:val="left" w:pos="315"/>
          <w:tab w:val="left" w:pos="8820"/>
        </w:tabs>
        <w:ind w:right="267" w:rightChars="127"/>
        <w:rPr>
          <w:rFonts w:hint="eastAsia" w:ascii="宋体" w:hAnsi="宋体" w:eastAsia="宋体" w:cs="宋体"/>
          <w:color w:val="auto"/>
          <w:sz w:val="44"/>
          <w:highlight w:val="none"/>
        </w:rPr>
      </w:pPr>
    </w:p>
    <w:p w14:paraId="40919BD6">
      <w:pPr>
        <w:tabs>
          <w:tab w:val="left" w:pos="315"/>
          <w:tab w:val="left" w:pos="8820"/>
        </w:tabs>
        <w:spacing w:line="500" w:lineRule="exact"/>
        <w:ind w:right="267" w:rightChars="127"/>
        <w:rPr>
          <w:rFonts w:hint="eastAsia" w:ascii="宋体" w:hAnsi="宋体" w:eastAsia="宋体" w:cs="宋体"/>
          <w:color w:val="auto"/>
          <w:sz w:val="36"/>
          <w:highlight w:val="none"/>
        </w:rPr>
      </w:pPr>
    </w:p>
    <w:p w14:paraId="7567C17E">
      <w:pPr>
        <w:pStyle w:val="8"/>
        <w:spacing w:line="360" w:lineRule="auto"/>
        <w:ind w:firstLine="3240" w:firstLineChars="900"/>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（1-</w:t>
      </w:r>
      <w:r>
        <w:rPr>
          <w:rFonts w:hint="eastAsia" w:ascii="宋体" w:hAnsi="宋体" w:eastAsia="宋体" w:cs="宋体"/>
          <w:b w:val="0"/>
          <w:color w:val="auto"/>
          <w:sz w:val="36"/>
          <w:szCs w:val="36"/>
          <w:highlight w:val="none"/>
          <w:lang w:val="en-US" w:eastAsia="zh-CN"/>
        </w:rPr>
        <w:t>2</w:t>
      </w:r>
      <w:r>
        <w:rPr>
          <w:rFonts w:hint="eastAsia" w:ascii="宋体" w:hAnsi="宋体" w:eastAsia="宋体" w:cs="宋体"/>
          <w:b w:val="0"/>
          <w:color w:val="auto"/>
          <w:sz w:val="36"/>
          <w:szCs w:val="36"/>
          <w:highlight w:val="none"/>
        </w:rPr>
        <w:t>包）</w:t>
      </w:r>
    </w:p>
    <w:p w14:paraId="0A22D6A5">
      <w:pPr>
        <w:pStyle w:val="8"/>
        <w:spacing w:line="360" w:lineRule="auto"/>
        <w:rPr>
          <w:rFonts w:hint="eastAsia" w:ascii="宋体" w:hAnsi="宋体" w:eastAsia="宋体" w:cs="宋体"/>
          <w:b w:val="0"/>
          <w:color w:val="auto"/>
          <w:sz w:val="32"/>
          <w:szCs w:val="32"/>
          <w:highlight w:val="none"/>
        </w:rPr>
      </w:pPr>
    </w:p>
    <w:p w14:paraId="60D8F6D7">
      <w:pPr>
        <w:pStyle w:val="8"/>
        <w:spacing w:line="360" w:lineRule="auto"/>
        <w:rPr>
          <w:rFonts w:hint="eastAsia" w:ascii="宋体" w:hAnsi="宋体" w:eastAsia="宋体" w:cs="宋体"/>
          <w:b w:val="0"/>
          <w:color w:val="auto"/>
          <w:sz w:val="32"/>
          <w:szCs w:val="32"/>
          <w:highlight w:val="none"/>
        </w:rPr>
      </w:pPr>
    </w:p>
    <w:p w14:paraId="7E513759">
      <w:pPr>
        <w:pStyle w:val="8"/>
        <w:spacing w:line="360" w:lineRule="auto"/>
        <w:rPr>
          <w:rFonts w:hint="eastAsia" w:ascii="宋体" w:hAnsi="宋体" w:eastAsia="宋体" w:cs="宋体"/>
          <w:b w:val="0"/>
          <w:color w:val="auto"/>
          <w:sz w:val="32"/>
          <w:szCs w:val="32"/>
          <w:highlight w:val="none"/>
        </w:rPr>
      </w:pPr>
    </w:p>
    <w:p w14:paraId="52CAE81E">
      <w:pPr>
        <w:pStyle w:val="8"/>
        <w:spacing w:line="360" w:lineRule="auto"/>
        <w:rPr>
          <w:rFonts w:hint="eastAsia" w:ascii="宋体" w:hAnsi="宋体" w:eastAsia="宋体" w:cs="宋体"/>
          <w:b w:val="0"/>
          <w:color w:val="auto"/>
          <w:sz w:val="32"/>
          <w:szCs w:val="32"/>
          <w:highlight w:val="none"/>
        </w:rPr>
      </w:pPr>
    </w:p>
    <w:p w14:paraId="18E4E66F">
      <w:pPr>
        <w:pStyle w:val="8"/>
        <w:spacing w:line="360" w:lineRule="auto"/>
        <w:rPr>
          <w:rFonts w:hint="eastAsia" w:ascii="宋体" w:hAnsi="宋体" w:eastAsia="宋体" w:cs="宋体"/>
          <w:b w:val="0"/>
          <w:color w:val="auto"/>
          <w:sz w:val="32"/>
          <w:szCs w:val="32"/>
          <w:highlight w:val="none"/>
        </w:rPr>
      </w:pPr>
    </w:p>
    <w:p w14:paraId="0A7F0E3D">
      <w:pPr>
        <w:pStyle w:val="8"/>
        <w:spacing w:line="360" w:lineRule="auto"/>
        <w:rPr>
          <w:rFonts w:hint="eastAsia" w:ascii="宋体" w:hAnsi="宋体" w:eastAsia="宋体" w:cs="宋体"/>
          <w:b w:val="0"/>
          <w:color w:val="auto"/>
          <w:sz w:val="32"/>
          <w:szCs w:val="32"/>
          <w:highlight w:val="none"/>
        </w:rPr>
      </w:pPr>
    </w:p>
    <w:p w14:paraId="00FDE9E5">
      <w:pPr>
        <w:pStyle w:val="8"/>
        <w:spacing w:line="360" w:lineRule="auto"/>
        <w:rPr>
          <w:rFonts w:hint="eastAsia" w:ascii="宋体" w:hAnsi="宋体" w:eastAsia="宋体" w:cs="宋体"/>
          <w:b w:val="0"/>
          <w:color w:val="auto"/>
          <w:sz w:val="32"/>
          <w:szCs w:val="32"/>
          <w:highlight w:val="none"/>
          <w:lang w:eastAsia="zh-CN"/>
        </w:rPr>
      </w:pPr>
      <w:r>
        <w:rPr>
          <w:rFonts w:hint="eastAsia" w:ascii="宋体" w:hAnsi="宋体" w:eastAsia="宋体" w:cs="宋体"/>
          <w:b w:val="0"/>
          <w:color w:val="auto"/>
          <w:sz w:val="32"/>
          <w:szCs w:val="32"/>
          <w:highlight w:val="none"/>
        </w:rPr>
        <w:t>项目名称：</w:t>
      </w:r>
      <w:r>
        <w:rPr>
          <w:rFonts w:hint="eastAsia" w:ascii="宋体" w:hAnsi="宋体" w:eastAsia="宋体" w:cs="宋体"/>
          <w:b w:val="0"/>
          <w:color w:val="auto"/>
          <w:sz w:val="32"/>
          <w:szCs w:val="32"/>
          <w:highlight w:val="none"/>
          <w:lang w:eastAsia="zh-CN"/>
        </w:rPr>
        <w:t>周口市淮阳区教育体育局淮阳区2023年改薄</w:t>
      </w:r>
    </w:p>
    <w:p w14:paraId="66572D64">
      <w:pPr>
        <w:pStyle w:val="8"/>
        <w:spacing w:line="360" w:lineRule="auto"/>
        <w:ind w:firstLine="1600" w:firstLineChars="500"/>
        <w:rPr>
          <w:rFonts w:hint="eastAsia" w:ascii="宋体" w:hAnsi="宋体" w:eastAsia="宋体" w:cs="宋体"/>
          <w:b w:val="0"/>
          <w:color w:val="auto"/>
          <w:sz w:val="32"/>
          <w:szCs w:val="32"/>
          <w:highlight w:val="none"/>
          <w:lang w:eastAsia="zh-CN"/>
        </w:rPr>
      </w:pPr>
      <w:r>
        <w:rPr>
          <w:rFonts w:hint="eastAsia" w:ascii="宋体" w:hAnsi="宋体" w:eastAsia="宋体" w:cs="宋体"/>
          <w:b w:val="0"/>
          <w:color w:val="auto"/>
          <w:sz w:val="32"/>
          <w:szCs w:val="32"/>
          <w:highlight w:val="none"/>
          <w:lang w:eastAsia="zh-CN"/>
        </w:rPr>
        <w:t>提升教学装备项目</w:t>
      </w:r>
    </w:p>
    <w:p w14:paraId="773AF645">
      <w:pPr>
        <w:pStyle w:val="8"/>
        <w:rPr>
          <w:rFonts w:hint="eastAsia" w:ascii="宋体" w:hAnsi="宋体" w:eastAsia="宋体" w:cs="宋体"/>
          <w:b w:val="0"/>
          <w:color w:val="auto"/>
          <w:sz w:val="32"/>
          <w:szCs w:val="32"/>
          <w:highlight w:val="none"/>
        </w:rPr>
      </w:pPr>
      <w:r>
        <w:rPr>
          <w:rFonts w:hint="eastAsia" w:ascii="宋体" w:hAnsi="宋体" w:eastAsia="宋体" w:cs="宋体"/>
          <w:b w:val="0"/>
          <w:color w:val="auto"/>
          <w:sz w:val="32"/>
          <w:szCs w:val="32"/>
          <w:highlight w:val="none"/>
        </w:rPr>
        <w:t>项目编号：</w:t>
      </w:r>
      <w:r>
        <w:rPr>
          <w:rFonts w:hint="eastAsia" w:ascii="宋体" w:hAnsi="宋体" w:eastAsia="宋体" w:cs="宋体"/>
          <w:b w:val="0"/>
          <w:color w:val="auto"/>
          <w:sz w:val="32"/>
          <w:szCs w:val="32"/>
          <w:highlight w:val="none"/>
          <w:lang w:eastAsia="zh-CN"/>
        </w:rPr>
        <w:t>淮财招标采购-2026-10</w:t>
      </w:r>
      <w:r>
        <w:rPr>
          <w:rFonts w:hint="eastAsia" w:ascii="宋体" w:hAnsi="宋体" w:eastAsia="宋体" w:cs="宋体"/>
          <w:b w:val="0"/>
          <w:color w:val="auto"/>
          <w:sz w:val="32"/>
          <w:szCs w:val="32"/>
          <w:highlight w:val="none"/>
        </w:rPr>
        <w:t xml:space="preserve"> </w:t>
      </w:r>
    </w:p>
    <w:p w14:paraId="2E5ECA90">
      <w:pPr>
        <w:jc w:val="center"/>
        <w:rPr>
          <w:rFonts w:hint="eastAsia" w:ascii="宋体" w:hAnsi="宋体" w:eastAsia="宋体" w:cs="宋体"/>
          <w:color w:val="auto"/>
          <w:spacing w:val="-4"/>
          <w:sz w:val="32"/>
          <w:szCs w:val="32"/>
          <w:highlight w:val="none"/>
        </w:rPr>
      </w:pPr>
    </w:p>
    <w:p w14:paraId="0F449F0A">
      <w:pPr>
        <w:spacing w:line="360" w:lineRule="auto"/>
        <w:jc w:val="center"/>
        <w:rPr>
          <w:rFonts w:hint="eastAsia" w:ascii="宋体" w:hAnsi="宋体" w:eastAsia="宋体" w:cs="宋体"/>
          <w:color w:val="auto"/>
          <w:spacing w:val="-4"/>
          <w:sz w:val="32"/>
          <w:szCs w:val="32"/>
          <w:highlight w:val="none"/>
        </w:rPr>
      </w:pPr>
      <w:r>
        <w:rPr>
          <w:rFonts w:hint="eastAsia" w:ascii="宋体" w:hAnsi="宋体" w:eastAsia="宋体" w:cs="宋体"/>
          <w:color w:val="auto"/>
          <w:sz w:val="32"/>
          <w:szCs w:val="32"/>
          <w:highlight w:val="none"/>
          <w:shd w:val="clear" w:color="auto" w:fill="FFFFFF"/>
        </w:rPr>
        <w:t>202</w:t>
      </w:r>
      <w:r>
        <w:rPr>
          <w:rFonts w:hint="eastAsia" w:ascii="宋体" w:hAnsi="宋体" w:eastAsia="宋体" w:cs="宋体"/>
          <w:color w:val="auto"/>
          <w:sz w:val="32"/>
          <w:szCs w:val="32"/>
          <w:highlight w:val="none"/>
          <w:shd w:val="clear" w:color="auto" w:fill="FFFFFF"/>
          <w:lang w:val="en-US" w:eastAsia="zh-CN"/>
        </w:rPr>
        <w:t>6</w:t>
      </w:r>
      <w:r>
        <w:rPr>
          <w:rFonts w:hint="eastAsia" w:ascii="宋体" w:hAnsi="宋体" w:eastAsia="宋体" w:cs="宋体"/>
          <w:color w:val="auto"/>
          <w:spacing w:val="-4"/>
          <w:sz w:val="32"/>
          <w:szCs w:val="32"/>
          <w:highlight w:val="none"/>
        </w:rPr>
        <w:t>年4月</w:t>
      </w:r>
      <w:r>
        <w:rPr>
          <w:rFonts w:hint="eastAsia" w:ascii="宋体" w:hAnsi="宋体" w:cs="宋体"/>
          <w:color w:val="auto"/>
          <w:spacing w:val="-4"/>
          <w:sz w:val="32"/>
          <w:szCs w:val="32"/>
          <w:highlight w:val="none"/>
          <w:lang w:val="en-US" w:eastAsia="zh-CN"/>
        </w:rPr>
        <w:t>24</w:t>
      </w:r>
      <w:r>
        <w:rPr>
          <w:rFonts w:hint="eastAsia" w:ascii="宋体" w:hAnsi="宋体" w:eastAsia="宋体" w:cs="宋体"/>
          <w:color w:val="auto"/>
          <w:spacing w:val="-4"/>
          <w:sz w:val="32"/>
          <w:szCs w:val="32"/>
          <w:highlight w:val="none"/>
        </w:rPr>
        <w:t>日</w:t>
      </w:r>
    </w:p>
    <w:p w14:paraId="21446E9A">
      <w:pPr>
        <w:pStyle w:val="30"/>
        <w:ind w:firstLine="210"/>
        <w:rPr>
          <w:rFonts w:hint="eastAsia" w:ascii="宋体" w:hAnsi="宋体" w:eastAsia="宋体" w:cs="宋体"/>
          <w:color w:val="auto"/>
          <w:highlight w:val="none"/>
        </w:rPr>
      </w:pPr>
    </w:p>
    <w:p w14:paraId="321FC48F">
      <w:pPr>
        <w:pStyle w:val="8"/>
        <w:jc w:val="center"/>
        <w:rPr>
          <w:rFonts w:hint="eastAsia" w:ascii="宋体" w:hAnsi="宋体" w:eastAsia="宋体" w:cs="宋体"/>
          <w:b w:val="0"/>
          <w:color w:val="auto"/>
          <w:highlight w:val="none"/>
        </w:rPr>
      </w:pPr>
    </w:p>
    <w:p w14:paraId="762E7EB1">
      <w:pPr>
        <w:tabs>
          <w:tab w:val="left" w:pos="4620"/>
        </w:tabs>
        <w:spacing w:line="500" w:lineRule="exact"/>
        <w:jc w:val="center"/>
        <w:rPr>
          <w:rFonts w:hint="eastAsia" w:ascii="宋体" w:hAnsi="宋体" w:eastAsia="宋体" w:cs="宋体"/>
          <w:color w:val="auto"/>
          <w:sz w:val="32"/>
          <w:highlight w:val="none"/>
        </w:rPr>
      </w:pPr>
      <w:r>
        <w:rPr>
          <w:rFonts w:hint="eastAsia" w:ascii="宋体" w:hAnsi="宋体" w:eastAsia="宋体" w:cs="宋体"/>
          <w:color w:val="auto"/>
          <w:sz w:val="32"/>
          <w:highlight w:val="none"/>
        </w:rPr>
        <w:t>目  录</w:t>
      </w:r>
    </w:p>
    <w:p w14:paraId="62F5195D">
      <w:pPr>
        <w:pStyle w:val="18"/>
        <w:tabs>
          <w:tab w:val="right" w:leader="dot" w:pos="8380"/>
        </w:tabs>
        <w:spacing w:line="360" w:lineRule="auto"/>
        <w:rPr>
          <w:rFonts w:hint="eastAsia" w:ascii="宋体" w:hAnsi="宋体" w:eastAsia="宋体" w:cs="宋体"/>
          <w:color w:val="auto"/>
          <w:sz w:val="24"/>
          <w:szCs w:val="22"/>
          <w:highlight w:val="none"/>
        </w:rPr>
      </w:pPr>
      <w:bookmarkStart w:id="0" w:name="_Hlt519045295"/>
      <w:bookmarkEnd w:id="0"/>
      <w:bookmarkStart w:id="1" w:name="_Hlt533241375"/>
      <w:bookmarkEnd w:id="1"/>
      <w:bookmarkStart w:id="2" w:name="_Hlt526418134"/>
      <w:bookmarkEnd w:id="2"/>
      <w:r>
        <w:rPr>
          <w:rFonts w:hint="eastAsia" w:ascii="宋体" w:hAnsi="宋体" w:eastAsia="宋体" w:cs="宋体"/>
          <w:color w:val="auto"/>
          <w:sz w:val="24"/>
          <w:szCs w:val="22"/>
          <w:highlight w:val="none"/>
        </w:rPr>
        <w:fldChar w:fldCharType="begin"/>
      </w:r>
      <w:r>
        <w:rPr>
          <w:rFonts w:hint="eastAsia" w:ascii="宋体" w:hAnsi="宋体" w:eastAsia="宋体" w:cs="宋体"/>
          <w:color w:val="auto"/>
          <w:sz w:val="24"/>
          <w:szCs w:val="22"/>
          <w:highlight w:val="none"/>
        </w:rPr>
        <w:instrText xml:space="preserve"> TOC \o "1-3" \h \z </w:instrText>
      </w:r>
      <w:r>
        <w:rPr>
          <w:rFonts w:hint="eastAsia" w:ascii="宋体" w:hAnsi="宋体" w:eastAsia="宋体" w:cs="宋体"/>
          <w:color w:val="auto"/>
          <w:sz w:val="24"/>
          <w:szCs w:val="22"/>
          <w:highlight w:val="none"/>
        </w:rPr>
        <w:fldChar w:fldCharType="separate"/>
      </w:r>
      <w:r>
        <w:rPr>
          <w:rFonts w:hint="eastAsia" w:ascii="宋体" w:hAnsi="宋体" w:eastAsia="宋体" w:cs="宋体"/>
          <w:color w:val="auto"/>
          <w:sz w:val="24"/>
          <w:szCs w:val="22"/>
          <w:highlight w:val="none"/>
        </w:rPr>
        <w:fldChar w:fldCharType="begin"/>
      </w:r>
      <w:r>
        <w:rPr>
          <w:rFonts w:hint="eastAsia" w:ascii="宋体" w:hAnsi="宋体" w:eastAsia="宋体" w:cs="宋体"/>
          <w:color w:val="auto"/>
          <w:sz w:val="24"/>
          <w:szCs w:val="22"/>
          <w:highlight w:val="none"/>
        </w:rPr>
        <w:instrText xml:space="preserve"> HYPERLINK \l "_Toc40975436" </w:instrText>
      </w:r>
      <w:r>
        <w:rPr>
          <w:rFonts w:hint="eastAsia" w:ascii="宋体" w:hAnsi="宋体" w:eastAsia="宋体" w:cs="宋体"/>
          <w:color w:val="auto"/>
          <w:sz w:val="24"/>
          <w:szCs w:val="22"/>
          <w:highlight w:val="none"/>
        </w:rPr>
        <w:fldChar w:fldCharType="separate"/>
      </w:r>
      <w:r>
        <w:rPr>
          <w:rFonts w:hint="eastAsia" w:ascii="宋体" w:hAnsi="宋体" w:eastAsia="宋体" w:cs="宋体"/>
          <w:color w:val="auto"/>
          <w:sz w:val="24"/>
          <w:szCs w:val="22"/>
          <w:highlight w:val="none"/>
        </w:rPr>
        <w:t>第一章  招标公告</w:t>
      </w:r>
      <w:r>
        <w:rPr>
          <w:rFonts w:hint="eastAsia" w:ascii="宋体" w:hAnsi="宋体" w:eastAsia="宋体" w:cs="宋体"/>
          <w:color w:val="auto"/>
          <w:sz w:val="24"/>
          <w:szCs w:val="22"/>
          <w:highlight w:val="none"/>
        </w:rPr>
        <w:tab/>
      </w:r>
      <w:r>
        <w:rPr>
          <w:rFonts w:hint="eastAsia" w:ascii="宋体" w:hAnsi="宋体" w:eastAsia="宋体" w:cs="宋体"/>
          <w:color w:val="auto"/>
          <w:sz w:val="24"/>
          <w:szCs w:val="22"/>
          <w:highlight w:val="none"/>
        </w:rPr>
        <w:t>......</w:t>
      </w:r>
      <w:r>
        <w:rPr>
          <w:rFonts w:hint="eastAsia" w:ascii="宋体" w:hAnsi="宋体" w:eastAsia="宋体" w:cs="宋体"/>
          <w:color w:val="auto"/>
          <w:sz w:val="24"/>
          <w:szCs w:val="22"/>
          <w:highlight w:val="none"/>
        </w:rPr>
        <w:fldChar w:fldCharType="begin"/>
      </w:r>
      <w:r>
        <w:rPr>
          <w:rFonts w:hint="eastAsia" w:ascii="宋体" w:hAnsi="宋体" w:eastAsia="宋体" w:cs="宋体"/>
          <w:color w:val="auto"/>
          <w:sz w:val="24"/>
          <w:szCs w:val="22"/>
          <w:highlight w:val="none"/>
        </w:rPr>
        <w:instrText xml:space="preserve"> PAGEREF _Toc40975436 \h </w:instrText>
      </w:r>
      <w:r>
        <w:rPr>
          <w:rFonts w:hint="eastAsia" w:ascii="宋体" w:hAnsi="宋体" w:eastAsia="宋体" w:cs="宋体"/>
          <w:color w:val="auto"/>
          <w:sz w:val="24"/>
          <w:szCs w:val="22"/>
          <w:highlight w:val="none"/>
        </w:rPr>
        <w:fldChar w:fldCharType="separate"/>
      </w:r>
      <w:r>
        <w:rPr>
          <w:rFonts w:hint="eastAsia" w:ascii="宋体" w:hAnsi="宋体" w:eastAsia="宋体" w:cs="宋体"/>
          <w:color w:val="auto"/>
          <w:sz w:val="24"/>
          <w:szCs w:val="22"/>
          <w:highlight w:val="none"/>
        </w:rPr>
        <w:t>3</w:t>
      </w:r>
      <w:r>
        <w:rPr>
          <w:rFonts w:hint="eastAsia" w:ascii="宋体" w:hAnsi="宋体" w:eastAsia="宋体" w:cs="宋体"/>
          <w:color w:val="auto"/>
          <w:sz w:val="24"/>
          <w:szCs w:val="22"/>
          <w:highlight w:val="none"/>
        </w:rPr>
        <w:fldChar w:fldCharType="end"/>
      </w:r>
      <w:r>
        <w:rPr>
          <w:rFonts w:hint="eastAsia" w:ascii="宋体" w:hAnsi="宋体" w:eastAsia="宋体" w:cs="宋体"/>
          <w:color w:val="auto"/>
          <w:sz w:val="24"/>
          <w:szCs w:val="22"/>
          <w:highlight w:val="none"/>
        </w:rPr>
        <w:fldChar w:fldCharType="end"/>
      </w:r>
    </w:p>
    <w:p w14:paraId="5686770D">
      <w:pPr>
        <w:pStyle w:val="18"/>
        <w:tabs>
          <w:tab w:val="right" w:leader="dot" w:pos="8380"/>
        </w:tabs>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fldChar w:fldCharType="begin"/>
      </w:r>
      <w:r>
        <w:rPr>
          <w:rFonts w:hint="eastAsia" w:ascii="宋体" w:hAnsi="宋体" w:eastAsia="宋体" w:cs="宋体"/>
          <w:color w:val="auto"/>
          <w:sz w:val="24"/>
          <w:szCs w:val="22"/>
          <w:highlight w:val="none"/>
        </w:rPr>
        <w:instrText xml:space="preserve"> HYPERLINK \l "_Toc40975437" </w:instrText>
      </w:r>
      <w:r>
        <w:rPr>
          <w:rFonts w:hint="eastAsia" w:ascii="宋体" w:hAnsi="宋体" w:eastAsia="宋体" w:cs="宋体"/>
          <w:color w:val="auto"/>
          <w:sz w:val="24"/>
          <w:szCs w:val="22"/>
          <w:highlight w:val="none"/>
        </w:rPr>
        <w:fldChar w:fldCharType="separate"/>
      </w:r>
      <w:r>
        <w:rPr>
          <w:rFonts w:hint="eastAsia" w:ascii="宋体" w:hAnsi="宋体" w:eastAsia="宋体" w:cs="宋体"/>
          <w:color w:val="auto"/>
          <w:sz w:val="24"/>
          <w:szCs w:val="22"/>
          <w:highlight w:val="none"/>
        </w:rPr>
        <w:t>第二章 投标人须知前附表</w:t>
      </w:r>
      <w:r>
        <w:rPr>
          <w:rFonts w:hint="eastAsia" w:ascii="宋体" w:hAnsi="宋体" w:eastAsia="宋体" w:cs="宋体"/>
          <w:color w:val="auto"/>
          <w:sz w:val="24"/>
          <w:szCs w:val="22"/>
          <w:highlight w:val="none"/>
        </w:rPr>
        <w:tab/>
      </w:r>
      <w:r>
        <w:rPr>
          <w:rFonts w:hint="eastAsia" w:ascii="宋体" w:hAnsi="宋体" w:eastAsia="宋体" w:cs="宋体"/>
          <w:color w:val="auto"/>
          <w:sz w:val="24"/>
          <w:szCs w:val="22"/>
          <w:highlight w:val="none"/>
        </w:rPr>
        <w:t>6</w:t>
      </w:r>
      <w:r>
        <w:rPr>
          <w:rFonts w:hint="eastAsia" w:ascii="宋体" w:hAnsi="宋体" w:eastAsia="宋体" w:cs="宋体"/>
          <w:color w:val="auto"/>
          <w:sz w:val="24"/>
          <w:szCs w:val="22"/>
          <w:highlight w:val="none"/>
        </w:rPr>
        <w:fldChar w:fldCharType="end"/>
      </w:r>
    </w:p>
    <w:p w14:paraId="2B7C5A40">
      <w:pPr>
        <w:pStyle w:val="18"/>
        <w:tabs>
          <w:tab w:val="right" w:leader="dot" w:pos="8380"/>
        </w:tabs>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fldChar w:fldCharType="begin"/>
      </w:r>
      <w:r>
        <w:rPr>
          <w:rFonts w:hint="eastAsia" w:ascii="宋体" w:hAnsi="宋体" w:eastAsia="宋体" w:cs="宋体"/>
          <w:color w:val="auto"/>
          <w:sz w:val="24"/>
          <w:szCs w:val="22"/>
          <w:highlight w:val="none"/>
        </w:rPr>
        <w:instrText xml:space="preserve"> HYPERLINK \l "_Toc40975438" </w:instrText>
      </w:r>
      <w:r>
        <w:rPr>
          <w:rFonts w:hint="eastAsia" w:ascii="宋体" w:hAnsi="宋体" w:eastAsia="宋体" w:cs="宋体"/>
          <w:color w:val="auto"/>
          <w:sz w:val="24"/>
          <w:szCs w:val="22"/>
          <w:highlight w:val="none"/>
        </w:rPr>
        <w:fldChar w:fldCharType="separate"/>
      </w:r>
      <w:r>
        <w:rPr>
          <w:rFonts w:hint="eastAsia" w:ascii="宋体" w:hAnsi="宋体" w:eastAsia="宋体" w:cs="宋体"/>
          <w:color w:val="auto"/>
          <w:sz w:val="24"/>
          <w:szCs w:val="22"/>
          <w:highlight w:val="none"/>
        </w:rPr>
        <w:t>第三章 货物需求一览表</w:t>
      </w:r>
      <w:r>
        <w:rPr>
          <w:rFonts w:hint="eastAsia" w:ascii="宋体" w:hAnsi="宋体" w:eastAsia="宋体" w:cs="宋体"/>
          <w:color w:val="auto"/>
          <w:sz w:val="24"/>
          <w:szCs w:val="22"/>
          <w:highlight w:val="none"/>
        </w:rPr>
        <w:tab/>
      </w:r>
      <w:r>
        <w:rPr>
          <w:rFonts w:hint="eastAsia" w:ascii="宋体" w:hAnsi="宋体" w:eastAsia="宋体" w:cs="宋体"/>
          <w:color w:val="auto"/>
          <w:sz w:val="24"/>
          <w:szCs w:val="22"/>
          <w:highlight w:val="none"/>
        </w:rPr>
        <w:t>8</w:t>
      </w:r>
      <w:r>
        <w:rPr>
          <w:rFonts w:hint="eastAsia" w:ascii="宋体" w:hAnsi="宋体" w:eastAsia="宋体" w:cs="宋体"/>
          <w:color w:val="auto"/>
          <w:sz w:val="24"/>
          <w:szCs w:val="22"/>
          <w:highlight w:val="none"/>
        </w:rPr>
        <w:fldChar w:fldCharType="end"/>
      </w:r>
    </w:p>
    <w:p w14:paraId="10F09D14">
      <w:pPr>
        <w:pStyle w:val="18"/>
        <w:tabs>
          <w:tab w:val="right" w:leader="dot" w:pos="8380"/>
        </w:tabs>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fldChar w:fldCharType="begin"/>
      </w:r>
      <w:r>
        <w:rPr>
          <w:rFonts w:hint="eastAsia" w:ascii="宋体" w:hAnsi="宋体" w:eastAsia="宋体" w:cs="宋体"/>
          <w:color w:val="auto"/>
          <w:sz w:val="24"/>
          <w:szCs w:val="22"/>
          <w:highlight w:val="none"/>
        </w:rPr>
        <w:instrText xml:space="preserve"> HYPERLINK \l "_Toc40975439" </w:instrText>
      </w:r>
      <w:r>
        <w:rPr>
          <w:rFonts w:hint="eastAsia" w:ascii="宋体" w:hAnsi="宋体" w:eastAsia="宋体" w:cs="宋体"/>
          <w:color w:val="auto"/>
          <w:sz w:val="24"/>
          <w:szCs w:val="22"/>
          <w:highlight w:val="none"/>
        </w:rPr>
        <w:fldChar w:fldCharType="separate"/>
      </w:r>
      <w:r>
        <w:rPr>
          <w:rFonts w:hint="eastAsia" w:ascii="宋体" w:hAnsi="宋体" w:eastAsia="宋体" w:cs="宋体"/>
          <w:color w:val="auto"/>
          <w:sz w:val="24"/>
          <w:szCs w:val="22"/>
          <w:highlight w:val="none"/>
        </w:rPr>
        <w:t>第四章 评标</w:t>
      </w:r>
      <w:bookmarkStart w:id="3" w:name="_Hlt47544340"/>
      <w:bookmarkStart w:id="4" w:name="_Hlt47544341"/>
      <w:r>
        <w:rPr>
          <w:rFonts w:hint="eastAsia" w:ascii="宋体" w:hAnsi="宋体" w:eastAsia="宋体" w:cs="宋体"/>
          <w:color w:val="auto"/>
          <w:sz w:val="24"/>
          <w:szCs w:val="22"/>
          <w:highlight w:val="none"/>
        </w:rPr>
        <w:t>办</w:t>
      </w:r>
      <w:bookmarkEnd w:id="3"/>
      <w:bookmarkEnd w:id="4"/>
      <w:r>
        <w:rPr>
          <w:rFonts w:hint="eastAsia" w:ascii="宋体" w:hAnsi="宋体" w:eastAsia="宋体" w:cs="宋体"/>
          <w:color w:val="auto"/>
          <w:sz w:val="24"/>
          <w:szCs w:val="22"/>
          <w:highlight w:val="none"/>
        </w:rPr>
        <w:t>法</w:t>
      </w:r>
      <w:r>
        <w:rPr>
          <w:rFonts w:hint="eastAsia" w:ascii="宋体" w:hAnsi="宋体" w:eastAsia="宋体" w:cs="宋体"/>
          <w:color w:val="auto"/>
          <w:sz w:val="24"/>
          <w:szCs w:val="22"/>
          <w:highlight w:val="none"/>
        </w:rPr>
        <w:tab/>
      </w:r>
      <w:r>
        <w:rPr>
          <w:rFonts w:hint="eastAsia" w:ascii="宋体" w:hAnsi="宋体" w:eastAsia="宋体" w:cs="宋体"/>
          <w:color w:val="auto"/>
          <w:sz w:val="24"/>
          <w:szCs w:val="22"/>
          <w:highlight w:val="none"/>
        </w:rPr>
        <w:t>1</w:t>
      </w:r>
      <w:r>
        <w:rPr>
          <w:rFonts w:hint="eastAsia" w:ascii="宋体" w:hAnsi="宋体" w:eastAsia="宋体" w:cs="宋体"/>
          <w:color w:val="auto"/>
          <w:sz w:val="24"/>
          <w:szCs w:val="22"/>
          <w:highlight w:val="none"/>
        </w:rPr>
        <w:fldChar w:fldCharType="end"/>
      </w:r>
      <w:r>
        <w:rPr>
          <w:rFonts w:hint="eastAsia" w:ascii="宋体" w:hAnsi="宋体" w:eastAsia="宋体" w:cs="宋体"/>
          <w:color w:val="auto"/>
          <w:sz w:val="24"/>
          <w:szCs w:val="22"/>
          <w:highlight w:val="none"/>
        </w:rPr>
        <w:t>1</w:t>
      </w:r>
    </w:p>
    <w:p w14:paraId="00CA999A">
      <w:pPr>
        <w:pStyle w:val="18"/>
        <w:tabs>
          <w:tab w:val="right" w:leader="dot" w:pos="8380"/>
        </w:tabs>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fldChar w:fldCharType="begin"/>
      </w:r>
      <w:r>
        <w:rPr>
          <w:rFonts w:hint="eastAsia" w:ascii="宋体" w:hAnsi="宋体" w:eastAsia="宋体" w:cs="宋体"/>
          <w:color w:val="auto"/>
          <w:sz w:val="24"/>
          <w:szCs w:val="22"/>
          <w:highlight w:val="none"/>
        </w:rPr>
        <w:instrText xml:space="preserve"> HYPERLINK \l "_Toc40975441" </w:instrText>
      </w:r>
      <w:r>
        <w:rPr>
          <w:rFonts w:hint="eastAsia" w:ascii="宋体" w:hAnsi="宋体" w:eastAsia="宋体" w:cs="宋体"/>
          <w:color w:val="auto"/>
          <w:sz w:val="24"/>
          <w:szCs w:val="22"/>
          <w:highlight w:val="none"/>
        </w:rPr>
        <w:fldChar w:fldCharType="separate"/>
      </w:r>
      <w:r>
        <w:rPr>
          <w:rFonts w:hint="eastAsia" w:ascii="宋体" w:hAnsi="宋体" w:eastAsia="宋体" w:cs="宋体"/>
          <w:color w:val="auto"/>
          <w:sz w:val="24"/>
          <w:szCs w:val="22"/>
          <w:highlight w:val="none"/>
        </w:rPr>
        <w:t>第五章 投标人须知</w:t>
      </w:r>
      <w:r>
        <w:rPr>
          <w:rFonts w:hint="eastAsia" w:ascii="宋体" w:hAnsi="宋体" w:eastAsia="宋体" w:cs="宋体"/>
          <w:color w:val="auto"/>
          <w:sz w:val="24"/>
          <w:szCs w:val="22"/>
          <w:highlight w:val="none"/>
        </w:rPr>
        <w:tab/>
      </w:r>
      <w:r>
        <w:rPr>
          <w:rFonts w:hint="eastAsia" w:ascii="宋体" w:hAnsi="宋体" w:eastAsia="宋体" w:cs="宋体"/>
          <w:color w:val="auto"/>
          <w:sz w:val="24"/>
          <w:szCs w:val="22"/>
          <w:highlight w:val="none"/>
        </w:rPr>
        <w:t>1</w:t>
      </w:r>
      <w:r>
        <w:rPr>
          <w:rFonts w:hint="eastAsia" w:ascii="宋体" w:hAnsi="宋体" w:eastAsia="宋体" w:cs="宋体"/>
          <w:color w:val="auto"/>
          <w:sz w:val="24"/>
          <w:szCs w:val="22"/>
          <w:highlight w:val="none"/>
        </w:rPr>
        <w:fldChar w:fldCharType="end"/>
      </w:r>
      <w:r>
        <w:rPr>
          <w:rFonts w:hint="eastAsia" w:ascii="宋体" w:hAnsi="宋体" w:eastAsia="宋体" w:cs="宋体"/>
          <w:color w:val="auto"/>
          <w:sz w:val="24"/>
          <w:szCs w:val="22"/>
          <w:highlight w:val="none"/>
        </w:rPr>
        <w:t>6</w:t>
      </w:r>
    </w:p>
    <w:p w14:paraId="3B909A1F">
      <w:pPr>
        <w:pStyle w:val="18"/>
        <w:tabs>
          <w:tab w:val="right" w:leader="dot" w:pos="8380"/>
        </w:tabs>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fldChar w:fldCharType="begin"/>
      </w:r>
      <w:r>
        <w:rPr>
          <w:rFonts w:hint="eastAsia" w:ascii="宋体" w:hAnsi="宋体" w:eastAsia="宋体" w:cs="宋体"/>
          <w:color w:val="auto"/>
          <w:sz w:val="24"/>
          <w:szCs w:val="22"/>
          <w:highlight w:val="none"/>
        </w:rPr>
        <w:instrText xml:space="preserve"> HYPERLINK \l "_Toc40975448" </w:instrText>
      </w:r>
      <w:r>
        <w:rPr>
          <w:rFonts w:hint="eastAsia" w:ascii="宋体" w:hAnsi="宋体" w:eastAsia="宋体" w:cs="宋体"/>
          <w:color w:val="auto"/>
          <w:sz w:val="24"/>
          <w:szCs w:val="22"/>
          <w:highlight w:val="none"/>
        </w:rPr>
        <w:fldChar w:fldCharType="separate"/>
      </w:r>
      <w:r>
        <w:rPr>
          <w:rFonts w:hint="eastAsia" w:ascii="宋体" w:hAnsi="宋体" w:eastAsia="宋体" w:cs="宋体"/>
          <w:color w:val="auto"/>
          <w:sz w:val="24"/>
          <w:szCs w:val="22"/>
          <w:highlight w:val="none"/>
        </w:rPr>
        <w:t>第六章 周口市政府采购合同（货物类）标准文本、合同签订指引、供应商履约验收指引</w:t>
      </w:r>
      <w:r>
        <w:rPr>
          <w:rFonts w:hint="eastAsia" w:ascii="宋体" w:hAnsi="宋体" w:eastAsia="宋体" w:cs="宋体"/>
          <w:color w:val="auto"/>
          <w:sz w:val="24"/>
          <w:szCs w:val="22"/>
          <w:highlight w:val="none"/>
        </w:rPr>
        <w:tab/>
      </w:r>
      <w:r>
        <w:rPr>
          <w:rFonts w:hint="eastAsia" w:ascii="宋体" w:hAnsi="宋体" w:eastAsia="宋体" w:cs="宋体"/>
          <w:color w:val="auto"/>
          <w:sz w:val="24"/>
          <w:szCs w:val="22"/>
          <w:highlight w:val="none"/>
        </w:rPr>
        <w:t>2</w:t>
      </w:r>
      <w:r>
        <w:rPr>
          <w:rFonts w:hint="eastAsia" w:ascii="宋体" w:hAnsi="宋体" w:eastAsia="宋体" w:cs="宋体"/>
          <w:color w:val="auto"/>
          <w:sz w:val="24"/>
          <w:szCs w:val="22"/>
          <w:highlight w:val="none"/>
        </w:rPr>
        <w:fldChar w:fldCharType="end"/>
      </w:r>
      <w:r>
        <w:rPr>
          <w:rFonts w:hint="eastAsia" w:ascii="宋体" w:hAnsi="宋体" w:eastAsia="宋体" w:cs="宋体"/>
          <w:color w:val="auto"/>
          <w:sz w:val="24"/>
          <w:szCs w:val="22"/>
          <w:highlight w:val="none"/>
        </w:rPr>
        <w:t>9</w:t>
      </w:r>
    </w:p>
    <w:p w14:paraId="04D338D0">
      <w:pPr>
        <w:pStyle w:val="18"/>
        <w:tabs>
          <w:tab w:val="right" w:leader="dot" w:pos="8380"/>
        </w:tabs>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第七章 投标文件格式</w:t>
      </w:r>
      <w:r>
        <w:rPr>
          <w:rFonts w:hint="eastAsia" w:ascii="宋体" w:hAnsi="宋体" w:eastAsia="宋体" w:cs="宋体"/>
          <w:color w:val="auto"/>
          <w:sz w:val="24"/>
          <w:szCs w:val="22"/>
          <w:highlight w:val="none"/>
        </w:rPr>
        <w:tab/>
      </w:r>
      <w:r>
        <w:rPr>
          <w:rFonts w:hint="eastAsia" w:ascii="宋体" w:hAnsi="宋体" w:eastAsia="宋体" w:cs="宋体"/>
          <w:color w:val="auto"/>
          <w:sz w:val="24"/>
          <w:szCs w:val="22"/>
          <w:highlight w:val="none"/>
        </w:rPr>
        <w:t>36</w:t>
      </w:r>
    </w:p>
    <w:p w14:paraId="5EDE9D07">
      <w:pPr>
        <w:pStyle w:val="18"/>
        <w:tabs>
          <w:tab w:val="right" w:leader="dot" w:pos="8380"/>
        </w:tabs>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周口市政府采购合同融资政策告知函</w:t>
      </w:r>
      <w:r>
        <w:rPr>
          <w:rFonts w:hint="eastAsia" w:ascii="宋体" w:hAnsi="宋体" w:eastAsia="宋体" w:cs="宋体"/>
          <w:color w:val="auto"/>
          <w:sz w:val="24"/>
          <w:szCs w:val="22"/>
          <w:highlight w:val="none"/>
        </w:rPr>
        <w:tab/>
      </w:r>
      <w:r>
        <w:rPr>
          <w:rFonts w:hint="eastAsia" w:ascii="宋体" w:hAnsi="宋体" w:eastAsia="宋体" w:cs="宋体"/>
          <w:color w:val="auto"/>
          <w:sz w:val="24"/>
          <w:szCs w:val="22"/>
          <w:highlight w:val="none"/>
        </w:rPr>
        <w:t>48</w:t>
      </w:r>
    </w:p>
    <w:p w14:paraId="5FE7B289">
      <w:pPr>
        <w:pStyle w:val="18"/>
        <w:tabs>
          <w:tab w:val="right" w:leader="dot" w:pos="8380"/>
        </w:tabs>
        <w:spacing w:line="360" w:lineRule="auto"/>
        <w:rPr>
          <w:rFonts w:hint="eastAsia" w:ascii="宋体" w:hAnsi="宋体" w:eastAsia="宋体" w:cs="宋体"/>
          <w:color w:val="auto"/>
          <w:sz w:val="24"/>
          <w:szCs w:val="22"/>
          <w:highlight w:val="none"/>
        </w:rPr>
      </w:pPr>
    </w:p>
    <w:p w14:paraId="3D827CE2">
      <w:pPr>
        <w:rPr>
          <w:rFonts w:hint="eastAsia" w:ascii="宋体" w:hAnsi="宋体" w:eastAsia="宋体" w:cs="宋体"/>
          <w:color w:val="auto"/>
          <w:highlight w:val="none"/>
        </w:rPr>
      </w:pPr>
    </w:p>
    <w:p w14:paraId="04AE8689">
      <w:pPr>
        <w:rPr>
          <w:rFonts w:hint="eastAsia" w:ascii="宋体" w:hAnsi="宋体" w:eastAsia="宋体" w:cs="宋体"/>
          <w:color w:val="auto"/>
          <w:highlight w:val="none"/>
        </w:rPr>
      </w:pPr>
    </w:p>
    <w:p w14:paraId="29A33B92">
      <w:pPr>
        <w:pStyle w:val="18"/>
        <w:tabs>
          <w:tab w:val="right" w:leader="dot" w:pos="8380"/>
        </w:tabs>
        <w:spacing w:line="360" w:lineRule="auto"/>
        <w:rPr>
          <w:rFonts w:hint="eastAsia" w:ascii="宋体" w:hAnsi="宋体" w:eastAsia="宋体" w:cs="宋体"/>
          <w:color w:val="auto"/>
          <w:sz w:val="24"/>
          <w:szCs w:val="22"/>
          <w:highlight w:val="none"/>
        </w:rPr>
      </w:pPr>
    </w:p>
    <w:p w14:paraId="15ED2CA9">
      <w:pPr>
        <w:pStyle w:val="18"/>
        <w:tabs>
          <w:tab w:val="right" w:leader="dot" w:pos="8380"/>
        </w:tabs>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fldChar w:fldCharType="end"/>
      </w:r>
    </w:p>
    <w:p w14:paraId="094291A8">
      <w:pPr>
        <w:rPr>
          <w:rFonts w:hint="eastAsia" w:ascii="宋体" w:hAnsi="宋体" w:eastAsia="宋体" w:cs="宋体"/>
          <w:caps/>
          <w:color w:val="auto"/>
          <w:sz w:val="24"/>
          <w:szCs w:val="24"/>
          <w:highlight w:val="none"/>
        </w:rPr>
      </w:pPr>
    </w:p>
    <w:p w14:paraId="5F44F404">
      <w:pPr>
        <w:rPr>
          <w:rFonts w:hint="eastAsia" w:ascii="宋体" w:hAnsi="宋体" w:eastAsia="宋体" w:cs="宋体"/>
          <w:caps/>
          <w:color w:val="auto"/>
          <w:sz w:val="24"/>
          <w:szCs w:val="24"/>
          <w:highlight w:val="none"/>
        </w:rPr>
      </w:pPr>
    </w:p>
    <w:p w14:paraId="0E26086D">
      <w:pPr>
        <w:rPr>
          <w:rFonts w:hint="eastAsia" w:ascii="宋体" w:hAnsi="宋体" w:eastAsia="宋体" w:cs="宋体"/>
          <w:caps/>
          <w:color w:val="auto"/>
          <w:sz w:val="24"/>
          <w:szCs w:val="24"/>
          <w:highlight w:val="none"/>
        </w:rPr>
      </w:pPr>
    </w:p>
    <w:p w14:paraId="602A7E45">
      <w:pPr>
        <w:rPr>
          <w:rFonts w:hint="eastAsia" w:ascii="宋体" w:hAnsi="宋体" w:eastAsia="宋体" w:cs="宋体"/>
          <w:caps/>
          <w:color w:val="auto"/>
          <w:sz w:val="24"/>
          <w:szCs w:val="24"/>
          <w:highlight w:val="none"/>
        </w:rPr>
      </w:pPr>
    </w:p>
    <w:p w14:paraId="4DD2A676">
      <w:pPr>
        <w:rPr>
          <w:rFonts w:hint="eastAsia" w:ascii="宋体" w:hAnsi="宋体" w:eastAsia="宋体" w:cs="宋体"/>
          <w:caps/>
          <w:color w:val="auto"/>
          <w:sz w:val="24"/>
          <w:szCs w:val="24"/>
          <w:highlight w:val="none"/>
        </w:rPr>
      </w:pPr>
    </w:p>
    <w:p w14:paraId="4A39FECF">
      <w:pPr>
        <w:rPr>
          <w:rFonts w:hint="eastAsia" w:ascii="宋体" w:hAnsi="宋体" w:eastAsia="宋体" w:cs="宋体"/>
          <w:caps/>
          <w:color w:val="auto"/>
          <w:sz w:val="24"/>
          <w:szCs w:val="24"/>
          <w:highlight w:val="none"/>
        </w:rPr>
      </w:pPr>
    </w:p>
    <w:p w14:paraId="0D0AB18D">
      <w:pPr>
        <w:rPr>
          <w:rFonts w:hint="eastAsia" w:ascii="宋体" w:hAnsi="宋体" w:eastAsia="宋体" w:cs="宋体"/>
          <w:caps/>
          <w:color w:val="auto"/>
          <w:sz w:val="24"/>
          <w:szCs w:val="24"/>
          <w:highlight w:val="none"/>
        </w:rPr>
      </w:pPr>
    </w:p>
    <w:p w14:paraId="5127CDA6">
      <w:pPr>
        <w:rPr>
          <w:rFonts w:hint="eastAsia" w:ascii="宋体" w:hAnsi="宋体" w:eastAsia="宋体" w:cs="宋体"/>
          <w:caps/>
          <w:color w:val="auto"/>
          <w:sz w:val="24"/>
          <w:szCs w:val="24"/>
          <w:highlight w:val="none"/>
        </w:rPr>
      </w:pPr>
    </w:p>
    <w:p w14:paraId="2F891DA0">
      <w:pPr>
        <w:rPr>
          <w:rFonts w:hint="eastAsia" w:ascii="宋体" w:hAnsi="宋体" w:eastAsia="宋体" w:cs="宋体"/>
          <w:caps/>
          <w:color w:val="auto"/>
          <w:sz w:val="24"/>
          <w:szCs w:val="24"/>
          <w:highlight w:val="none"/>
        </w:rPr>
      </w:pPr>
    </w:p>
    <w:p w14:paraId="22EB0DDA">
      <w:pPr>
        <w:jc w:val="center"/>
        <w:rPr>
          <w:rFonts w:hint="eastAsia" w:ascii="宋体" w:hAnsi="宋体" w:eastAsia="宋体" w:cs="宋体"/>
          <w:caps/>
          <w:color w:val="auto"/>
          <w:sz w:val="24"/>
          <w:szCs w:val="24"/>
          <w:highlight w:val="none"/>
        </w:rPr>
      </w:pPr>
      <w:r>
        <w:rPr>
          <w:rFonts w:hint="eastAsia" w:ascii="宋体" w:hAnsi="宋体" w:eastAsia="宋体" w:cs="宋体"/>
          <w:caps/>
          <w:color w:val="auto"/>
          <w:sz w:val="24"/>
          <w:szCs w:val="24"/>
          <w:highlight w:val="none"/>
        </w:rPr>
        <w:br w:type="page"/>
      </w:r>
    </w:p>
    <w:p w14:paraId="3CE9EFBA">
      <w:pPr>
        <w:pStyle w:val="4"/>
        <w:numPr>
          <w:ilvl w:val="0"/>
          <w:numId w:val="1"/>
        </w:numPr>
        <w:spacing w:before="0" w:after="0" w:line="240" w:lineRule="auto"/>
        <w:ind w:firstLine="0"/>
        <w:rPr>
          <w:rFonts w:hint="eastAsia" w:ascii="宋体" w:hAnsi="宋体" w:eastAsia="宋体" w:cs="宋体"/>
          <w:b w:val="0"/>
          <w:bCs w:val="0"/>
          <w:color w:val="auto"/>
          <w:highlight w:val="none"/>
        </w:rPr>
      </w:pPr>
      <w:bookmarkStart w:id="5" w:name="_Toc40975436"/>
      <w:bookmarkStart w:id="6" w:name="_Toc28426_WPSOffice_Level1"/>
      <w:r>
        <w:rPr>
          <w:rFonts w:hint="eastAsia" w:ascii="宋体" w:hAnsi="宋体" w:eastAsia="宋体" w:cs="宋体"/>
          <w:b w:val="0"/>
          <w:bCs w:val="0"/>
          <w:color w:val="auto"/>
          <w:highlight w:val="none"/>
        </w:rPr>
        <w:t xml:space="preserve"> 招标公告</w:t>
      </w:r>
      <w:bookmarkEnd w:id="5"/>
      <w:bookmarkEnd w:id="6"/>
    </w:p>
    <w:p w14:paraId="69DB030D">
      <w:pPr>
        <w:spacing w:line="360" w:lineRule="auto"/>
        <w:ind w:firstLine="480" w:firstLineChars="200"/>
        <w:jc w:val="left"/>
        <w:rPr>
          <w:rFonts w:hint="eastAsia" w:ascii="宋体" w:hAnsi="宋体" w:eastAsia="宋体" w:cs="宋体"/>
          <w:color w:val="auto"/>
          <w:sz w:val="24"/>
          <w:szCs w:val="24"/>
          <w:highlight w:val="none"/>
        </w:rPr>
      </w:pPr>
      <w:bookmarkStart w:id="7" w:name="_Toc35393621"/>
      <w:bookmarkStart w:id="8" w:name="_Toc35393790"/>
      <w:bookmarkStart w:id="9" w:name="_Toc28359079"/>
      <w:bookmarkStart w:id="10" w:name="_Toc28359002"/>
      <w:bookmarkStart w:id="11" w:name="_Hlk24379207"/>
      <w:bookmarkStart w:id="12" w:name="OLE_LINK5"/>
      <w:bookmarkStart w:id="13" w:name="OLE_LINK4"/>
      <w:r>
        <w:rPr>
          <w:rFonts w:hint="eastAsia" w:ascii="宋体" w:hAnsi="宋体" w:eastAsia="宋体" w:cs="宋体"/>
          <w:color w:val="auto"/>
          <w:sz w:val="24"/>
          <w:szCs w:val="24"/>
          <w:highlight w:val="none"/>
        </w:rPr>
        <w:t>项目概况</w:t>
      </w:r>
    </w:p>
    <w:p w14:paraId="34471F67">
      <w:pPr>
        <w:adjustRightInd w:val="0"/>
        <w:snapToGrid w:val="0"/>
        <w:spacing w:line="440" w:lineRule="atLeast"/>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 xml:space="preserve"> 周口市淮阳区教育体育局淮阳区2023年改薄提升教学装备项目</w:t>
      </w:r>
      <w:r>
        <w:rPr>
          <w:rFonts w:hint="eastAsia" w:ascii="宋体" w:hAnsi="宋体" w:eastAsia="宋体" w:cs="宋体"/>
          <w:color w:val="auto"/>
          <w:sz w:val="24"/>
          <w:szCs w:val="24"/>
          <w:highlight w:val="none"/>
        </w:rPr>
        <w:t>的潜在投标人应在周口市公共资源交易中心网（http://jyzx.zhoukou.gov.cn）获取招标文件，并于</w:t>
      </w:r>
      <w:r>
        <w:rPr>
          <w:rFonts w:hint="eastAsia" w:ascii="宋体" w:hAnsi="宋体" w:eastAsia="宋体"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日10点00分</w:t>
      </w:r>
      <w:r>
        <w:rPr>
          <w:rFonts w:hint="eastAsia" w:ascii="宋体" w:hAnsi="宋体" w:eastAsia="宋体" w:cs="宋体"/>
          <w:color w:val="auto"/>
          <w:sz w:val="24"/>
          <w:szCs w:val="24"/>
          <w:highlight w:val="none"/>
        </w:rPr>
        <w:t>（北京时间）前递交投标文件。</w:t>
      </w:r>
    </w:p>
    <w:p w14:paraId="6949544B">
      <w:pPr>
        <w:adjustRightInd w:val="0"/>
        <w:snapToGrid w:val="0"/>
        <w:spacing w:line="44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一、项目基本情况</w:t>
      </w:r>
      <w:bookmarkEnd w:id="7"/>
      <w:bookmarkEnd w:id="8"/>
      <w:bookmarkEnd w:id="9"/>
      <w:bookmarkEnd w:id="10"/>
    </w:p>
    <w:p w14:paraId="6A8E4C98">
      <w:pPr>
        <w:adjustRightInd w:val="0"/>
        <w:snapToGrid w:val="0"/>
        <w:spacing w:line="44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1.项目编号：</w:t>
      </w:r>
      <w:r>
        <w:rPr>
          <w:rFonts w:hint="eastAsia" w:ascii="宋体" w:hAnsi="宋体" w:cs="宋体"/>
          <w:color w:val="auto"/>
          <w:sz w:val="24"/>
          <w:szCs w:val="24"/>
          <w:highlight w:val="none"/>
          <w:lang w:eastAsia="zh-CN"/>
        </w:rPr>
        <w:t>淮财招标采购-2026-10</w:t>
      </w:r>
      <w:r>
        <w:rPr>
          <w:rFonts w:hint="eastAsia" w:ascii="宋体" w:hAnsi="宋体" w:eastAsia="宋体" w:cs="宋体"/>
          <w:color w:val="auto"/>
          <w:sz w:val="24"/>
          <w:szCs w:val="24"/>
          <w:highlight w:val="none"/>
        </w:rPr>
        <w:t xml:space="preserve"> </w:t>
      </w:r>
    </w:p>
    <w:p w14:paraId="4E4F90F7">
      <w:pPr>
        <w:adjustRightInd w:val="0"/>
        <w:snapToGrid w:val="0"/>
        <w:spacing w:line="440" w:lineRule="atLeas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2.项目名称：</w:t>
      </w:r>
      <w:bookmarkEnd w:id="11"/>
      <w:r>
        <w:rPr>
          <w:rFonts w:hint="eastAsia" w:ascii="宋体" w:hAnsi="宋体" w:cs="宋体"/>
          <w:color w:val="auto"/>
          <w:sz w:val="24"/>
          <w:szCs w:val="24"/>
          <w:highlight w:val="none"/>
          <w:lang w:eastAsia="zh-CN"/>
        </w:rPr>
        <w:t xml:space="preserve"> 周口市淮阳区教育体育局淮阳区2023年改薄提升教学装备项目</w:t>
      </w:r>
    </w:p>
    <w:p w14:paraId="27405E7A">
      <w:pPr>
        <w:adjustRightInd w:val="0"/>
        <w:snapToGrid w:val="0"/>
        <w:spacing w:line="44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3.采购方式：公开招标</w:t>
      </w:r>
    </w:p>
    <w:p w14:paraId="163F8124">
      <w:pPr>
        <w:adjustRightInd w:val="0"/>
        <w:snapToGrid w:val="0"/>
        <w:spacing w:line="440" w:lineRule="atLeas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4.预算金额：</w:t>
      </w:r>
      <w:r>
        <w:rPr>
          <w:rFonts w:hint="eastAsia" w:ascii="宋体" w:hAnsi="宋体" w:cs="宋体"/>
          <w:color w:val="auto"/>
          <w:sz w:val="24"/>
          <w:szCs w:val="24"/>
          <w:highlight w:val="none"/>
          <w:lang w:val="en-US" w:eastAsia="zh-CN"/>
        </w:rPr>
        <w:t>3782255</w:t>
      </w:r>
      <w:r>
        <w:rPr>
          <w:rFonts w:hint="eastAsia" w:ascii="宋体" w:hAnsi="宋体" w:eastAsia="宋体" w:cs="宋体"/>
          <w:color w:val="auto"/>
          <w:sz w:val="24"/>
          <w:szCs w:val="24"/>
          <w:highlight w:val="none"/>
          <w:lang w:val="en-US" w:eastAsia="zh-CN"/>
        </w:rPr>
        <w:t>元</w:t>
      </w:r>
    </w:p>
    <w:p w14:paraId="265E5622">
      <w:pPr>
        <w:adjustRightInd w:val="0"/>
        <w:snapToGrid w:val="0"/>
        <w:spacing w:line="44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最高限价：</w:t>
      </w:r>
      <w:r>
        <w:rPr>
          <w:rFonts w:hint="eastAsia" w:ascii="宋体" w:hAnsi="宋体" w:cs="宋体"/>
          <w:color w:val="auto"/>
          <w:sz w:val="24"/>
          <w:szCs w:val="24"/>
          <w:highlight w:val="none"/>
          <w:lang w:val="en-US" w:eastAsia="zh-CN"/>
        </w:rPr>
        <w:t>3782255</w:t>
      </w:r>
      <w:r>
        <w:rPr>
          <w:rFonts w:hint="eastAsia" w:ascii="宋体" w:hAnsi="宋体" w:eastAsia="宋体" w:cs="宋体"/>
          <w:color w:val="auto"/>
          <w:sz w:val="24"/>
          <w:szCs w:val="24"/>
          <w:highlight w:val="none"/>
          <w:lang w:val="en-US" w:eastAsia="zh-CN"/>
        </w:rPr>
        <w:t>元</w:t>
      </w:r>
    </w:p>
    <w:p w14:paraId="0DE7A33A">
      <w:pPr>
        <w:adjustRightInd w:val="0"/>
        <w:snapToGrid w:val="0"/>
        <w:spacing w:line="44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包别划分：</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个包</w:t>
      </w:r>
    </w:p>
    <w:tbl>
      <w:tblPr>
        <w:tblStyle w:val="24"/>
        <w:tblW w:w="9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6420"/>
        <w:gridCol w:w="2089"/>
      </w:tblGrid>
      <w:tr w14:paraId="1220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49" w:type="dxa"/>
            <w:noWrap w:val="0"/>
            <w:vAlign w:val="center"/>
          </w:tcPr>
          <w:p w14:paraId="1FB4C74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包号</w:t>
            </w:r>
          </w:p>
        </w:tc>
        <w:tc>
          <w:tcPr>
            <w:tcW w:w="6420" w:type="dxa"/>
            <w:noWrap w:val="0"/>
            <w:vAlign w:val="center"/>
          </w:tcPr>
          <w:p w14:paraId="178BAC0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包名称</w:t>
            </w:r>
          </w:p>
        </w:tc>
        <w:tc>
          <w:tcPr>
            <w:tcW w:w="2089" w:type="dxa"/>
            <w:noWrap w:val="0"/>
            <w:vAlign w:val="top"/>
          </w:tcPr>
          <w:p w14:paraId="34087929">
            <w:pPr>
              <w:adjustRightInd w:val="0"/>
              <w:snapToGrid w:val="0"/>
              <w:spacing w:line="440" w:lineRule="atLeas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包最高限价</w:t>
            </w:r>
          </w:p>
          <w:p w14:paraId="09F20568">
            <w:pPr>
              <w:adjustRightInd w:val="0"/>
              <w:snapToGrid w:val="0"/>
              <w:spacing w:line="440" w:lineRule="atLeas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（元）</w:t>
            </w:r>
          </w:p>
        </w:tc>
      </w:tr>
      <w:tr w14:paraId="20DE3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49" w:type="dxa"/>
            <w:noWrap w:val="0"/>
            <w:vAlign w:val="center"/>
          </w:tcPr>
          <w:p w14:paraId="4279CCA8">
            <w:pPr>
              <w:adjustRightInd w:val="0"/>
              <w:snapToGrid w:val="0"/>
              <w:spacing w:line="44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20" w:type="dxa"/>
            <w:noWrap w:val="0"/>
            <w:vAlign w:val="center"/>
          </w:tcPr>
          <w:p w14:paraId="54BA1B81">
            <w:pPr>
              <w:adjustRightInd w:val="0"/>
              <w:snapToGrid w:val="0"/>
              <w:spacing w:line="440" w:lineRule="atLeast"/>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 xml:space="preserve"> 周口市淮阳区教育体育局淮阳区2023年改薄提升教学装备项目</w:t>
            </w:r>
            <w:r>
              <w:rPr>
                <w:rFonts w:hint="eastAsia" w:ascii="宋体" w:hAnsi="宋体" w:eastAsia="宋体" w:cs="宋体"/>
                <w:color w:val="auto"/>
                <w:sz w:val="24"/>
                <w:szCs w:val="24"/>
                <w:highlight w:val="none"/>
              </w:rPr>
              <w:t>1包</w:t>
            </w:r>
          </w:p>
        </w:tc>
        <w:tc>
          <w:tcPr>
            <w:tcW w:w="2089" w:type="dxa"/>
            <w:noWrap w:val="0"/>
            <w:vAlign w:val="center"/>
          </w:tcPr>
          <w:p w14:paraId="059FCCAD">
            <w:pPr>
              <w:adjustRightInd w:val="0"/>
              <w:snapToGrid w:val="0"/>
              <w:spacing w:line="440" w:lineRule="atLeast"/>
              <w:jc w:val="center"/>
              <w:rPr>
                <w:rFonts w:hint="eastAsia" w:ascii="宋体" w:hAnsi="宋体" w:eastAsia="宋体" w:cs="宋体"/>
                <w:color w:val="auto"/>
                <w:sz w:val="24"/>
                <w:szCs w:val="24"/>
                <w:highlight w:val="none"/>
                <w:lang w:eastAsia="zh-CN"/>
              </w:rPr>
            </w:pPr>
            <w:r>
              <w:rPr>
                <w:rFonts w:hint="eastAsia" w:ascii="宋体" w:hAnsi="宋体"/>
                <w:color w:val="auto"/>
                <w:sz w:val="24"/>
                <w:szCs w:val="18"/>
                <w:lang w:val="en-US" w:eastAsia="zh-CN"/>
              </w:rPr>
              <w:t>3306185</w:t>
            </w:r>
            <w:r>
              <w:rPr>
                <w:rFonts w:hint="eastAsia" w:ascii="宋体" w:hAnsi="宋体" w:eastAsia="宋体" w:cs="宋体"/>
                <w:color w:val="auto"/>
                <w:sz w:val="24"/>
                <w:szCs w:val="24"/>
                <w:highlight w:val="none"/>
                <w:lang w:val="en-US" w:eastAsia="zh-CN"/>
              </w:rPr>
              <w:t>.00</w:t>
            </w:r>
          </w:p>
        </w:tc>
      </w:tr>
      <w:tr w14:paraId="13B5C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49" w:type="dxa"/>
            <w:noWrap w:val="0"/>
            <w:vAlign w:val="center"/>
          </w:tcPr>
          <w:p w14:paraId="299D88AF">
            <w:pPr>
              <w:adjustRightInd w:val="0"/>
              <w:snapToGrid w:val="0"/>
              <w:spacing w:line="440" w:lineRule="atLeas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420" w:type="dxa"/>
            <w:noWrap w:val="0"/>
            <w:vAlign w:val="center"/>
          </w:tcPr>
          <w:p w14:paraId="5C0A52FB">
            <w:pPr>
              <w:adjustRightInd w:val="0"/>
              <w:snapToGrid w:val="0"/>
              <w:spacing w:line="440" w:lineRule="atLeast"/>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 xml:space="preserve"> 周口市淮阳区教育体育局淮阳区2023年改薄提升教学装备项目</w:t>
            </w:r>
            <w:r>
              <w:rPr>
                <w:rFonts w:hint="eastAsia" w:ascii="宋体" w:hAnsi="宋体" w:eastAsia="宋体" w:cs="宋体"/>
                <w:color w:val="auto"/>
                <w:sz w:val="24"/>
                <w:szCs w:val="24"/>
                <w:highlight w:val="none"/>
              </w:rPr>
              <w:t>2包</w:t>
            </w:r>
          </w:p>
        </w:tc>
        <w:tc>
          <w:tcPr>
            <w:tcW w:w="2089" w:type="dxa"/>
            <w:noWrap w:val="0"/>
            <w:vAlign w:val="center"/>
          </w:tcPr>
          <w:p w14:paraId="2791DBF6">
            <w:pPr>
              <w:adjustRightInd w:val="0"/>
              <w:snapToGrid w:val="0"/>
              <w:spacing w:line="440" w:lineRule="atLeast"/>
              <w:jc w:val="center"/>
              <w:rPr>
                <w:rFonts w:hint="eastAsia" w:ascii="宋体" w:hAnsi="宋体" w:eastAsia="宋体" w:cs="宋体"/>
                <w:color w:val="auto"/>
                <w:sz w:val="24"/>
                <w:szCs w:val="24"/>
                <w:highlight w:val="none"/>
                <w:lang w:eastAsia="zh-CN"/>
              </w:rPr>
            </w:pPr>
            <w:r>
              <w:rPr>
                <w:rFonts w:hint="eastAsia" w:ascii="宋体" w:hAnsi="宋体"/>
                <w:color w:val="auto"/>
                <w:sz w:val="24"/>
                <w:szCs w:val="18"/>
                <w:lang w:val="en-US" w:eastAsia="zh-CN"/>
              </w:rPr>
              <w:t>476070</w:t>
            </w:r>
            <w:r>
              <w:rPr>
                <w:rFonts w:hint="eastAsia" w:ascii="宋体" w:hAnsi="宋体" w:eastAsia="宋体" w:cs="宋体"/>
                <w:color w:val="auto"/>
                <w:sz w:val="24"/>
                <w:szCs w:val="24"/>
                <w:highlight w:val="none"/>
                <w:lang w:val="en-US" w:eastAsia="zh-CN"/>
              </w:rPr>
              <w:t>.00</w:t>
            </w:r>
          </w:p>
        </w:tc>
      </w:tr>
    </w:tbl>
    <w:p w14:paraId="36E7CD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5.采购需求：</w:t>
      </w:r>
      <w:r>
        <w:rPr>
          <w:rFonts w:hint="eastAsia" w:ascii="宋体" w:hAnsi="宋体" w:cs="宋体"/>
          <w:color w:val="auto"/>
          <w:sz w:val="24"/>
          <w:szCs w:val="24"/>
          <w:highlight w:val="none"/>
          <w:lang w:eastAsia="zh-CN"/>
        </w:rPr>
        <w:t xml:space="preserve"> 周口市淮阳区教育体育局淮阳区2023年改薄提升教学装备项目</w:t>
      </w:r>
      <w:r>
        <w:rPr>
          <w:rFonts w:hint="eastAsia" w:ascii="宋体" w:hAnsi="宋体" w:eastAsia="宋体" w:cs="宋体"/>
          <w:color w:val="auto"/>
          <w:sz w:val="24"/>
          <w:szCs w:val="24"/>
          <w:highlight w:val="none"/>
        </w:rPr>
        <w:t>（包括但不限于标的的名称、数量、简要技术需求或服务要求等）</w:t>
      </w:r>
      <w:r>
        <w:rPr>
          <w:rFonts w:hint="eastAsia" w:ascii="宋体" w:hAnsi="宋体" w:eastAsia="宋体" w:cs="宋体"/>
          <w:color w:val="auto"/>
          <w:sz w:val="24"/>
          <w:szCs w:val="24"/>
          <w:highlight w:val="none"/>
          <w:lang w:eastAsia="zh-CN"/>
        </w:rPr>
        <w:t>。</w:t>
      </w:r>
      <w:r>
        <w:rPr>
          <w:rFonts w:hint="eastAsia" w:ascii="宋体" w:hAnsi="宋体" w:eastAsia="宋体" w:cs="宋体"/>
          <w:i w:val="0"/>
          <w:iCs w:val="0"/>
          <w:color w:val="auto"/>
          <w:sz w:val="24"/>
          <w:szCs w:val="24"/>
          <w:lang w:val="en-US" w:eastAsia="zh-CN"/>
        </w:rPr>
        <w:t>“</w:t>
      </w:r>
      <w:r>
        <w:rPr>
          <w:rFonts w:hint="eastAsia" w:ascii="宋体" w:hAnsi="宋体" w:eastAsia="宋体" w:cs="宋体"/>
          <w:color w:val="auto"/>
          <w:sz w:val="24"/>
          <w:szCs w:val="24"/>
          <w:highlight w:val="none"/>
          <w:lang w:val="en-US" w:eastAsia="zh-CN"/>
        </w:rPr>
        <w:t>供应商对其提供的产品请出具《关于符合本国产品标准的声明函》或财政部会同有关部门规定的有关证明文件”。</w:t>
      </w:r>
    </w:p>
    <w:p w14:paraId="152C8E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包供货期限：合同签订后30日历天内。</w:t>
      </w:r>
    </w:p>
    <w:p w14:paraId="4A0E27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质量要求：达到国家规定标准或行业规定标准。</w:t>
      </w:r>
    </w:p>
    <w:p w14:paraId="4AB880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合同履行期限：合同签订后30日历天内。</w:t>
      </w:r>
    </w:p>
    <w:p w14:paraId="1EB4C9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7.是否接受进口产品：否 </w:t>
      </w:r>
    </w:p>
    <w:p w14:paraId="7E1D1E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8.本项目不接受联合体投标。</w:t>
      </w:r>
    </w:p>
    <w:p w14:paraId="046053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14" w:name="_Toc28359003"/>
      <w:bookmarkStart w:id="15" w:name="_Toc35393622"/>
      <w:bookmarkStart w:id="16" w:name="_Toc28359080"/>
      <w:bookmarkStart w:id="17" w:name="_Toc35393791"/>
      <w:r>
        <w:rPr>
          <w:rFonts w:hint="eastAsia" w:ascii="宋体" w:hAnsi="宋体" w:eastAsia="宋体" w:cs="宋体"/>
          <w:color w:val="auto"/>
          <w:sz w:val="24"/>
          <w:szCs w:val="24"/>
          <w:highlight w:val="none"/>
        </w:rPr>
        <w:t>9.本项目是否为面向中小企业采购：</w:t>
      </w:r>
      <w:r>
        <w:rPr>
          <w:rFonts w:hint="eastAsia" w:ascii="宋体" w:hAnsi="宋体" w:eastAsia="宋体" w:cs="宋体"/>
          <w:color w:val="auto"/>
          <w:sz w:val="24"/>
          <w:szCs w:val="24"/>
          <w:highlight w:val="none"/>
          <w:lang w:val="en-US" w:eastAsia="zh-CN"/>
        </w:rPr>
        <w:t>否</w:t>
      </w:r>
      <w:r>
        <w:rPr>
          <w:rFonts w:hint="eastAsia" w:ascii="宋体" w:hAnsi="宋体" w:eastAsia="宋体" w:cs="宋体"/>
          <w:color w:val="auto"/>
          <w:sz w:val="24"/>
          <w:szCs w:val="24"/>
          <w:highlight w:val="none"/>
        </w:rPr>
        <w:t>。</w:t>
      </w:r>
    </w:p>
    <w:p w14:paraId="6CCDA4D8">
      <w:pPr>
        <w:adjustRightInd w:val="0"/>
        <w:snapToGrid w:val="0"/>
        <w:spacing w:line="44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二、申请人的资格要求：</w:t>
      </w:r>
      <w:bookmarkEnd w:id="14"/>
      <w:bookmarkEnd w:id="15"/>
      <w:bookmarkEnd w:id="16"/>
      <w:bookmarkEnd w:id="17"/>
    </w:p>
    <w:p w14:paraId="6438D870">
      <w:pPr>
        <w:adjustRightInd w:val="0"/>
        <w:snapToGrid w:val="0"/>
        <w:spacing w:line="44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包：</w:t>
      </w:r>
    </w:p>
    <w:p w14:paraId="18475703">
      <w:pPr>
        <w:adjustRightInd w:val="0"/>
        <w:snapToGrid w:val="0"/>
        <w:spacing w:line="360" w:lineRule="auto"/>
        <w:ind w:firstLine="480" w:firstLineChars="200"/>
        <w:jc w:val="left"/>
        <w:rPr>
          <w:rFonts w:hint="eastAsia" w:ascii="宋体" w:hAnsi="宋体" w:eastAsia="宋体" w:cs="宋体"/>
          <w:color w:val="auto"/>
          <w:sz w:val="24"/>
          <w:szCs w:val="24"/>
          <w:highlight w:val="none"/>
        </w:rPr>
      </w:pPr>
      <w:bookmarkStart w:id="18" w:name="_Toc28359081"/>
      <w:bookmarkStart w:id="19" w:name="_Toc28359004"/>
      <w:r>
        <w:rPr>
          <w:rFonts w:hint="eastAsia" w:ascii="宋体" w:hAnsi="宋体" w:eastAsia="宋体" w:cs="宋体"/>
          <w:color w:val="auto"/>
          <w:sz w:val="24"/>
          <w:szCs w:val="24"/>
          <w:highlight w:val="none"/>
        </w:rPr>
        <w:t>满足《中华人民共和国政府采购法》第二十二条规定；</w:t>
      </w:r>
    </w:p>
    <w:p w14:paraId="154457EC">
      <w:pPr>
        <w:pStyle w:val="2"/>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rPr>
        <w:t>（1）具有独立承担民事责任的能力</w:t>
      </w:r>
      <w:r>
        <w:rPr>
          <w:rFonts w:hint="eastAsia" w:ascii="宋体" w:hAnsi="宋体" w:eastAsia="宋体" w:cs="宋体"/>
          <w:color w:val="auto"/>
          <w:sz w:val="24"/>
          <w:szCs w:val="24"/>
          <w:highlight w:val="none"/>
        </w:rPr>
        <w:t>；</w:t>
      </w:r>
      <w:r>
        <w:rPr>
          <w:rFonts w:hint="eastAsia" w:hAnsi="宋体" w:cs="宋体"/>
          <w:color w:val="auto"/>
          <w:sz w:val="24"/>
          <w:szCs w:val="24"/>
        </w:rPr>
        <w:t>（企业营业执照正副本等证明文件）；</w:t>
      </w:r>
    </w:p>
    <w:p w14:paraId="19B7A44A">
      <w:pPr>
        <w:pStyle w:val="2"/>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7DD4AEBC">
      <w:pPr>
        <w:pStyle w:val="2"/>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6AEF4507">
      <w:pPr>
        <w:pStyle w:val="2"/>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（4）有依法缴纳税收和社会保障资金的良好记录（缴纳的税收凭据、社会保险凭据，依法免税或不需要缴纳社会保障资金的供应商应提供相应的证明文件）；</w:t>
      </w:r>
    </w:p>
    <w:p w14:paraId="56D6A568">
      <w:pPr>
        <w:pStyle w:val="2"/>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（5）参加政府采购活动前三年内，在经营活动中没有重大违法记录（提供没有重大违法记录的书面声明函，格式自拟）；</w:t>
      </w:r>
    </w:p>
    <w:p w14:paraId="51000D3A">
      <w:pPr>
        <w:pStyle w:val="2"/>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（6）法律、行政法规规定的其他条件。</w:t>
      </w:r>
    </w:p>
    <w:p w14:paraId="7C2EEA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20" w:name="_Toc35393623"/>
      <w:bookmarkStart w:id="21" w:name="_Toc35393792"/>
      <w:r>
        <w:rPr>
          <w:rFonts w:hint="eastAsia" w:ascii="宋体" w:hAnsi="宋体" w:eastAsia="宋体" w:cs="宋体"/>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8AB96E2">
      <w:pPr>
        <w:spacing w:line="360" w:lineRule="auto"/>
        <w:ind w:firstLine="480" w:firstLineChars="20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3.本项目的特定资格要求：</w:t>
      </w:r>
      <w:r>
        <w:rPr>
          <w:rFonts w:hint="eastAsia" w:ascii="宋体" w:hAnsi="宋体" w:cs="宋体"/>
          <w:b w:val="0"/>
          <w:bCs w:val="0"/>
          <w:color w:val="auto"/>
          <w:sz w:val="24"/>
          <w:szCs w:val="24"/>
        </w:rPr>
        <w:t>根据《关于在政府采购活动中查询及使用信用记录有关问题的通知》（财库[2016]125号）和豫财购【2016】15号的规定，对列入失信被执行人、重大税收违法案件当事人名单、政府采购严重违法失信行为记录名单，拒绝其参与本次政府采购活动。供应商须通过“信用中国”网站（www.creditchina.gov.cn)、“中国执行信息公开网”（zxgk.court.gov.cn）对“列入失信被执行人、重大税收违法失信主体、政府采购严重违法失信行为记录名单”</w:t>
      </w:r>
      <w:r>
        <w:rPr>
          <w:rFonts w:hint="eastAsia" w:ascii="宋体" w:hAnsi="宋体" w:cs="宋体"/>
          <w:b w:val="0"/>
          <w:bCs w:val="0"/>
          <w:color w:val="auto"/>
          <w:sz w:val="24"/>
          <w:szCs w:val="24"/>
          <w:highlight w:val="none"/>
        </w:rPr>
        <w:t>企业和法定代表人、授权委托人的查询，须未被国家企业信用信息公示系统(www.gsxt.gov.cn)列入严重违法失信名单等</w:t>
      </w:r>
      <w:r>
        <w:rPr>
          <w:rFonts w:hint="eastAsia" w:ascii="宋体" w:hAnsi="宋体" w:cs="宋体"/>
          <w:b w:val="0"/>
          <w:bCs w:val="0"/>
          <w:color w:val="auto"/>
          <w:sz w:val="24"/>
          <w:szCs w:val="24"/>
        </w:rPr>
        <w:t>，通过“中国政府采购网”（www.ccgp.gov.cn）对“政府采购严重违法失信行为信息记录”企业信用记录查询（在投标文件中附加盖公章的网页查询扫描件，查询日期为公告发布之日起至投标截止之日止）。</w:t>
      </w:r>
    </w:p>
    <w:bookmarkEnd w:id="18"/>
    <w:bookmarkEnd w:id="19"/>
    <w:bookmarkEnd w:id="20"/>
    <w:bookmarkEnd w:id="21"/>
    <w:p w14:paraId="1C80CADA">
      <w:pPr>
        <w:pStyle w:val="4"/>
        <w:spacing w:line="240" w:lineRule="auto"/>
        <w:jc w:val="left"/>
        <w:rPr>
          <w:rFonts w:hint="eastAsia" w:ascii="宋体" w:hAnsi="宋体" w:eastAsia="宋体" w:cs="宋体"/>
          <w:b w:val="0"/>
          <w:color w:val="auto"/>
          <w:sz w:val="24"/>
          <w:szCs w:val="24"/>
        </w:rPr>
      </w:pPr>
      <w:bookmarkStart w:id="22" w:name="_Toc35393631"/>
      <w:bookmarkStart w:id="23" w:name="_Toc35393800"/>
      <w:bookmarkStart w:id="24" w:name="_Toc28359007"/>
      <w:bookmarkStart w:id="25" w:name="_Toc35393625"/>
      <w:bookmarkStart w:id="26" w:name="_Toc35393794"/>
      <w:bookmarkStart w:id="27" w:name="_Toc28359084"/>
      <w:r>
        <w:rPr>
          <w:rFonts w:hint="eastAsia" w:ascii="宋体" w:hAnsi="宋体" w:eastAsia="宋体" w:cs="宋体"/>
          <w:b w:val="0"/>
          <w:color w:val="auto"/>
          <w:sz w:val="24"/>
          <w:szCs w:val="24"/>
        </w:rPr>
        <w:t>三、获取采购文件</w:t>
      </w:r>
      <w:bookmarkEnd w:id="22"/>
      <w:bookmarkEnd w:id="23"/>
    </w:p>
    <w:p w14:paraId="6A29849B">
      <w:pPr>
        <w:spacing w:line="360" w:lineRule="auto"/>
        <w:ind w:firstLine="540"/>
        <w:rPr>
          <w:rFonts w:hint="eastAsia" w:ascii="宋体" w:hAnsi="宋体" w:eastAsia="宋体" w:cs="宋体"/>
          <w:color w:val="auto"/>
          <w:sz w:val="24"/>
          <w:szCs w:val="24"/>
        </w:rPr>
      </w:pPr>
      <w:r>
        <w:rPr>
          <w:rFonts w:hint="eastAsia" w:ascii="宋体" w:hAnsi="宋体" w:eastAsia="宋体" w:cs="宋体"/>
          <w:color w:val="auto"/>
          <w:sz w:val="24"/>
          <w:szCs w:val="24"/>
        </w:rPr>
        <w:t>时间：</w:t>
      </w:r>
      <w:r>
        <w:rPr>
          <w:rFonts w:hint="eastAsia" w:ascii="宋体" w:hAnsi="宋体" w:eastAsia="宋体" w:cs="宋体"/>
          <w:color w:val="auto"/>
          <w:sz w:val="24"/>
          <w:szCs w:val="24"/>
          <w:u w:val="single"/>
          <w:lang w:val="en-US" w:eastAsia="zh-CN"/>
        </w:rPr>
        <w:t>2026</w:t>
      </w:r>
      <w:r>
        <w:rPr>
          <w:rFonts w:hint="eastAsia" w:ascii="宋体" w:hAnsi="宋体" w:eastAsia="宋体" w:cs="宋体"/>
          <w:color w:val="auto"/>
          <w:sz w:val="24"/>
          <w:szCs w:val="24"/>
          <w:u w:val="single"/>
        </w:rPr>
        <w:t>年</w:t>
      </w:r>
      <w:r>
        <w:rPr>
          <w:rFonts w:hint="eastAsia" w:ascii="宋体" w:hAnsi="宋体" w:cs="宋体"/>
          <w:color w:val="auto"/>
          <w:sz w:val="24"/>
          <w:szCs w:val="24"/>
          <w:u w:val="single"/>
          <w:lang w:val="en-US" w:eastAsia="zh-CN"/>
        </w:rPr>
        <w:t>4</w:t>
      </w:r>
      <w:r>
        <w:rPr>
          <w:rFonts w:hint="eastAsia" w:ascii="宋体" w:hAnsi="宋体" w:eastAsia="宋体" w:cs="宋体"/>
          <w:color w:val="auto"/>
          <w:sz w:val="24"/>
          <w:szCs w:val="24"/>
          <w:u w:val="single"/>
        </w:rPr>
        <w:t>月</w:t>
      </w:r>
      <w:r>
        <w:rPr>
          <w:rFonts w:hint="eastAsia" w:ascii="宋体" w:hAnsi="宋体" w:cs="宋体"/>
          <w:color w:val="auto"/>
          <w:sz w:val="24"/>
          <w:szCs w:val="24"/>
          <w:u w:val="single"/>
          <w:lang w:val="en-US" w:eastAsia="zh-CN"/>
        </w:rPr>
        <w:t>24</w:t>
      </w:r>
      <w:r>
        <w:rPr>
          <w:rFonts w:hint="eastAsia" w:ascii="宋体" w:hAnsi="宋体" w:eastAsia="宋体" w:cs="宋体"/>
          <w:color w:val="auto"/>
          <w:sz w:val="24"/>
          <w:szCs w:val="24"/>
          <w:u w:val="single"/>
        </w:rPr>
        <w:t>日</w:t>
      </w:r>
      <w:r>
        <w:rPr>
          <w:rFonts w:hint="eastAsia" w:ascii="宋体" w:hAnsi="宋体" w:eastAsia="宋体" w:cs="宋体"/>
          <w:color w:val="auto"/>
          <w:sz w:val="24"/>
          <w:szCs w:val="24"/>
        </w:rPr>
        <w:t>至</w:t>
      </w:r>
      <w:r>
        <w:rPr>
          <w:rFonts w:hint="eastAsia" w:ascii="宋体" w:hAnsi="宋体" w:eastAsia="宋体" w:cs="宋体"/>
          <w:color w:val="auto"/>
          <w:sz w:val="24"/>
          <w:szCs w:val="24"/>
          <w:u w:val="single"/>
          <w:lang w:val="en-US" w:eastAsia="zh-CN"/>
        </w:rPr>
        <w:t>2026</w:t>
      </w:r>
      <w:r>
        <w:rPr>
          <w:rFonts w:hint="eastAsia" w:ascii="宋体" w:hAnsi="宋体" w:eastAsia="宋体" w:cs="宋体"/>
          <w:color w:val="auto"/>
          <w:sz w:val="24"/>
          <w:szCs w:val="24"/>
          <w:u w:val="single"/>
        </w:rPr>
        <w:t>年</w:t>
      </w:r>
      <w:r>
        <w:rPr>
          <w:rFonts w:hint="eastAsia" w:ascii="宋体" w:hAnsi="宋体" w:cs="宋体"/>
          <w:color w:val="auto"/>
          <w:sz w:val="24"/>
          <w:szCs w:val="24"/>
          <w:u w:val="single"/>
          <w:lang w:val="en-US" w:eastAsia="zh-CN"/>
        </w:rPr>
        <w:t>5</w:t>
      </w:r>
      <w:r>
        <w:rPr>
          <w:rFonts w:hint="eastAsia" w:ascii="宋体" w:hAnsi="宋体" w:eastAsia="宋体" w:cs="宋体"/>
          <w:color w:val="auto"/>
          <w:sz w:val="24"/>
          <w:szCs w:val="24"/>
          <w:u w:val="single"/>
        </w:rPr>
        <w:t>月</w:t>
      </w:r>
      <w:r>
        <w:rPr>
          <w:rFonts w:hint="eastAsia" w:ascii="宋体" w:hAnsi="宋体" w:cs="宋体"/>
          <w:color w:val="auto"/>
          <w:sz w:val="24"/>
          <w:szCs w:val="24"/>
          <w:u w:val="single"/>
          <w:lang w:val="en-US" w:eastAsia="zh-CN"/>
        </w:rPr>
        <w:t>6</w:t>
      </w:r>
      <w:r>
        <w:rPr>
          <w:rFonts w:hint="eastAsia" w:ascii="宋体" w:hAnsi="宋体" w:eastAsia="宋体" w:cs="宋体"/>
          <w:color w:val="auto"/>
          <w:sz w:val="24"/>
          <w:szCs w:val="24"/>
          <w:u w:val="single"/>
        </w:rPr>
        <w:t>日</w:t>
      </w:r>
      <w:r>
        <w:rPr>
          <w:rFonts w:hint="eastAsia" w:ascii="宋体" w:hAnsi="宋体" w:eastAsia="宋体" w:cs="宋体"/>
          <w:color w:val="auto"/>
          <w:sz w:val="24"/>
          <w:szCs w:val="24"/>
        </w:rPr>
        <w:t>（北京时间，法定节假日除外 ）</w:t>
      </w:r>
    </w:p>
    <w:p w14:paraId="27DFF9A8">
      <w:pPr>
        <w:autoSpaceDE/>
        <w:autoSpaceDN/>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地点：周口市公共资源交易中心网（http://jyzx.zhoukou.gov.cn）</w:t>
      </w:r>
    </w:p>
    <w:p w14:paraId="3BB7620C">
      <w:pPr>
        <w:pStyle w:val="2"/>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方式：供应商</w:t>
      </w:r>
      <w:r>
        <w:rPr>
          <w:rFonts w:hint="eastAsia" w:ascii="宋体" w:hAnsi="宋体" w:eastAsia="宋体" w:cs="宋体"/>
          <w:color w:val="auto"/>
          <w:sz w:val="24"/>
          <w:szCs w:val="24"/>
          <w:highlight w:val="none"/>
          <w:lang w:val="en-US"/>
        </w:rPr>
        <w:t>请在网站自主注册后</w:t>
      </w:r>
      <w:r>
        <w:rPr>
          <w:rFonts w:hint="eastAsia" w:ascii="宋体" w:hAnsi="宋体" w:eastAsia="宋体" w:cs="宋体"/>
          <w:color w:val="auto"/>
          <w:sz w:val="24"/>
          <w:szCs w:val="24"/>
          <w:highlight w:val="none"/>
        </w:rPr>
        <w:t>下载采购文件（zkzf格式）及资料，需</w:t>
      </w:r>
      <w:r>
        <w:rPr>
          <w:rFonts w:hint="eastAsia" w:ascii="宋体" w:hAnsi="宋体" w:eastAsia="宋体" w:cs="宋体"/>
          <w:color w:val="auto"/>
          <w:sz w:val="24"/>
          <w:szCs w:val="24"/>
          <w:highlight w:val="none"/>
          <w:lang w:val="en-US"/>
        </w:rPr>
        <w:t>办理</w:t>
      </w:r>
      <w:r>
        <w:rPr>
          <w:rFonts w:hint="eastAsia" w:ascii="宋体" w:hAnsi="宋体" w:eastAsia="宋体" w:cs="宋体"/>
          <w:color w:val="auto"/>
          <w:sz w:val="24"/>
          <w:szCs w:val="24"/>
          <w:highlight w:val="none"/>
        </w:rPr>
        <w:t>CA数字证书</w:t>
      </w:r>
      <w:r>
        <w:rPr>
          <w:rFonts w:hint="eastAsia" w:ascii="宋体" w:hAnsi="宋体" w:eastAsia="宋体" w:cs="宋体"/>
          <w:color w:val="auto"/>
          <w:sz w:val="24"/>
          <w:szCs w:val="24"/>
          <w:highlight w:val="none"/>
          <w:lang w:val="en-US"/>
        </w:rPr>
        <w:t>后方可提交响应文件</w:t>
      </w:r>
      <w:r>
        <w:rPr>
          <w:rFonts w:hint="eastAsia" w:ascii="宋体" w:hAnsi="宋体" w:eastAsia="宋体" w:cs="宋体"/>
          <w:color w:val="auto"/>
          <w:sz w:val="24"/>
          <w:szCs w:val="24"/>
          <w:highlight w:val="none"/>
        </w:rPr>
        <w:t>，具体办理事宜请查阅周口市公共资源交易中心网站。</w:t>
      </w:r>
    </w:p>
    <w:p w14:paraId="554276CB">
      <w:pPr>
        <w:pStyle w:val="2"/>
        <w:adjustRightInd w:val="0"/>
        <w:snapToGrid w:val="0"/>
        <w:spacing w:line="360" w:lineRule="auto"/>
        <w:ind w:firstLine="480" w:firstLineChars="20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售价：</w:t>
      </w:r>
      <w:r>
        <w:rPr>
          <w:rFonts w:hint="eastAsia" w:ascii="宋体" w:hAnsi="宋体" w:eastAsia="宋体" w:cs="宋体"/>
          <w:color w:val="auto"/>
          <w:sz w:val="24"/>
          <w:szCs w:val="24"/>
          <w:highlight w:val="none"/>
          <w:lang w:val="en-US"/>
        </w:rPr>
        <w:t>0</w:t>
      </w:r>
    </w:p>
    <w:p w14:paraId="3B5ECC13">
      <w:pPr>
        <w:pStyle w:val="2"/>
        <w:adjustRightInd w:val="0"/>
        <w:snapToGrid w:val="0"/>
        <w:spacing w:line="360" w:lineRule="auto"/>
        <w:ind w:firstLine="480" w:firstLineChars="200"/>
        <w:rPr>
          <w:rFonts w:hint="eastAsia" w:ascii="宋体" w:hAnsi="宋体" w:eastAsia="宋体" w:cs="宋体"/>
          <w:color w:val="auto"/>
          <w:sz w:val="24"/>
          <w:szCs w:val="24"/>
          <w:highlight w:val="none"/>
        </w:rPr>
      </w:pPr>
      <w:bookmarkStart w:id="28" w:name="_Toc35393801"/>
      <w:bookmarkStart w:id="29" w:name="_Toc35393632"/>
      <w:bookmarkStart w:id="30" w:name="_Toc28359015"/>
      <w:bookmarkStart w:id="31" w:name="_Toc28359092"/>
      <w:r>
        <w:rPr>
          <w:rFonts w:hint="eastAsia" w:ascii="宋体" w:hAnsi="宋体" w:eastAsia="宋体" w:cs="宋体"/>
          <w:color w:val="auto"/>
          <w:sz w:val="24"/>
          <w:szCs w:val="24"/>
          <w:highlight w:val="none"/>
        </w:rPr>
        <w:t>四、响应文件提交</w:t>
      </w:r>
      <w:bookmarkEnd w:id="28"/>
      <w:bookmarkEnd w:id="29"/>
      <w:bookmarkEnd w:id="30"/>
      <w:bookmarkEnd w:id="31"/>
    </w:p>
    <w:p w14:paraId="2581501C">
      <w:pPr>
        <w:pStyle w:val="2"/>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single"/>
        </w:rPr>
        <w:t>年</w:t>
      </w:r>
      <w:r>
        <w:rPr>
          <w:rFonts w:hint="eastAsia"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月</w:t>
      </w:r>
      <w:r>
        <w:rPr>
          <w:rFonts w:hint="eastAsia" w:hAnsi="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rPr>
        <w:t>点</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u w:val="single"/>
        </w:rPr>
        <w:t>分</w:t>
      </w:r>
      <w:r>
        <w:rPr>
          <w:rFonts w:hint="eastAsia" w:ascii="宋体" w:hAnsi="宋体" w:eastAsia="宋体" w:cs="宋体"/>
          <w:color w:val="auto"/>
          <w:sz w:val="24"/>
          <w:szCs w:val="24"/>
          <w:highlight w:val="none"/>
        </w:rPr>
        <w:t>（北京时间）</w:t>
      </w:r>
    </w:p>
    <w:p w14:paraId="5AE907FF">
      <w:pPr>
        <w:pStyle w:val="2"/>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地点：加密电子响应文件须在投标截止时间前通过“周口市公共资源交易中心网（网址http://jyzx.zhoukou.gov.cn）”。</w:t>
      </w:r>
    </w:p>
    <w:p w14:paraId="228671B0">
      <w:pPr>
        <w:pStyle w:val="2"/>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bookmarkStart w:id="32" w:name="_Toc35393633"/>
      <w:bookmarkStart w:id="33" w:name="_Toc28359016"/>
      <w:bookmarkStart w:id="34" w:name="_Toc35393802"/>
      <w:bookmarkStart w:id="35" w:name="_Toc28359093"/>
      <w:r>
        <w:rPr>
          <w:rFonts w:hint="eastAsia" w:ascii="宋体" w:hAnsi="宋体" w:eastAsia="宋体" w:cs="宋体"/>
          <w:color w:val="auto"/>
          <w:sz w:val="24"/>
          <w:szCs w:val="24"/>
          <w:highlight w:val="none"/>
          <w:lang w:val="en-US" w:eastAsia="zh-CN"/>
        </w:rPr>
        <w:t>五、开启</w:t>
      </w:r>
      <w:bookmarkEnd w:id="32"/>
      <w:bookmarkEnd w:id="33"/>
      <w:bookmarkEnd w:id="34"/>
      <w:bookmarkEnd w:id="35"/>
    </w:p>
    <w:p w14:paraId="4A2C09E9">
      <w:pPr>
        <w:spacing w:line="360" w:lineRule="auto"/>
        <w:ind w:firstLine="480" w:firstLineChars="200"/>
        <w:rPr>
          <w:rFonts w:hint="eastAsia" w:ascii="宋体" w:hAnsi="宋体" w:eastAsia="宋体" w:cs="宋体"/>
          <w:bCs/>
          <w:color w:val="auto"/>
          <w:sz w:val="24"/>
          <w:szCs w:val="24"/>
          <w:u w:val="single"/>
        </w:rPr>
      </w:pPr>
      <w:r>
        <w:rPr>
          <w:rFonts w:hint="eastAsia" w:ascii="宋体" w:hAnsi="宋体" w:eastAsia="宋体" w:cs="宋体"/>
          <w:color w:val="auto"/>
          <w:sz w:val="24"/>
          <w:szCs w:val="24"/>
        </w:rPr>
        <w:t>时间：</w:t>
      </w:r>
      <w:r>
        <w:rPr>
          <w:rFonts w:hint="eastAsia" w:ascii="宋体" w:hAnsi="宋体" w:eastAsia="宋体"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single"/>
        </w:rPr>
        <w:t>年</w:t>
      </w:r>
      <w:r>
        <w:rPr>
          <w:rFonts w:hint="eastAsia"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月</w:t>
      </w:r>
      <w:r>
        <w:rPr>
          <w:rFonts w:hint="eastAsia" w:hAnsi="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rPr>
        <w:t>点</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u w:val="single"/>
        </w:rPr>
        <w:t>分</w:t>
      </w:r>
      <w:r>
        <w:rPr>
          <w:rFonts w:hint="eastAsia" w:ascii="宋体" w:hAnsi="宋体" w:eastAsia="宋体" w:cs="宋体"/>
          <w:bCs/>
          <w:color w:val="auto"/>
          <w:sz w:val="24"/>
          <w:szCs w:val="24"/>
        </w:rPr>
        <w:t>（北京时间）</w:t>
      </w:r>
    </w:p>
    <w:p w14:paraId="2CFF4FE4">
      <w:pPr>
        <w:spacing w:line="360" w:lineRule="auto"/>
        <w:ind w:firstLine="480" w:firstLineChars="200"/>
        <w:rPr>
          <w:rFonts w:hint="eastAsia" w:ascii="宋体" w:hAnsi="宋体" w:eastAsia="宋体" w:cs="宋体"/>
          <w:bCs/>
          <w:color w:val="auto"/>
          <w:sz w:val="24"/>
          <w:szCs w:val="24"/>
          <w:u w:val="single"/>
        </w:rPr>
      </w:pPr>
      <w:r>
        <w:rPr>
          <w:rFonts w:hint="eastAsia" w:ascii="宋体" w:hAnsi="宋体" w:eastAsia="宋体" w:cs="宋体"/>
          <w:color w:val="auto"/>
          <w:sz w:val="24"/>
          <w:szCs w:val="24"/>
        </w:rPr>
        <w:t>地点：周口市公共资源交易中心</w:t>
      </w:r>
      <w:r>
        <w:rPr>
          <w:rFonts w:hint="eastAsia" w:ascii="宋体" w:hAnsi="宋体" w:eastAsia="宋体" w:cs="宋体"/>
          <w:color w:val="auto"/>
          <w:sz w:val="24"/>
          <w:szCs w:val="24"/>
          <w:lang w:val="en-US"/>
        </w:rPr>
        <w:t>开标室</w:t>
      </w:r>
    </w:p>
    <w:p w14:paraId="404731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六</w:t>
      </w:r>
      <w:r>
        <w:rPr>
          <w:rFonts w:hint="eastAsia" w:ascii="宋体" w:hAnsi="宋体" w:eastAsia="宋体" w:cs="宋体"/>
          <w:i w:val="0"/>
          <w:iCs w:val="0"/>
          <w:color w:val="auto"/>
          <w:sz w:val="24"/>
          <w:szCs w:val="24"/>
        </w:rPr>
        <w:t>、公告期限</w:t>
      </w:r>
      <w:bookmarkEnd w:id="24"/>
      <w:bookmarkEnd w:id="25"/>
      <w:bookmarkEnd w:id="26"/>
      <w:bookmarkEnd w:id="27"/>
    </w:p>
    <w:p w14:paraId="6BFA53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自本公告发布之日起5个工作日。</w:t>
      </w:r>
    </w:p>
    <w:p w14:paraId="0E0A34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36" w:name="_Toc35393795"/>
      <w:bookmarkStart w:id="37" w:name="_Toc35393626"/>
      <w:r>
        <w:rPr>
          <w:rFonts w:hint="eastAsia" w:ascii="宋体" w:hAnsi="宋体" w:eastAsia="宋体" w:cs="宋体"/>
          <w:i w:val="0"/>
          <w:iCs w:val="0"/>
          <w:color w:val="auto"/>
          <w:sz w:val="24"/>
          <w:szCs w:val="24"/>
          <w:lang w:val="en-US" w:eastAsia="zh-CN"/>
        </w:rPr>
        <w:t>七</w:t>
      </w:r>
      <w:r>
        <w:rPr>
          <w:rFonts w:hint="eastAsia" w:ascii="宋体" w:hAnsi="宋体" w:eastAsia="宋体" w:cs="宋体"/>
          <w:i w:val="0"/>
          <w:iCs w:val="0"/>
          <w:color w:val="auto"/>
          <w:sz w:val="24"/>
          <w:szCs w:val="24"/>
        </w:rPr>
        <w:t>、其他补充事宜</w:t>
      </w:r>
      <w:bookmarkEnd w:id="36"/>
      <w:bookmarkEnd w:id="37"/>
    </w:p>
    <w:p w14:paraId="2986EC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38" w:name="_Toc35393796"/>
      <w:bookmarkStart w:id="39" w:name="_Toc28359085"/>
      <w:bookmarkStart w:id="40" w:name="_Toc28359008"/>
      <w:bookmarkStart w:id="41" w:name="_Toc35393627"/>
      <w:r>
        <w:rPr>
          <w:rFonts w:hint="eastAsia" w:ascii="宋体" w:hAnsi="宋体" w:eastAsia="宋体" w:cs="宋体"/>
          <w:i w:val="0"/>
          <w:iCs w:val="0"/>
          <w:color w:val="auto"/>
          <w:sz w:val="24"/>
          <w:szCs w:val="24"/>
          <w:lang w:val="en-US" w:eastAsia="zh-CN"/>
        </w:rPr>
        <w:t>无</w:t>
      </w:r>
    </w:p>
    <w:p w14:paraId="33D766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八</w:t>
      </w:r>
      <w:r>
        <w:rPr>
          <w:rFonts w:hint="eastAsia" w:ascii="宋体" w:hAnsi="宋体" w:eastAsia="宋体" w:cs="宋体"/>
          <w:i w:val="0"/>
          <w:iCs w:val="0"/>
          <w:color w:val="auto"/>
          <w:sz w:val="24"/>
          <w:szCs w:val="24"/>
        </w:rPr>
        <w:t>、对本次招标提出询问，请按以下方式联系。</w:t>
      </w:r>
      <w:bookmarkEnd w:id="38"/>
      <w:bookmarkEnd w:id="39"/>
      <w:bookmarkEnd w:id="40"/>
      <w:bookmarkEnd w:id="41"/>
    </w:p>
    <w:p w14:paraId="0D3CE0E1">
      <w:pPr>
        <w:adjustRightInd w:val="0"/>
        <w:snapToGrid w:val="0"/>
        <w:spacing w:line="3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14:paraId="61AE3D4D">
      <w:pPr>
        <w:adjustRightInd w:val="0"/>
        <w:snapToGrid w:val="0"/>
        <w:spacing w:line="3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r>
        <w:rPr>
          <w:rFonts w:hint="eastAsia" w:ascii="宋体" w:hAnsi="宋体" w:cs="宋体"/>
          <w:color w:val="auto"/>
          <w:sz w:val="24"/>
          <w:szCs w:val="24"/>
          <w:highlight w:val="none"/>
          <w:lang w:eastAsia="zh-CN"/>
        </w:rPr>
        <w:t>周口市淮阳区教育体育局</w:t>
      </w:r>
      <w:r>
        <w:rPr>
          <w:rFonts w:hint="eastAsia" w:ascii="宋体" w:hAnsi="宋体" w:eastAsia="宋体" w:cs="宋体"/>
          <w:color w:val="auto"/>
          <w:sz w:val="24"/>
          <w:szCs w:val="24"/>
          <w:highlight w:val="none"/>
        </w:rPr>
        <w:t>　　　　　　　　　　</w:t>
      </w:r>
    </w:p>
    <w:p w14:paraId="16C4A4B8">
      <w:pPr>
        <w:adjustRightInd w:val="0"/>
        <w:snapToGrid w:val="0"/>
        <w:spacing w:line="3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b w:val="0"/>
          <w:color w:val="auto"/>
          <w:sz w:val="24"/>
          <w:szCs w:val="24"/>
          <w:lang w:val="en-US"/>
        </w:rPr>
        <w:t>河南省</w:t>
      </w:r>
      <w:r>
        <w:rPr>
          <w:rFonts w:hint="eastAsia" w:ascii="宋体" w:hAnsi="宋体" w:cs="宋体"/>
          <w:color w:val="auto"/>
          <w:sz w:val="24"/>
          <w:szCs w:val="24"/>
          <w:highlight w:val="none"/>
          <w:lang w:eastAsia="zh-CN"/>
        </w:rPr>
        <w:t>周口市淮阳区教育体育局</w:t>
      </w:r>
      <w:r>
        <w:rPr>
          <w:rFonts w:hint="eastAsia" w:ascii="宋体" w:hAnsi="宋体" w:eastAsia="宋体" w:cs="宋体"/>
          <w:color w:val="auto"/>
          <w:sz w:val="24"/>
          <w:szCs w:val="24"/>
          <w:highlight w:val="none"/>
        </w:rPr>
        <w:t>　　　　　　　　　　　</w:t>
      </w:r>
    </w:p>
    <w:p w14:paraId="7B97928A">
      <w:pPr>
        <w:adjustRightInd w:val="0"/>
        <w:snapToGrid w:val="0"/>
        <w:spacing w:line="3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val="en-US" w:eastAsia="zh-CN"/>
        </w:rPr>
        <w:t>计智</w:t>
      </w:r>
      <w:r>
        <w:rPr>
          <w:rFonts w:hint="eastAsia" w:ascii="宋体" w:hAnsi="宋体" w:eastAsia="宋体" w:cs="宋体"/>
          <w:color w:val="auto"/>
          <w:sz w:val="24"/>
          <w:szCs w:val="24"/>
          <w:highlight w:val="none"/>
        </w:rPr>
        <w:t xml:space="preserve">      联系方式：</w:t>
      </w:r>
      <w:r>
        <w:rPr>
          <w:rFonts w:hint="eastAsia" w:ascii="宋体" w:hAnsi="宋体" w:cs="宋体"/>
          <w:color w:val="auto"/>
          <w:sz w:val="24"/>
          <w:szCs w:val="24"/>
          <w:highlight w:val="none"/>
          <w:lang w:val="en-US" w:eastAsia="zh-CN"/>
        </w:rPr>
        <w:t>03942666126</w:t>
      </w: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rPr>
        <w:t xml:space="preserve">　　 </w:t>
      </w:r>
      <w:bookmarkStart w:id="42" w:name="_Toc28359086"/>
      <w:bookmarkStart w:id="43" w:name="_Toc28359009"/>
    </w:p>
    <w:bookmarkEnd w:id="42"/>
    <w:bookmarkEnd w:id="43"/>
    <w:p w14:paraId="1DC33A27">
      <w:pPr>
        <w:adjustRightInd w:val="0"/>
        <w:snapToGrid w:val="0"/>
        <w:spacing w:line="380" w:lineRule="atLeast"/>
        <w:ind w:firstLine="480" w:firstLineChars="200"/>
        <w:jc w:val="left"/>
        <w:rPr>
          <w:rFonts w:hint="eastAsia" w:ascii="宋体" w:hAnsi="宋体" w:eastAsia="宋体" w:cs="宋体"/>
          <w:color w:val="auto"/>
          <w:sz w:val="24"/>
          <w:szCs w:val="24"/>
          <w:highlight w:val="none"/>
        </w:rPr>
      </w:pPr>
      <w:bookmarkStart w:id="44" w:name="_Toc28359010"/>
      <w:bookmarkStart w:id="45" w:name="_Toc28359087"/>
      <w:r>
        <w:rPr>
          <w:rFonts w:hint="eastAsia" w:ascii="宋体" w:hAnsi="宋体" w:eastAsia="宋体" w:cs="宋体"/>
          <w:color w:val="auto"/>
          <w:sz w:val="24"/>
          <w:szCs w:val="24"/>
          <w:highlight w:val="none"/>
        </w:rPr>
        <w:t>2.采购代理机构信息</w:t>
      </w:r>
    </w:p>
    <w:p w14:paraId="1F14B9C7">
      <w:pPr>
        <w:pStyle w:val="2"/>
        <w:adjustRightInd w:val="0"/>
        <w:snapToGrid w:val="0"/>
        <w:spacing w:line="38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名称：周口市公共资源交易中心政府采购中心　　　　　　　　　　　　</w:t>
      </w:r>
    </w:p>
    <w:p w14:paraId="3C5CAA1B">
      <w:pPr>
        <w:adjustRightInd w:val="0"/>
        <w:snapToGrid w:val="0"/>
        <w:spacing w:line="3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地址：周口市光明路与政通路交叉口向北100米路东</w:t>
      </w:r>
    </w:p>
    <w:p w14:paraId="6B77BB9A">
      <w:pPr>
        <w:adjustRightInd w:val="0"/>
        <w:snapToGrid w:val="0"/>
        <w:spacing w:line="3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 xml:space="preserve">郭战伟 </w:t>
      </w:r>
      <w:r>
        <w:rPr>
          <w:rFonts w:hint="eastAsia" w:ascii="宋体" w:hAnsi="宋体" w:eastAsia="宋体" w:cs="宋体"/>
          <w:color w:val="auto"/>
          <w:sz w:val="24"/>
          <w:szCs w:val="24"/>
          <w:highlight w:val="none"/>
        </w:rPr>
        <w:t xml:space="preserve">  联系方式：</w:t>
      </w:r>
      <w:r>
        <w:rPr>
          <w:rFonts w:hint="eastAsia" w:ascii="宋体" w:hAnsi="宋体" w:cs="宋体"/>
          <w:color w:val="auto"/>
          <w:sz w:val="24"/>
          <w:szCs w:val="24"/>
          <w:highlight w:val="none"/>
          <w:lang w:val="en-US" w:eastAsia="zh-CN"/>
        </w:rPr>
        <w:t xml:space="preserve">0394-8106517、17839489001 </w:t>
      </w:r>
      <w:r>
        <w:rPr>
          <w:rFonts w:hint="eastAsia" w:ascii="宋体" w:hAnsi="宋体" w:eastAsia="宋体" w:cs="宋体"/>
          <w:color w:val="auto"/>
          <w:sz w:val="24"/>
          <w:szCs w:val="24"/>
          <w:highlight w:val="none"/>
        </w:rPr>
        <w:t xml:space="preserve"> </w:t>
      </w:r>
    </w:p>
    <w:p w14:paraId="686C08D6">
      <w:pPr>
        <w:adjustRightInd w:val="0"/>
        <w:snapToGrid w:val="0"/>
        <w:spacing w:line="3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3.监督单位信息</w:t>
      </w:r>
    </w:p>
    <w:p w14:paraId="1AEC18E7">
      <w:pPr>
        <w:adjustRightInd w:val="0"/>
        <w:snapToGrid w:val="0"/>
        <w:spacing w:line="380" w:lineRule="atLeast"/>
        <w:ind w:firstLine="480" w:firstLineChars="200"/>
        <w:jc w:val="left"/>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名称：</w:t>
      </w:r>
      <w:r>
        <w:rPr>
          <w:rFonts w:hint="eastAsia" w:ascii="宋体" w:hAnsi="宋体" w:cs="宋体"/>
          <w:color w:val="auto"/>
          <w:sz w:val="24"/>
          <w:szCs w:val="24"/>
          <w:highlight w:val="none"/>
          <w:lang w:eastAsia="zh-CN"/>
        </w:rPr>
        <w:t>周口市淮阳区</w:t>
      </w:r>
      <w:r>
        <w:rPr>
          <w:rFonts w:hint="eastAsia" w:ascii="宋体" w:hAnsi="宋体" w:cs="宋体"/>
          <w:color w:val="auto"/>
          <w:sz w:val="24"/>
          <w:szCs w:val="24"/>
          <w:highlight w:val="none"/>
          <w:lang w:val="en-US" w:eastAsia="zh-CN"/>
        </w:rPr>
        <w:t>财政局</w:t>
      </w:r>
    </w:p>
    <w:p w14:paraId="1BA80E9A">
      <w:pPr>
        <w:adjustRightInd w:val="0"/>
        <w:snapToGrid w:val="0"/>
        <w:spacing w:line="380" w:lineRule="atLeas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r>
        <w:rPr>
          <w:rFonts w:hint="eastAsia" w:ascii="宋体" w:hAnsi="宋体" w:eastAsia="宋体" w:cs="宋体"/>
          <w:i w:val="0"/>
          <w:iCs w:val="0"/>
          <w:color w:val="auto"/>
          <w:sz w:val="24"/>
          <w:szCs w:val="24"/>
          <w:highlight w:val="none"/>
        </w:rPr>
        <w:t>0394-2667059</w:t>
      </w:r>
    </w:p>
    <w:p w14:paraId="59DFD750">
      <w:pPr>
        <w:pStyle w:val="30"/>
        <w:adjustRightInd w:val="0"/>
        <w:snapToGrid w:val="0"/>
        <w:spacing w:after="0" w:line="380" w:lineRule="atLeas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bookmarkEnd w:id="44"/>
      <w:bookmarkEnd w:id="45"/>
    </w:p>
    <w:p w14:paraId="4A66CAEB">
      <w:pPr>
        <w:pStyle w:val="30"/>
        <w:adjustRightInd w:val="0"/>
        <w:snapToGrid w:val="0"/>
        <w:spacing w:after="0" w:line="380" w:lineRule="atLeast"/>
        <w:ind w:firstLine="2400" w:firstLineChars="1000"/>
        <w:rPr>
          <w:rFonts w:hint="eastAsia" w:ascii="宋体" w:hAnsi="宋体" w:eastAsia="宋体" w:cs="宋体"/>
          <w:color w:val="auto"/>
          <w:sz w:val="24"/>
          <w:szCs w:val="24"/>
          <w:highlight w:val="none"/>
        </w:rPr>
      </w:pPr>
    </w:p>
    <w:p w14:paraId="7CCBA435">
      <w:pPr>
        <w:pStyle w:val="30"/>
        <w:adjustRightInd w:val="0"/>
        <w:snapToGrid w:val="0"/>
        <w:spacing w:after="0" w:line="380" w:lineRule="atLeast"/>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5C24DF50">
      <w:pPr>
        <w:adjustRightInd w:val="0"/>
        <w:snapToGrid w:val="0"/>
        <w:spacing w:line="380" w:lineRule="atLeast"/>
        <w:ind w:firstLine="5520" w:firstLineChars="23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24日</w:t>
      </w:r>
    </w:p>
    <w:bookmarkEnd w:id="12"/>
    <w:bookmarkEnd w:id="13"/>
    <w:p w14:paraId="01A4C797">
      <w:pPr>
        <w:rPr>
          <w:rFonts w:hint="eastAsia" w:ascii="宋体" w:hAnsi="宋体" w:eastAsia="宋体" w:cs="宋体"/>
          <w:color w:val="auto"/>
          <w:highlight w:val="none"/>
        </w:rPr>
      </w:pPr>
    </w:p>
    <w:p w14:paraId="1BF964C5">
      <w:pPr>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187" w:name="_GoBack"/>
      <w:bookmarkEnd w:id="187"/>
    </w:p>
    <w:p w14:paraId="7CC7A5DB">
      <w:pPr>
        <w:rPr>
          <w:rFonts w:hint="eastAsia" w:ascii="宋体" w:hAnsi="宋体" w:eastAsia="宋体" w:cs="宋体"/>
          <w:color w:val="auto"/>
          <w:highlight w:val="none"/>
        </w:rPr>
      </w:pPr>
    </w:p>
    <w:p w14:paraId="2FBAFC3D">
      <w:pPr>
        <w:jc w:val="center"/>
        <w:rPr>
          <w:rFonts w:hint="eastAsia" w:ascii="宋体" w:hAnsi="宋体" w:eastAsia="宋体" w:cs="宋体"/>
          <w:color w:val="auto"/>
          <w:sz w:val="32"/>
          <w:szCs w:val="28"/>
          <w:highlight w:val="none"/>
        </w:rPr>
      </w:pPr>
      <w:bookmarkStart w:id="46" w:name="_Hlt510343011"/>
      <w:bookmarkStart w:id="47" w:name="_Hlt510342998"/>
      <w:bookmarkStart w:id="48" w:name="_Toc40975437"/>
      <w:bookmarkStart w:id="49" w:name="_Toc7329_WPSOffice_Level1"/>
      <w:r>
        <w:rPr>
          <w:rFonts w:hint="eastAsia" w:ascii="宋体" w:hAnsi="宋体" w:eastAsia="宋体" w:cs="宋体"/>
          <w:color w:val="auto"/>
          <w:sz w:val="32"/>
          <w:szCs w:val="28"/>
          <w:highlight w:val="none"/>
        </w:rPr>
        <w:t>第二章 投标人须</w:t>
      </w:r>
      <w:bookmarkEnd w:id="46"/>
      <w:r>
        <w:rPr>
          <w:rFonts w:hint="eastAsia" w:ascii="宋体" w:hAnsi="宋体" w:eastAsia="宋体" w:cs="宋体"/>
          <w:color w:val="auto"/>
          <w:sz w:val="32"/>
          <w:szCs w:val="28"/>
          <w:highlight w:val="none"/>
        </w:rPr>
        <w:t>知前</w:t>
      </w:r>
      <w:bookmarkEnd w:id="47"/>
      <w:r>
        <w:rPr>
          <w:rFonts w:hint="eastAsia" w:ascii="宋体" w:hAnsi="宋体" w:eastAsia="宋体" w:cs="宋体"/>
          <w:color w:val="auto"/>
          <w:sz w:val="32"/>
          <w:szCs w:val="28"/>
          <w:highlight w:val="none"/>
        </w:rPr>
        <w:t>附表</w:t>
      </w:r>
      <w:bookmarkEnd w:id="48"/>
      <w:bookmarkEnd w:id="49"/>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987"/>
      </w:tblGrid>
      <w:tr w14:paraId="0FDE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9" w:type="dxa"/>
            <w:noWrap w:val="0"/>
            <w:vAlign w:val="center"/>
          </w:tcPr>
          <w:p w14:paraId="63F53313">
            <w:pPr>
              <w:rPr>
                <w:rFonts w:hint="eastAsia" w:ascii="宋体" w:hAnsi="宋体" w:eastAsia="宋体" w:cs="宋体"/>
                <w:color w:val="auto"/>
                <w:sz w:val="24"/>
                <w:szCs w:val="24"/>
                <w:highlight w:val="none"/>
              </w:rPr>
            </w:pPr>
            <w:bookmarkStart w:id="50" w:name="_Hlt516969057"/>
            <w:bookmarkEnd w:id="50"/>
            <w:bookmarkStart w:id="51" w:name="_Hlt509650351"/>
            <w:bookmarkEnd w:id="51"/>
            <w:bookmarkStart w:id="52" w:name="_Hlt509650027"/>
            <w:bookmarkEnd w:id="52"/>
            <w:bookmarkStart w:id="53" w:name="_Hlt519045778"/>
            <w:bookmarkEnd w:id="53"/>
            <w:bookmarkStart w:id="54" w:name="_Toc220232390"/>
            <w:bookmarkStart w:id="55" w:name="_Toc450_WPSOffice_Level1"/>
            <w:r>
              <w:rPr>
                <w:rFonts w:hint="eastAsia" w:ascii="宋体" w:hAnsi="宋体" w:eastAsia="宋体" w:cs="宋体"/>
                <w:color w:val="auto"/>
                <w:sz w:val="24"/>
                <w:szCs w:val="24"/>
                <w:highlight w:val="none"/>
              </w:rPr>
              <w:t>序号</w:t>
            </w:r>
          </w:p>
        </w:tc>
        <w:tc>
          <w:tcPr>
            <w:tcW w:w="2084" w:type="dxa"/>
            <w:noWrap w:val="0"/>
            <w:vAlign w:val="center"/>
          </w:tcPr>
          <w:p w14:paraId="26D6AF4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c>
          <w:tcPr>
            <w:tcW w:w="5987" w:type="dxa"/>
            <w:noWrap w:val="0"/>
            <w:vAlign w:val="center"/>
          </w:tcPr>
          <w:p w14:paraId="073C0B1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说明与要求</w:t>
            </w:r>
          </w:p>
        </w:tc>
      </w:tr>
      <w:tr w14:paraId="26080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9" w:type="dxa"/>
            <w:noWrap w:val="0"/>
            <w:vAlign w:val="center"/>
          </w:tcPr>
          <w:p w14:paraId="17E471B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084" w:type="dxa"/>
            <w:noWrap w:val="0"/>
            <w:vAlign w:val="center"/>
          </w:tcPr>
          <w:p w14:paraId="48B31C9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tc>
        <w:tc>
          <w:tcPr>
            <w:tcW w:w="5987" w:type="dxa"/>
            <w:noWrap w:val="0"/>
            <w:vAlign w:val="center"/>
          </w:tcPr>
          <w:p w14:paraId="335FAC09">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周口市淮阳区教育体育局</w:t>
            </w:r>
          </w:p>
        </w:tc>
      </w:tr>
      <w:tr w14:paraId="6D134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9" w:type="dxa"/>
            <w:noWrap w:val="0"/>
            <w:vAlign w:val="center"/>
          </w:tcPr>
          <w:p w14:paraId="17C010E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084" w:type="dxa"/>
            <w:noWrap w:val="0"/>
            <w:vAlign w:val="center"/>
          </w:tcPr>
          <w:p w14:paraId="0AC6264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w:t>
            </w:r>
          </w:p>
        </w:tc>
        <w:tc>
          <w:tcPr>
            <w:tcW w:w="5987" w:type="dxa"/>
            <w:noWrap w:val="0"/>
            <w:vAlign w:val="center"/>
          </w:tcPr>
          <w:p w14:paraId="1D15B9BD">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周口市淮阳区教育体育局</w:t>
            </w:r>
          </w:p>
        </w:tc>
      </w:tr>
      <w:tr w14:paraId="5E0A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9" w:type="dxa"/>
            <w:noWrap w:val="0"/>
            <w:vAlign w:val="center"/>
          </w:tcPr>
          <w:p w14:paraId="5C3ACE2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084" w:type="dxa"/>
            <w:noWrap w:val="0"/>
            <w:vAlign w:val="center"/>
          </w:tcPr>
          <w:p w14:paraId="2F91E38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w:t>
            </w:r>
          </w:p>
        </w:tc>
        <w:tc>
          <w:tcPr>
            <w:tcW w:w="5987" w:type="dxa"/>
            <w:noWrap w:val="0"/>
            <w:vAlign w:val="center"/>
          </w:tcPr>
          <w:p w14:paraId="51C92B3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称：周口市公共资源交易中心政府采购中心</w:t>
            </w:r>
          </w:p>
          <w:p w14:paraId="36411E9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址：周口市光明路与政通路交叉口向北100米路东</w:t>
            </w:r>
          </w:p>
        </w:tc>
      </w:tr>
      <w:tr w14:paraId="5AE7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noWrap w:val="0"/>
            <w:vAlign w:val="center"/>
          </w:tcPr>
          <w:p w14:paraId="35D8153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084" w:type="dxa"/>
            <w:noWrap w:val="0"/>
            <w:vAlign w:val="center"/>
          </w:tcPr>
          <w:p w14:paraId="0F1EF72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5987" w:type="dxa"/>
            <w:noWrap w:val="0"/>
            <w:vAlign w:val="center"/>
          </w:tcPr>
          <w:p w14:paraId="6BAB0C45">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 xml:space="preserve"> 周口市淮阳区教育体育局淮阳区2023年改薄提升教学装备项目</w:t>
            </w:r>
          </w:p>
        </w:tc>
      </w:tr>
      <w:tr w14:paraId="5F6AA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9" w:type="dxa"/>
            <w:noWrap w:val="0"/>
            <w:vAlign w:val="center"/>
          </w:tcPr>
          <w:p w14:paraId="28EE782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084" w:type="dxa"/>
            <w:noWrap w:val="0"/>
            <w:vAlign w:val="center"/>
          </w:tcPr>
          <w:p w14:paraId="3334FAA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tc>
        <w:tc>
          <w:tcPr>
            <w:tcW w:w="5987" w:type="dxa"/>
            <w:noWrap w:val="0"/>
            <w:vAlign w:val="center"/>
          </w:tcPr>
          <w:p w14:paraId="13B2CBB2">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淮财招标采购-2026-10</w:t>
            </w:r>
            <w:r>
              <w:rPr>
                <w:rFonts w:hint="eastAsia" w:ascii="宋体" w:hAnsi="宋体" w:eastAsia="宋体" w:cs="宋体"/>
                <w:color w:val="auto"/>
                <w:sz w:val="24"/>
                <w:szCs w:val="24"/>
                <w:highlight w:val="none"/>
              </w:rPr>
              <w:t xml:space="preserve"> </w:t>
            </w:r>
          </w:p>
        </w:tc>
      </w:tr>
      <w:tr w14:paraId="1670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869" w:type="dxa"/>
            <w:noWrap w:val="0"/>
            <w:vAlign w:val="center"/>
          </w:tcPr>
          <w:p w14:paraId="07A3759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084" w:type="dxa"/>
            <w:noWrap w:val="0"/>
            <w:vAlign w:val="center"/>
          </w:tcPr>
          <w:p w14:paraId="3B874AD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项目性质</w:t>
            </w:r>
          </w:p>
        </w:tc>
        <w:tc>
          <w:tcPr>
            <w:tcW w:w="5987" w:type="dxa"/>
            <w:noWrap w:val="0"/>
            <w:vAlign w:val="center"/>
          </w:tcPr>
          <w:p w14:paraId="13CFB22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货物类</w:t>
            </w:r>
          </w:p>
        </w:tc>
      </w:tr>
      <w:tr w14:paraId="3D52F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noWrap w:val="0"/>
            <w:vAlign w:val="center"/>
          </w:tcPr>
          <w:p w14:paraId="3170190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084" w:type="dxa"/>
            <w:noWrap w:val="0"/>
            <w:vAlign w:val="center"/>
          </w:tcPr>
          <w:p w14:paraId="6FB99E4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tc>
        <w:tc>
          <w:tcPr>
            <w:tcW w:w="5987" w:type="dxa"/>
            <w:noWrap w:val="0"/>
            <w:vAlign w:val="center"/>
          </w:tcPr>
          <w:p w14:paraId="77690152">
            <w:pP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自行支付</w:t>
            </w:r>
          </w:p>
        </w:tc>
      </w:tr>
      <w:tr w14:paraId="7117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noWrap w:val="0"/>
            <w:vAlign w:val="center"/>
          </w:tcPr>
          <w:p w14:paraId="49E84B6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084" w:type="dxa"/>
            <w:noWrap w:val="0"/>
            <w:vAlign w:val="center"/>
          </w:tcPr>
          <w:p w14:paraId="7D856D2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包别划分</w:t>
            </w:r>
          </w:p>
        </w:tc>
        <w:tc>
          <w:tcPr>
            <w:tcW w:w="5987" w:type="dxa"/>
            <w:noWrap w:val="0"/>
            <w:vAlign w:val="center"/>
          </w:tcPr>
          <w:p w14:paraId="497A6CB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本次招标为</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个包</w:t>
            </w:r>
          </w:p>
        </w:tc>
      </w:tr>
      <w:tr w14:paraId="6297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69" w:type="dxa"/>
            <w:noWrap w:val="0"/>
            <w:vAlign w:val="center"/>
          </w:tcPr>
          <w:p w14:paraId="3B06175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084" w:type="dxa"/>
            <w:noWrap w:val="0"/>
            <w:vAlign w:val="center"/>
          </w:tcPr>
          <w:p w14:paraId="4D5A8F2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5987" w:type="dxa"/>
            <w:noWrap w:val="0"/>
            <w:vAlign w:val="center"/>
          </w:tcPr>
          <w:p w14:paraId="25F030A9">
            <w:pPr>
              <w:rPr>
                <w:rFonts w:hint="eastAsia" w:ascii="宋体" w:hAnsi="宋体" w:eastAsia="宋体" w:cs="宋体"/>
                <w:color w:val="auto"/>
                <w:sz w:val="24"/>
                <w:szCs w:val="24"/>
                <w:highlight w:val="none"/>
              </w:rPr>
            </w:pPr>
            <w:bookmarkStart w:id="56" w:name="_Hlk56150375"/>
            <w:r>
              <w:rPr>
                <w:rFonts w:hint="eastAsia" w:ascii="宋体" w:hAnsi="宋体"/>
                <w:color w:val="auto"/>
                <w:sz w:val="24"/>
                <w:lang w:val="zh-CN"/>
              </w:rPr>
              <w:t>经第三方检测合格并出具报告后</w:t>
            </w:r>
            <w:bookmarkEnd w:id="56"/>
            <w:r>
              <w:rPr>
                <w:rFonts w:hint="eastAsia" w:ascii="宋体" w:hAnsi="宋体"/>
                <w:color w:val="auto"/>
                <w:sz w:val="24"/>
                <w:lang w:val="zh-CN"/>
              </w:rPr>
              <w:t>，付合同金额的100%。</w:t>
            </w:r>
          </w:p>
        </w:tc>
      </w:tr>
      <w:tr w14:paraId="7AAAB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9" w:type="dxa"/>
            <w:noWrap w:val="0"/>
            <w:vAlign w:val="center"/>
          </w:tcPr>
          <w:p w14:paraId="0607A17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084" w:type="dxa"/>
            <w:noWrap w:val="0"/>
            <w:vAlign w:val="center"/>
          </w:tcPr>
          <w:p w14:paraId="757B1C2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联合体投标</w:t>
            </w:r>
          </w:p>
        </w:tc>
        <w:tc>
          <w:tcPr>
            <w:tcW w:w="5987" w:type="dxa"/>
            <w:noWrap w:val="0"/>
            <w:vAlign w:val="center"/>
          </w:tcPr>
          <w:p w14:paraId="033F966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不允许</w:t>
            </w:r>
          </w:p>
        </w:tc>
      </w:tr>
      <w:tr w14:paraId="70CC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noWrap w:val="0"/>
            <w:vAlign w:val="center"/>
          </w:tcPr>
          <w:p w14:paraId="0E8AA03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084" w:type="dxa"/>
            <w:noWrap w:val="0"/>
            <w:vAlign w:val="center"/>
          </w:tcPr>
          <w:p w14:paraId="5AAF97C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5987" w:type="dxa"/>
            <w:noWrap w:val="0"/>
            <w:vAlign w:val="center"/>
          </w:tcPr>
          <w:p w14:paraId="27EAA9D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开标后60天</w:t>
            </w:r>
          </w:p>
        </w:tc>
      </w:tr>
      <w:tr w14:paraId="799C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noWrap w:val="0"/>
            <w:vAlign w:val="center"/>
          </w:tcPr>
          <w:p w14:paraId="3E7C380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084" w:type="dxa"/>
            <w:noWrap w:val="0"/>
            <w:vAlign w:val="center"/>
          </w:tcPr>
          <w:p w14:paraId="320BAF7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供货地点</w:t>
            </w:r>
          </w:p>
        </w:tc>
        <w:tc>
          <w:tcPr>
            <w:tcW w:w="5987" w:type="dxa"/>
            <w:noWrap w:val="0"/>
            <w:vAlign w:val="center"/>
          </w:tcPr>
          <w:p w14:paraId="5753507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采购人指定地点</w:t>
            </w:r>
          </w:p>
        </w:tc>
      </w:tr>
      <w:tr w14:paraId="72AD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noWrap w:val="0"/>
            <w:vAlign w:val="center"/>
          </w:tcPr>
          <w:p w14:paraId="097259B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084" w:type="dxa"/>
            <w:noWrap w:val="0"/>
            <w:vAlign w:val="center"/>
          </w:tcPr>
          <w:p w14:paraId="21205F8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供货期限</w:t>
            </w:r>
          </w:p>
        </w:tc>
        <w:tc>
          <w:tcPr>
            <w:tcW w:w="5987" w:type="dxa"/>
            <w:noWrap w:val="0"/>
            <w:vAlign w:val="center"/>
          </w:tcPr>
          <w:p w14:paraId="03E3B92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合同签订后30日历天内</w:t>
            </w:r>
          </w:p>
        </w:tc>
      </w:tr>
      <w:tr w14:paraId="28567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noWrap w:val="0"/>
            <w:vAlign w:val="center"/>
          </w:tcPr>
          <w:p w14:paraId="3F4BEC5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2084" w:type="dxa"/>
            <w:noWrap w:val="0"/>
            <w:vAlign w:val="center"/>
          </w:tcPr>
          <w:p w14:paraId="3D46B6B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免费质保期</w:t>
            </w:r>
          </w:p>
        </w:tc>
        <w:tc>
          <w:tcPr>
            <w:tcW w:w="5987" w:type="dxa"/>
            <w:noWrap w:val="0"/>
            <w:vAlign w:val="center"/>
          </w:tcPr>
          <w:p w14:paraId="1834DE3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按照国家或行业相关规定执行</w:t>
            </w:r>
          </w:p>
        </w:tc>
      </w:tr>
      <w:tr w14:paraId="4DC7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noWrap w:val="0"/>
            <w:vAlign w:val="center"/>
          </w:tcPr>
          <w:p w14:paraId="6F8A549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084" w:type="dxa"/>
            <w:noWrap w:val="0"/>
            <w:vAlign w:val="center"/>
          </w:tcPr>
          <w:p w14:paraId="44E0915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投标保证金金额</w:t>
            </w:r>
          </w:p>
        </w:tc>
        <w:tc>
          <w:tcPr>
            <w:tcW w:w="5987" w:type="dxa"/>
            <w:noWrap w:val="0"/>
            <w:vAlign w:val="center"/>
          </w:tcPr>
          <w:p w14:paraId="2EEB459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不需要缴纳投标保证金</w:t>
            </w:r>
          </w:p>
        </w:tc>
      </w:tr>
      <w:tr w14:paraId="399F9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jc w:val="center"/>
        </w:trPr>
        <w:tc>
          <w:tcPr>
            <w:tcW w:w="869" w:type="dxa"/>
            <w:noWrap w:val="0"/>
            <w:vAlign w:val="center"/>
          </w:tcPr>
          <w:p w14:paraId="09C834A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2084" w:type="dxa"/>
            <w:noWrap w:val="0"/>
            <w:vAlign w:val="center"/>
          </w:tcPr>
          <w:p w14:paraId="3C49DDF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答疑</w:t>
            </w:r>
          </w:p>
        </w:tc>
        <w:tc>
          <w:tcPr>
            <w:tcW w:w="5987" w:type="dxa"/>
            <w:noWrap w:val="0"/>
            <w:vAlign w:val="center"/>
          </w:tcPr>
          <w:p w14:paraId="370D92B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疑问的提出与答疑获取详见招标文件第二部分第五章投标人须知第36条。</w:t>
            </w:r>
          </w:p>
          <w:p w14:paraId="3411804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5A4C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869" w:type="dxa"/>
            <w:noWrap w:val="0"/>
            <w:vAlign w:val="center"/>
          </w:tcPr>
          <w:p w14:paraId="0FA0CB9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2084" w:type="dxa"/>
            <w:noWrap w:val="0"/>
            <w:vAlign w:val="center"/>
          </w:tcPr>
          <w:p w14:paraId="7F4BE98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勘察现场</w:t>
            </w:r>
          </w:p>
        </w:tc>
        <w:tc>
          <w:tcPr>
            <w:tcW w:w="5987" w:type="dxa"/>
            <w:noWrap w:val="0"/>
            <w:vAlign w:val="center"/>
          </w:tcPr>
          <w:p w14:paraId="6D076094">
            <w:pPr>
              <w:rPr>
                <w:rFonts w:hint="eastAsia" w:ascii="宋体" w:hAnsi="宋体" w:eastAsia="宋体" w:cs="宋体"/>
                <w:color w:val="auto"/>
                <w:sz w:val="24"/>
                <w:szCs w:val="24"/>
                <w:highlight w:val="none"/>
              </w:rPr>
            </w:pPr>
            <w:r>
              <w:rPr>
                <w:rFonts w:hint="eastAsia" w:ascii="宋体" w:hAnsi="宋体" w:cs="Times New Roman"/>
                <w:color w:val="auto"/>
                <w:kern w:val="2"/>
                <w:sz w:val="24"/>
                <w:szCs w:val="24"/>
                <w:highlight w:val="none"/>
                <w:lang w:val="en-US" w:eastAsia="zh-CN" w:bidi="ar-SA"/>
              </w:rPr>
              <w:t>不组织</w:t>
            </w:r>
          </w:p>
        </w:tc>
      </w:tr>
      <w:tr w14:paraId="66A8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jc w:val="center"/>
        </w:trPr>
        <w:tc>
          <w:tcPr>
            <w:tcW w:w="869" w:type="dxa"/>
            <w:noWrap w:val="0"/>
            <w:vAlign w:val="center"/>
          </w:tcPr>
          <w:p w14:paraId="77023DB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2084" w:type="dxa"/>
            <w:noWrap w:val="0"/>
            <w:vAlign w:val="center"/>
          </w:tcPr>
          <w:p w14:paraId="4B6C70B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tc>
        <w:tc>
          <w:tcPr>
            <w:tcW w:w="5987" w:type="dxa"/>
            <w:noWrap w:val="0"/>
            <w:vAlign w:val="center"/>
          </w:tcPr>
          <w:p w14:paraId="6F85188E">
            <w:pPr>
              <w:rPr>
                <w:rFonts w:hint="eastAsia" w:ascii="宋体" w:hAnsi="宋体"/>
                <w:color w:val="auto"/>
                <w:sz w:val="24"/>
                <w:szCs w:val="24"/>
                <w:highlight w:val="none"/>
              </w:rPr>
            </w:pPr>
            <w:r>
              <w:rPr>
                <w:rFonts w:hint="eastAsia" w:ascii="宋体" w:hAnsi="宋体"/>
                <w:color w:val="auto"/>
                <w:sz w:val="24"/>
                <w:szCs w:val="24"/>
                <w:highlight w:val="none"/>
              </w:rPr>
              <w:t>1、投标文件为使用周口市公共资源交易中心提供的电子标书制作工具软件（</w:t>
            </w:r>
            <w:r>
              <w:rPr>
                <w:rFonts w:hint="eastAsia" w:ascii="宋体" w:hAnsi="宋体"/>
                <w:color w:val="auto"/>
                <w:highlight w:val="none"/>
              </w:rPr>
              <w:t>http://jyzx.zhoukou.gov.cn</w:t>
            </w:r>
            <w:r>
              <w:rPr>
                <w:rFonts w:hint="eastAsia" w:ascii="宋体" w:hAnsi="宋体"/>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2CB6AC3">
            <w:pPr>
              <w:pStyle w:val="17"/>
              <w:rPr>
                <w:rFonts w:hint="eastAsia" w:ascii="宋体" w:hAnsi="宋体" w:eastAsia="宋体" w:cs="宋体"/>
                <w:color w:val="auto"/>
                <w:highlight w:val="none"/>
              </w:rPr>
            </w:pPr>
            <w:r>
              <w:rPr>
                <w:rFonts w:hint="eastAsia" w:ascii="宋体" w:hAnsi="宋体"/>
                <w:color w:val="auto"/>
                <w:sz w:val="24"/>
                <w:szCs w:val="24"/>
                <w:highlight w:val="none"/>
                <w:lang w:val="en-US" w:eastAsia="zh-CN"/>
              </w:rPr>
              <w:t>2、本项目实行网上远程开标无须到现场提交投标文件，未加密的电子投标文件和纸质文件不再提交。</w:t>
            </w:r>
          </w:p>
        </w:tc>
      </w:tr>
      <w:tr w14:paraId="326E2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69" w:type="dxa"/>
            <w:noWrap w:val="0"/>
            <w:vAlign w:val="center"/>
          </w:tcPr>
          <w:p w14:paraId="2B4D4E6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2084" w:type="dxa"/>
            <w:noWrap w:val="0"/>
            <w:vAlign w:val="center"/>
          </w:tcPr>
          <w:p w14:paraId="0D7029E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投标时间及地点</w:t>
            </w:r>
          </w:p>
        </w:tc>
        <w:tc>
          <w:tcPr>
            <w:tcW w:w="5987" w:type="dxa"/>
            <w:noWrap w:val="0"/>
            <w:vAlign w:val="center"/>
          </w:tcPr>
          <w:p w14:paraId="6A24071B">
            <w:pPr>
              <w:rPr>
                <w:rFonts w:hint="eastAsia" w:ascii="宋体" w:hAnsi="宋体" w:cs="宋体"/>
                <w:color w:val="auto"/>
                <w:sz w:val="24"/>
                <w:szCs w:val="24"/>
                <w:highlight w:val="none"/>
              </w:rPr>
            </w:pPr>
            <w:r>
              <w:rPr>
                <w:rFonts w:hint="eastAsia" w:ascii="宋体" w:hAnsi="宋体"/>
                <w:color w:val="auto"/>
                <w:sz w:val="24"/>
                <w:szCs w:val="24"/>
                <w:highlight w:val="none"/>
              </w:rPr>
              <w:t>投标截止时间：</w:t>
            </w: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日10点</w:t>
            </w:r>
            <w:r>
              <w:rPr>
                <w:rFonts w:hint="eastAsia" w:ascii="宋体" w:hAnsi="宋体" w:cs="宋体"/>
                <w:color w:val="auto"/>
                <w:sz w:val="24"/>
                <w:szCs w:val="24"/>
                <w:highlight w:val="none"/>
                <w:lang w:val="en-US" w:eastAsia="zh-CN"/>
              </w:rPr>
              <w:t>00</w:t>
            </w:r>
            <w:r>
              <w:rPr>
                <w:rFonts w:hint="eastAsia" w:ascii="宋体" w:hAnsi="宋体" w:cs="宋体"/>
                <w:color w:val="auto"/>
                <w:sz w:val="24"/>
                <w:szCs w:val="24"/>
                <w:highlight w:val="none"/>
              </w:rPr>
              <w:t>分</w:t>
            </w:r>
          </w:p>
          <w:p w14:paraId="46CC8433">
            <w:pPr>
              <w:rPr>
                <w:rFonts w:hint="eastAsia" w:ascii="宋体" w:hAnsi="宋体"/>
                <w:color w:val="auto"/>
                <w:sz w:val="24"/>
                <w:highlight w:val="none"/>
              </w:rPr>
            </w:pPr>
            <w:r>
              <w:rPr>
                <w:rFonts w:hint="eastAsia" w:ascii="宋体" w:hAnsi="宋体"/>
                <w:color w:val="auto"/>
                <w:sz w:val="24"/>
                <w:szCs w:val="24"/>
                <w:highlight w:val="none"/>
              </w:rPr>
              <w:t>标书递交地点：</w:t>
            </w:r>
            <w:r>
              <w:rPr>
                <w:rFonts w:hint="eastAsia" w:ascii="宋体" w:hAnsi="宋体"/>
                <w:color w:val="auto"/>
                <w:sz w:val="24"/>
                <w:highlight w:val="none"/>
              </w:rPr>
              <w:t>周口市公共资源交易中心网</w:t>
            </w:r>
          </w:p>
          <w:p w14:paraId="0760F8D6">
            <w:pPr>
              <w:rPr>
                <w:rFonts w:hint="eastAsia" w:ascii="宋体" w:hAnsi="宋体" w:cs="宋体"/>
                <w:color w:val="auto"/>
                <w:sz w:val="24"/>
                <w:szCs w:val="24"/>
                <w:highlight w:val="none"/>
              </w:rPr>
            </w:pPr>
            <w:r>
              <w:rPr>
                <w:rFonts w:hint="eastAsia" w:ascii="宋体" w:hAnsi="宋体"/>
                <w:color w:val="auto"/>
                <w:sz w:val="24"/>
                <w:highlight w:val="none"/>
              </w:rPr>
              <w:t>网址：周口市公共资源电子交易服务平台会员系统（网址</w:t>
            </w:r>
            <w:r>
              <w:rPr>
                <w:rFonts w:hint="eastAsia" w:ascii="宋体" w:hAnsi="宋体" w:eastAsia="宋体" w:cs="Times New Roman"/>
                <w:color w:val="auto"/>
                <w:sz w:val="24"/>
                <w:highlight w:val="none"/>
              </w:rPr>
              <w:t>http://jyzx.zhoukou.gov.cn）</w:t>
            </w:r>
          </w:p>
          <w:p w14:paraId="38A8E5AF">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（本项目实行网上远程开标无须到现场提交</w:t>
            </w:r>
            <w:r>
              <w:rPr>
                <w:rFonts w:hint="eastAsia" w:ascii="宋体" w:hAnsi="宋体" w:cs="宋体"/>
                <w:color w:val="auto"/>
                <w:sz w:val="24"/>
                <w:szCs w:val="24"/>
                <w:highlight w:val="none"/>
                <w:lang w:eastAsia="zh-CN"/>
              </w:rPr>
              <w:t>投标文件</w:t>
            </w:r>
            <w:r>
              <w:rPr>
                <w:rFonts w:hint="eastAsia" w:ascii="宋体" w:hAnsi="宋体" w:cs="宋体"/>
                <w:color w:val="auto"/>
                <w:sz w:val="24"/>
                <w:szCs w:val="24"/>
                <w:highlight w:val="none"/>
              </w:rPr>
              <w:t>）</w:t>
            </w:r>
          </w:p>
        </w:tc>
      </w:tr>
      <w:tr w14:paraId="0D81F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69" w:type="dxa"/>
            <w:noWrap w:val="0"/>
            <w:vAlign w:val="center"/>
          </w:tcPr>
          <w:p w14:paraId="55E0985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2084" w:type="dxa"/>
            <w:noWrap w:val="0"/>
            <w:vAlign w:val="center"/>
          </w:tcPr>
          <w:p w14:paraId="4C4648C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开标时间及地点</w:t>
            </w:r>
          </w:p>
        </w:tc>
        <w:tc>
          <w:tcPr>
            <w:tcW w:w="5987" w:type="dxa"/>
            <w:noWrap w:val="0"/>
            <w:vAlign w:val="center"/>
          </w:tcPr>
          <w:p w14:paraId="39B07D7F">
            <w:pPr>
              <w:rPr>
                <w:rFonts w:hint="eastAsia" w:ascii="宋体" w:hAnsi="宋体"/>
                <w:color w:val="auto"/>
                <w:sz w:val="24"/>
                <w:szCs w:val="24"/>
                <w:highlight w:val="none"/>
              </w:rPr>
            </w:pPr>
            <w:r>
              <w:rPr>
                <w:rFonts w:hint="eastAsia" w:ascii="宋体" w:hAnsi="宋体"/>
                <w:color w:val="auto"/>
                <w:sz w:val="24"/>
                <w:szCs w:val="24"/>
                <w:highlight w:val="none"/>
              </w:rPr>
              <w:t>开标时间：：</w:t>
            </w: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日10点</w:t>
            </w:r>
            <w:r>
              <w:rPr>
                <w:rFonts w:hint="eastAsia" w:ascii="宋体" w:hAnsi="宋体" w:cs="宋体"/>
                <w:color w:val="auto"/>
                <w:sz w:val="24"/>
                <w:szCs w:val="24"/>
                <w:highlight w:val="none"/>
                <w:lang w:val="en-US" w:eastAsia="zh-CN"/>
              </w:rPr>
              <w:t>00</w:t>
            </w:r>
            <w:r>
              <w:rPr>
                <w:rFonts w:hint="eastAsia" w:ascii="宋体" w:hAnsi="宋体" w:cs="宋体"/>
                <w:color w:val="auto"/>
                <w:sz w:val="24"/>
                <w:szCs w:val="24"/>
                <w:highlight w:val="none"/>
              </w:rPr>
              <w:t>分</w:t>
            </w:r>
            <w:r>
              <w:rPr>
                <w:rFonts w:hint="eastAsia" w:ascii="宋体" w:hAnsi="宋体"/>
                <w:color w:val="auto"/>
                <w:sz w:val="24"/>
                <w:szCs w:val="24"/>
                <w:highlight w:val="none"/>
              </w:rPr>
              <w:t xml:space="preserve">     </w:t>
            </w:r>
          </w:p>
          <w:p w14:paraId="224F6E5A">
            <w:pPr>
              <w:rPr>
                <w:rFonts w:hint="eastAsia" w:ascii="宋体" w:hAnsi="宋体" w:eastAsia="宋体" w:cs="宋体"/>
                <w:color w:val="auto"/>
                <w:sz w:val="24"/>
                <w:szCs w:val="24"/>
                <w:highlight w:val="none"/>
              </w:rPr>
            </w:pPr>
            <w:r>
              <w:rPr>
                <w:rFonts w:hint="eastAsia" w:ascii="宋体" w:hAnsi="宋体"/>
                <w:color w:val="auto"/>
                <w:sz w:val="24"/>
                <w:szCs w:val="24"/>
                <w:highlight w:val="none"/>
              </w:rPr>
              <w:t>开标地点：</w:t>
            </w: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开标室</w:t>
            </w:r>
            <w:r>
              <w:rPr>
                <w:rFonts w:hint="eastAsia" w:ascii="宋体" w:hAnsi="宋体"/>
                <w:color w:val="auto"/>
                <w:sz w:val="24"/>
                <w:szCs w:val="24"/>
                <w:highlight w:val="none"/>
              </w:rPr>
              <w:t>（本项目实行网上远程开标无须到现场提交</w:t>
            </w:r>
            <w:r>
              <w:rPr>
                <w:rFonts w:hint="eastAsia" w:ascii="宋体" w:hAnsi="宋体"/>
                <w:color w:val="auto"/>
                <w:sz w:val="24"/>
                <w:szCs w:val="24"/>
                <w:highlight w:val="none"/>
                <w:lang w:eastAsia="zh-CN"/>
              </w:rPr>
              <w:t>投标文件</w:t>
            </w:r>
            <w:r>
              <w:rPr>
                <w:rFonts w:hint="eastAsia" w:ascii="宋体" w:hAnsi="宋体"/>
                <w:color w:val="auto"/>
                <w:sz w:val="24"/>
                <w:szCs w:val="24"/>
                <w:highlight w:val="none"/>
              </w:rPr>
              <w:t>）</w:t>
            </w:r>
          </w:p>
        </w:tc>
      </w:tr>
      <w:tr w14:paraId="7AE8A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69" w:type="dxa"/>
            <w:noWrap w:val="0"/>
            <w:vAlign w:val="center"/>
          </w:tcPr>
          <w:p w14:paraId="49B0138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2084" w:type="dxa"/>
            <w:noWrap w:val="0"/>
            <w:vAlign w:val="center"/>
          </w:tcPr>
          <w:p w14:paraId="14645D9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5987" w:type="dxa"/>
            <w:noWrap w:val="0"/>
            <w:vAlign w:val="center"/>
          </w:tcPr>
          <w:p w14:paraId="0787808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综合评分法 详见招标文件第一部分第四章评标办法</w:t>
            </w:r>
          </w:p>
        </w:tc>
      </w:tr>
      <w:tr w14:paraId="6A901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69" w:type="dxa"/>
            <w:noWrap w:val="0"/>
            <w:vAlign w:val="center"/>
          </w:tcPr>
          <w:p w14:paraId="58D6393E">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2084" w:type="dxa"/>
            <w:noWrap w:val="0"/>
            <w:vAlign w:val="center"/>
          </w:tcPr>
          <w:p w14:paraId="03BA74FF">
            <w:pPr>
              <w:rPr>
                <w:rFonts w:hint="eastAsia" w:ascii="宋体" w:hAnsi="宋体"/>
                <w:color w:val="auto"/>
                <w:sz w:val="24"/>
                <w:highlight w:val="none"/>
              </w:rPr>
            </w:pPr>
            <w:r>
              <w:rPr>
                <w:rFonts w:hint="eastAsia" w:ascii="宋体" w:hAnsi="宋体"/>
                <w:color w:val="auto"/>
                <w:sz w:val="24"/>
                <w:highlight w:val="none"/>
              </w:rPr>
              <w:t>其它</w:t>
            </w:r>
          </w:p>
        </w:tc>
        <w:tc>
          <w:tcPr>
            <w:tcW w:w="5987" w:type="dxa"/>
            <w:noWrap w:val="0"/>
            <w:vAlign w:val="center"/>
          </w:tcPr>
          <w:p w14:paraId="1B4FE79B">
            <w:pPr>
              <w:rPr>
                <w:rFonts w:hint="eastAsia" w:ascii="宋体" w:hAnsi="宋体"/>
                <w:color w:val="auto"/>
                <w:sz w:val="24"/>
                <w:highlight w:val="none"/>
              </w:rPr>
            </w:pPr>
            <w:r>
              <w:rPr>
                <w:rFonts w:hint="eastAsia" w:ascii="宋体" w:hAnsi="宋体"/>
                <w:color w:val="auto"/>
                <w:sz w:val="24"/>
                <w:highlight w:val="none"/>
              </w:rPr>
              <w:t>采购单位将委托具有检测资质的第三方检测机构进行质量检测、第三方质量检测费用由中标人负责，但最高不超过中标价的1%。</w:t>
            </w:r>
          </w:p>
        </w:tc>
      </w:tr>
      <w:tr w14:paraId="1830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69" w:type="dxa"/>
            <w:noWrap w:val="0"/>
            <w:vAlign w:val="center"/>
          </w:tcPr>
          <w:p w14:paraId="25BDDE93">
            <w:pPr>
              <w:spacing w:line="500" w:lineRule="exact"/>
              <w:rPr>
                <w:rFonts w:hint="eastAsia" w:ascii="宋体" w:hAnsi="宋体" w:eastAsia="宋体" w:cs="宋体"/>
                <w:color w:val="auto"/>
                <w:sz w:val="24"/>
                <w:szCs w:val="24"/>
                <w:highlight w:val="none"/>
              </w:rPr>
            </w:pPr>
            <w:bookmarkStart w:id="57" w:name="_Toc40975438"/>
            <w:r>
              <w:rPr>
                <w:rFonts w:hint="eastAsia" w:ascii="宋体" w:hAnsi="宋体" w:eastAsia="宋体" w:cs="宋体"/>
                <w:color w:val="auto"/>
                <w:sz w:val="24"/>
                <w:szCs w:val="24"/>
                <w:highlight w:val="none"/>
              </w:rPr>
              <w:t>23</w:t>
            </w:r>
          </w:p>
        </w:tc>
        <w:tc>
          <w:tcPr>
            <w:tcW w:w="2084" w:type="dxa"/>
            <w:noWrap w:val="0"/>
            <w:vAlign w:val="center"/>
          </w:tcPr>
          <w:p w14:paraId="7F6841F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所属行业</w:t>
            </w:r>
          </w:p>
        </w:tc>
        <w:tc>
          <w:tcPr>
            <w:tcW w:w="5987" w:type="dxa"/>
            <w:noWrap w:val="0"/>
            <w:vAlign w:val="center"/>
          </w:tcPr>
          <w:p w14:paraId="53F4D15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工业</w:t>
            </w:r>
          </w:p>
        </w:tc>
      </w:tr>
    </w:tbl>
    <w:p w14:paraId="16D5FD04">
      <w:pPr>
        <w:rPr>
          <w:rFonts w:hint="eastAsia" w:ascii="宋体" w:hAnsi="宋体" w:eastAsia="宋体" w:cs="宋体"/>
          <w:color w:val="auto"/>
          <w:highlight w:val="none"/>
        </w:rPr>
      </w:pPr>
    </w:p>
    <w:p w14:paraId="4F737702">
      <w:pPr>
        <w:rPr>
          <w:rFonts w:hint="eastAsia" w:ascii="宋体" w:hAnsi="宋体" w:eastAsia="宋体" w:cs="宋体"/>
          <w:color w:val="auto"/>
          <w:highlight w:val="none"/>
        </w:rPr>
      </w:pPr>
    </w:p>
    <w:p w14:paraId="7D34DE09">
      <w:pPr>
        <w:pStyle w:val="30"/>
        <w:ind w:firstLine="210"/>
        <w:rPr>
          <w:rFonts w:hint="eastAsia" w:ascii="宋体" w:hAnsi="宋体" w:eastAsia="宋体" w:cs="宋体"/>
          <w:color w:val="auto"/>
          <w:highlight w:val="none"/>
        </w:rPr>
      </w:pPr>
    </w:p>
    <w:p w14:paraId="46438A83">
      <w:pPr>
        <w:pStyle w:val="30"/>
        <w:ind w:firstLine="210"/>
        <w:rPr>
          <w:rFonts w:hint="eastAsia" w:ascii="宋体" w:hAnsi="宋体" w:eastAsia="宋体" w:cs="宋体"/>
          <w:color w:val="auto"/>
          <w:highlight w:val="none"/>
        </w:rPr>
      </w:pPr>
    </w:p>
    <w:p w14:paraId="32037572">
      <w:pPr>
        <w:pStyle w:val="30"/>
        <w:ind w:firstLine="210"/>
        <w:rPr>
          <w:rFonts w:hint="eastAsia" w:ascii="宋体" w:hAnsi="宋体" w:eastAsia="宋体" w:cs="宋体"/>
          <w:color w:val="auto"/>
          <w:highlight w:val="none"/>
        </w:rPr>
      </w:pPr>
    </w:p>
    <w:p w14:paraId="0C8294FF">
      <w:pPr>
        <w:pStyle w:val="30"/>
        <w:ind w:firstLine="210"/>
        <w:rPr>
          <w:rFonts w:hint="eastAsia" w:ascii="宋体" w:hAnsi="宋体" w:eastAsia="宋体" w:cs="宋体"/>
          <w:color w:val="auto"/>
          <w:highlight w:val="none"/>
        </w:rPr>
      </w:pPr>
    </w:p>
    <w:p w14:paraId="635D7169">
      <w:pPr>
        <w:rPr>
          <w:rFonts w:hint="eastAsia" w:ascii="宋体" w:hAnsi="宋体" w:eastAsia="宋体" w:cs="宋体"/>
          <w:color w:val="auto"/>
          <w:highlight w:val="none"/>
        </w:rPr>
      </w:pPr>
    </w:p>
    <w:p w14:paraId="79BB3626">
      <w:pPr>
        <w:jc w:val="center"/>
        <w:rPr>
          <w:rFonts w:hint="eastAsia" w:ascii="宋体" w:hAnsi="宋体" w:eastAsia="宋体" w:cs="宋体"/>
          <w:color w:val="auto"/>
          <w:sz w:val="32"/>
          <w:szCs w:val="28"/>
          <w:highlight w:val="none"/>
        </w:rPr>
      </w:pPr>
    </w:p>
    <w:p w14:paraId="0FA0C32B">
      <w:pPr>
        <w:jc w:val="center"/>
        <w:rPr>
          <w:rFonts w:hint="eastAsia" w:ascii="宋体" w:hAnsi="宋体" w:eastAsia="宋体" w:cs="宋体"/>
          <w:color w:val="auto"/>
          <w:sz w:val="32"/>
          <w:szCs w:val="28"/>
          <w:highlight w:val="none"/>
        </w:rPr>
      </w:pPr>
    </w:p>
    <w:p w14:paraId="53AA8C37">
      <w:pPr>
        <w:jc w:val="center"/>
        <w:rPr>
          <w:rFonts w:hint="eastAsia" w:ascii="宋体" w:hAnsi="宋体" w:eastAsia="宋体" w:cs="宋体"/>
          <w:color w:val="auto"/>
          <w:sz w:val="32"/>
          <w:szCs w:val="28"/>
          <w:highlight w:val="none"/>
        </w:rPr>
      </w:pPr>
    </w:p>
    <w:p w14:paraId="51D042FC">
      <w:pPr>
        <w:jc w:val="center"/>
        <w:rPr>
          <w:rFonts w:hint="eastAsia" w:ascii="宋体" w:hAnsi="宋体" w:eastAsia="宋体" w:cs="宋体"/>
          <w:color w:val="auto"/>
          <w:sz w:val="32"/>
          <w:szCs w:val="28"/>
          <w:highlight w:val="none"/>
        </w:rPr>
      </w:pPr>
    </w:p>
    <w:p w14:paraId="293E2D6A">
      <w:pPr>
        <w:jc w:val="center"/>
        <w:rPr>
          <w:rFonts w:hint="eastAsia" w:ascii="宋体" w:hAnsi="宋体" w:eastAsia="宋体" w:cs="宋体"/>
          <w:color w:val="auto"/>
          <w:sz w:val="32"/>
          <w:szCs w:val="28"/>
          <w:highlight w:val="none"/>
        </w:rPr>
      </w:pPr>
    </w:p>
    <w:p w14:paraId="62377DF5">
      <w:pPr>
        <w:pStyle w:val="30"/>
        <w:ind w:firstLine="320"/>
        <w:rPr>
          <w:rFonts w:hint="eastAsia" w:ascii="宋体" w:hAnsi="宋体" w:eastAsia="宋体" w:cs="宋体"/>
          <w:color w:val="auto"/>
          <w:sz w:val="32"/>
          <w:szCs w:val="28"/>
          <w:highlight w:val="none"/>
        </w:rPr>
      </w:pPr>
    </w:p>
    <w:p w14:paraId="43A0FD85">
      <w:pPr>
        <w:pStyle w:val="30"/>
        <w:ind w:firstLine="320"/>
        <w:rPr>
          <w:rFonts w:hint="eastAsia" w:ascii="宋体" w:hAnsi="宋体" w:eastAsia="宋体" w:cs="宋体"/>
          <w:color w:val="auto"/>
          <w:sz w:val="32"/>
          <w:szCs w:val="28"/>
          <w:highlight w:val="none"/>
        </w:rPr>
      </w:pPr>
    </w:p>
    <w:p w14:paraId="26B7267F">
      <w:pPr>
        <w:pStyle w:val="30"/>
        <w:ind w:firstLine="320"/>
        <w:rPr>
          <w:rFonts w:hint="eastAsia" w:ascii="宋体" w:hAnsi="宋体" w:eastAsia="宋体" w:cs="宋体"/>
          <w:color w:val="auto"/>
          <w:sz w:val="32"/>
          <w:szCs w:val="28"/>
          <w:highlight w:val="none"/>
        </w:rPr>
      </w:pPr>
    </w:p>
    <w:p w14:paraId="2C9A97BB">
      <w:pPr>
        <w:jc w:val="center"/>
        <w:rPr>
          <w:rFonts w:hint="eastAsia" w:ascii="宋体" w:hAnsi="宋体" w:eastAsia="宋体" w:cs="宋体"/>
          <w:color w:val="auto"/>
          <w:sz w:val="32"/>
          <w:szCs w:val="28"/>
          <w:highlight w:val="none"/>
        </w:rPr>
      </w:pPr>
      <w:r>
        <w:rPr>
          <w:rFonts w:hint="eastAsia" w:ascii="宋体" w:hAnsi="宋体" w:eastAsia="宋体" w:cs="宋体"/>
          <w:color w:val="auto"/>
          <w:sz w:val="32"/>
          <w:szCs w:val="28"/>
          <w:highlight w:val="none"/>
        </w:rPr>
        <w:t>第三章 货物需求一览表</w:t>
      </w:r>
      <w:bookmarkEnd w:id="54"/>
      <w:bookmarkEnd w:id="55"/>
      <w:bookmarkEnd w:id="57"/>
    </w:p>
    <w:p w14:paraId="320E2CC2">
      <w:pPr>
        <w:spacing w:line="360" w:lineRule="auto"/>
        <w:ind w:firstLine="480" w:firstLineChars="200"/>
        <w:rPr>
          <w:rFonts w:hint="eastAsia" w:ascii="宋体" w:hAnsi="宋体" w:eastAsia="宋体" w:cs="宋体"/>
          <w:color w:val="auto"/>
          <w:sz w:val="24"/>
          <w:szCs w:val="28"/>
          <w:highlight w:val="none"/>
        </w:rPr>
      </w:pPr>
      <w:bookmarkStart w:id="58" w:name="_Hlt509716920"/>
      <w:bookmarkEnd w:id="58"/>
      <w:bookmarkStart w:id="59" w:name="_Toc6821_WPSOffice_Level2"/>
    </w:p>
    <w:p w14:paraId="3EB80A3B">
      <w:pPr>
        <w:spacing w:line="360" w:lineRule="auto"/>
        <w:ind w:firstLine="480" w:firstLineChars="200"/>
        <w:rPr>
          <w:rFonts w:hint="eastAsia" w:ascii="宋体" w:hAnsi="宋体" w:cs="宋体"/>
          <w:color w:val="auto"/>
          <w:sz w:val="24"/>
          <w:szCs w:val="28"/>
        </w:rPr>
      </w:pPr>
      <w:r>
        <w:rPr>
          <w:rFonts w:hint="eastAsia" w:ascii="宋体" w:hAnsi="宋体" w:cs="宋体"/>
          <w:color w:val="auto"/>
          <w:sz w:val="24"/>
          <w:szCs w:val="28"/>
        </w:rPr>
        <w:t>前注：1） 本需求中提出的技术方案仅为参考，如无明确限制，投标人可以进行优化，提供满足用户实际需要的更优（或者性能实质上不低于的）</w:t>
      </w:r>
      <w:r>
        <w:rPr>
          <w:rFonts w:hint="eastAsia" w:ascii="宋体" w:hAnsi="宋体" w:cs="宋体"/>
          <w:color w:val="auto"/>
          <w:sz w:val="24"/>
          <w:szCs w:val="24"/>
        </w:rPr>
        <w:t>技术方案或者设备配置，且此方案或配置须经评委会审核认可；</w:t>
      </w:r>
      <w:r>
        <w:rPr>
          <w:rFonts w:hint="eastAsia" w:ascii="宋体" w:hAnsi="宋体" w:cs="宋体"/>
          <w:color w:val="auto"/>
          <w:sz w:val="24"/>
          <w:szCs w:val="24"/>
        </w:rPr>
        <w:cr/>
      </w:r>
      <w:r>
        <w:rPr>
          <w:rFonts w:hint="eastAsia" w:ascii="宋体" w:hAnsi="宋体" w:cs="宋体"/>
          <w:color w:val="auto"/>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2E45175E">
      <w:pPr>
        <w:spacing w:line="360" w:lineRule="auto"/>
        <w:ind w:firstLine="480" w:firstLineChars="200"/>
        <w:rPr>
          <w:rFonts w:hint="eastAsia" w:ascii="宋体" w:hAnsi="宋体" w:cs="宋体"/>
          <w:color w:val="auto"/>
          <w:sz w:val="24"/>
          <w:szCs w:val="28"/>
        </w:rPr>
      </w:pPr>
      <w:r>
        <w:rPr>
          <w:rFonts w:hint="eastAsia" w:ascii="宋体" w:hAnsi="宋体" w:cs="宋体"/>
          <w:color w:val="auto"/>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rPr>
        <w:cr/>
      </w:r>
      <w:r>
        <w:rPr>
          <w:rFonts w:hint="eastAsia" w:ascii="宋体" w:hAnsi="宋体" w:cs="宋体"/>
          <w:color w:val="auto"/>
          <w:sz w:val="24"/>
          <w:szCs w:val="28"/>
        </w:rPr>
        <w:t xml:space="preserve">     4） </w:t>
      </w:r>
      <w:r>
        <w:rPr>
          <w:rFonts w:hint="eastAsia" w:ascii="宋体" w:hAnsi="宋体" w:cs="宋体"/>
          <w:color w:val="auto"/>
          <w:sz w:val="24"/>
          <w:szCs w:val="28"/>
        </w:rPr>
        <w:t>投标人应当在投标文件中列出完成本项目并通过验收所需的所有各项服务等明细表及全部费用。中标人必须书面保证整体通过用户方及有关主管部门验收一次性通过,所发生的验收费用由中标人承担；投标人应自行踏勘现场，如</w:t>
      </w:r>
      <w:r>
        <w:rPr>
          <w:rFonts w:hint="eastAsia" w:ascii="宋体" w:hAnsi="宋体" w:cs="宋体"/>
          <w:color w:val="auto"/>
          <w:sz w:val="24"/>
          <w:szCs w:val="28"/>
        </w:rPr>
        <w:t>投标人因未及时踏勘现场而导致的报价缺项漏项废标、或中标后无法完工，投标人自行承担一切后果；    5）如对本招标文件有任何疑问或澄清要求，请按本招标文件“投标人须知前附表”中约定联系周口市公共交资源交易中心政府采购中心，或接受答疑截止时间前联系采购人。否则视同理解和接受。</w:t>
      </w:r>
    </w:p>
    <w:p w14:paraId="489F3971">
      <w:pPr>
        <w:spacing w:line="360" w:lineRule="auto"/>
        <w:ind w:firstLine="640" w:firstLineChars="200"/>
        <w:rPr>
          <w:rFonts w:hint="eastAsia" w:ascii="宋体" w:hAnsi="宋体" w:eastAsia="宋体" w:cs="宋体"/>
          <w:color w:val="auto"/>
          <w:sz w:val="32"/>
          <w:szCs w:val="32"/>
          <w:highlight w:val="none"/>
        </w:rPr>
      </w:pPr>
    </w:p>
    <w:p w14:paraId="05771936">
      <w:pPr>
        <w:spacing w:line="360" w:lineRule="auto"/>
        <w:ind w:firstLine="640" w:firstLineChars="200"/>
        <w:rPr>
          <w:rFonts w:hint="eastAsia" w:ascii="宋体" w:hAnsi="宋体" w:eastAsia="宋体" w:cs="宋体"/>
          <w:color w:val="auto"/>
          <w:sz w:val="32"/>
          <w:szCs w:val="32"/>
          <w:highlight w:val="none"/>
        </w:rPr>
      </w:pPr>
    </w:p>
    <w:bookmarkEnd w:id="59"/>
    <w:p w14:paraId="5FA08795">
      <w:pPr>
        <w:jc w:val="left"/>
        <w:rPr>
          <w:rFonts w:hint="eastAsia" w:ascii="宋体" w:hAnsi="宋体" w:eastAsia="宋体" w:cs="宋体"/>
          <w:color w:val="auto"/>
          <w:highlight w:val="none"/>
        </w:rPr>
        <w:sectPr>
          <w:footerReference r:id="rId3" w:type="default"/>
          <w:pgSz w:w="11906" w:h="16838"/>
          <w:pgMar w:top="1440" w:right="1800" w:bottom="1440" w:left="1800" w:header="851" w:footer="992" w:gutter="0"/>
          <w:cols w:space="720" w:num="1"/>
          <w:docGrid w:linePitch="312" w:charSpace="0"/>
        </w:sectPr>
      </w:pPr>
    </w:p>
    <w:p w14:paraId="7A14EF26">
      <w:pPr>
        <w:pStyle w:val="30"/>
        <w:ind w:firstLine="320"/>
        <w:jc w:val="center"/>
        <w:rPr>
          <w:rFonts w:hint="eastAsia" w:ascii="宋体" w:hAnsi="宋体" w:eastAsia="宋体" w:cs="宋体"/>
          <w:color w:val="auto"/>
          <w:sz w:val="32"/>
          <w:szCs w:val="32"/>
          <w:highlight w:val="none"/>
        </w:rPr>
      </w:pPr>
      <w:bookmarkStart w:id="60" w:name="_Toc14806_WPSOffice_Level2"/>
      <w:r>
        <w:rPr>
          <w:rFonts w:hint="eastAsia" w:ascii="宋体" w:hAnsi="宋体" w:eastAsia="宋体" w:cs="宋体"/>
          <w:color w:val="auto"/>
          <w:sz w:val="32"/>
          <w:szCs w:val="32"/>
          <w:highlight w:val="none"/>
        </w:rPr>
        <w:t>货物需求及技术规格参数</w:t>
      </w:r>
    </w:p>
    <w:p w14:paraId="652E2F2A">
      <w:pPr>
        <w:rPr>
          <w:b/>
          <w:bCs/>
          <w:color w:val="auto"/>
          <w:sz w:val="24"/>
          <w:szCs w:val="28"/>
        </w:rPr>
      </w:pPr>
      <w:bookmarkStart w:id="61" w:name="_Toc11739_WPSOffice_Level1"/>
      <w:bookmarkStart w:id="62" w:name="_Toc40975439"/>
      <w:r>
        <w:rPr>
          <w:rFonts w:hint="eastAsia"/>
          <w:b/>
          <w:bCs/>
          <w:color w:val="auto"/>
          <w:sz w:val="24"/>
          <w:szCs w:val="28"/>
        </w:rPr>
        <w:t>1包</w:t>
      </w:r>
    </w:p>
    <w:tbl>
      <w:tblPr>
        <w:tblStyle w:val="25"/>
        <w:tblW w:w="90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0"/>
        <w:gridCol w:w="952"/>
        <w:gridCol w:w="6000"/>
        <w:gridCol w:w="667"/>
        <w:gridCol w:w="644"/>
      </w:tblGrid>
      <w:tr w14:paraId="0A0AB0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jc w:val="center"/>
        </w:trPr>
        <w:tc>
          <w:tcPr>
            <w:tcW w:w="810" w:type="dxa"/>
            <w:vAlign w:val="center"/>
          </w:tcPr>
          <w:p w14:paraId="1FF1E7A7">
            <w:pPr>
              <w:pStyle w:val="2"/>
              <w:ind w:right="105"/>
              <w:jc w:val="center"/>
              <w:rPr>
                <w:color w:val="auto"/>
                <w:sz w:val="21"/>
                <w:szCs w:val="21"/>
              </w:rPr>
            </w:pPr>
            <w:r>
              <w:rPr>
                <w:rFonts w:hint="eastAsia"/>
                <w:color w:val="auto"/>
                <w:sz w:val="21"/>
                <w:szCs w:val="21"/>
              </w:rPr>
              <w:t>序号</w:t>
            </w:r>
          </w:p>
        </w:tc>
        <w:tc>
          <w:tcPr>
            <w:tcW w:w="952" w:type="dxa"/>
            <w:vAlign w:val="center"/>
          </w:tcPr>
          <w:p w14:paraId="12D01583">
            <w:pPr>
              <w:pStyle w:val="2"/>
              <w:ind w:right="105"/>
              <w:jc w:val="center"/>
              <w:rPr>
                <w:color w:val="auto"/>
                <w:sz w:val="21"/>
                <w:szCs w:val="21"/>
              </w:rPr>
            </w:pPr>
            <w:r>
              <w:rPr>
                <w:rFonts w:hint="eastAsia"/>
                <w:color w:val="auto"/>
                <w:sz w:val="21"/>
                <w:szCs w:val="21"/>
              </w:rPr>
              <w:t>产品</w:t>
            </w:r>
          </w:p>
        </w:tc>
        <w:tc>
          <w:tcPr>
            <w:tcW w:w="6000" w:type="dxa"/>
            <w:vAlign w:val="center"/>
          </w:tcPr>
          <w:p w14:paraId="759143C1">
            <w:pPr>
              <w:pStyle w:val="2"/>
              <w:ind w:right="105"/>
              <w:jc w:val="center"/>
              <w:rPr>
                <w:color w:val="auto"/>
                <w:sz w:val="21"/>
                <w:szCs w:val="21"/>
              </w:rPr>
            </w:pPr>
            <w:r>
              <w:rPr>
                <w:rFonts w:hint="eastAsia"/>
                <w:color w:val="auto"/>
                <w:sz w:val="21"/>
                <w:szCs w:val="21"/>
              </w:rPr>
              <w:t>参数</w:t>
            </w:r>
          </w:p>
        </w:tc>
        <w:tc>
          <w:tcPr>
            <w:tcW w:w="667" w:type="dxa"/>
            <w:vAlign w:val="center"/>
          </w:tcPr>
          <w:p w14:paraId="2C168C4F">
            <w:pPr>
              <w:pStyle w:val="2"/>
              <w:ind w:right="105"/>
              <w:jc w:val="center"/>
              <w:rPr>
                <w:color w:val="auto"/>
                <w:sz w:val="21"/>
                <w:szCs w:val="21"/>
              </w:rPr>
            </w:pPr>
            <w:r>
              <w:rPr>
                <w:rFonts w:hint="eastAsia"/>
                <w:color w:val="auto"/>
                <w:sz w:val="21"/>
                <w:szCs w:val="21"/>
              </w:rPr>
              <w:t>单位</w:t>
            </w:r>
          </w:p>
        </w:tc>
        <w:tc>
          <w:tcPr>
            <w:tcW w:w="644" w:type="dxa"/>
            <w:vAlign w:val="center"/>
          </w:tcPr>
          <w:p w14:paraId="167666C0">
            <w:pPr>
              <w:pStyle w:val="2"/>
              <w:ind w:right="105"/>
              <w:jc w:val="center"/>
              <w:rPr>
                <w:color w:val="auto"/>
                <w:sz w:val="21"/>
                <w:szCs w:val="21"/>
              </w:rPr>
            </w:pPr>
            <w:r>
              <w:rPr>
                <w:rFonts w:hint="eastAsia"/>
                <w:color w:val="auto"/>
                <w:sz w:val="21"/>
                <w:szCs w:val="21"/>
              </w:rPr>
              <w:t>数量</w:t>
            </w:r>
          </w:p>
        </w:tc>
      </w:tr>
      <w:tr w14:paraId="0538F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0" w:type="dxa"/>
            <w:vAlign w:val="center"/>
          </w:tcPr>
          <w:p w14:paraId="65ECA559">
            <w:pPr>
              <w:pStyle w:val="2"/>
              <w:ind w:right="105"/>
              <w:rPr>
                <w:color w:val="auto"/>
                <w:sz w:val="21"/>
                <w:szCs w:val="21"/>
              </w:rPr>
            </w:pPr>
            <w:r>
              <w:rPr>
                <w:rFonts w:hint="eastAsia"/>
                <w:color w:val="auto"/>
                <w:sz w:val="21"/>
                <w:szCs w:val="21"/>
              </w:rPr>
              <w:t>1</w:t>
            </w:r>
          </w:p>
        </w:tc>
        <w:tc>
          <w:tcPr>
            <w:tcW w:w="952" w:type="dxa"/>
            <w:vAlign w:val="center"/>
          </w:tcPr>
          <w:p w14:paraId="39E31B3C">
            <w:pPr>
              <w:pStyle w:val="2"/>
              <w:ind w:right="105"/>
              <w:rPr>
                <w:color w:val="auto"/>
                <w:sz w:val="21"/>
                <w:szCs w:val="21"/>
              </w:rPr>
            </w:pPr>
            <w:r>
              <w:rPr>
                <w:rFonts w:hint="eastAsia"/>
                <w:color w:val="auto"/>
                <w:sz w:val="21"/>
                <w:szCs w:val="21"/>
              </w:rPr>
              <w:t>智慧互动大屏</w:t>
            </w:r>
          </w:p>
        </w:tc>
        <w:tc>
          <w:tcPr>
            <w:tcW w:w="6000" w:type="dxa"/>
            <w:vAlign w:val="center"/>
          </w:tcPr>
          <w:p w14:paraId="3B253EC1">
            <w:pPr>
              <w:pStyle w:val="2"/>
              <w:ind w:right="105"/>
              <w:rPr>
                <w:rFonts w:ascii="宋体" w:hAnsi="宋体" w:eastAsia="宋体" w:cs="宋体"/>
                <w:color w:val="auto"/>
                <w:sz w:val="21"/>
                <w:szCs w:val="21"/>
              </w:rPr>
            </w:pPr>
            <w:r>
              <w:rPr>
                <w:rFonts w:ascii="宋体" w:hAnsi="宋体" w:eastAsia="宋体" w:cs="宋体"/>
                <w:color w:val="auto"/>
                <w:sz w:val="21"/>
                <w:szCs w:val="21"/>
              </w:rPr>
              <w:t>一、显示及触控参数要求：</w:t>
            </w:r>
          </w:p>
          <w:p w14:paraId="58DAC00B">
            <w:pPr>
              <w:pStyle w:val="2"/>
              <w:ind w:right="105"/>
              <w:rPr>
                <w:rFonts w:ascii="宋体" w:hAnsi="宋体" w:eastAsia="宋体" w:cs="宋体"/>
                <w:color w:val="auto"/>
                <w:sz w:val="21"/>
                <w:szCs w:val="21"/>
              </w:rPr>
            </w:pPr>
            <w:r>
              <w:rPr>
                <w:rFonts w:ascii="宋体" w:hAnsi="宋体" w:eastAsia="宋体" w:cs="宋体"/>
                <w:color w:val="auto"/>
                <w:sz w:val="21"/>
                <w:szCs w:val="21"/>
              </w:rPr>
              <w:t>1.屏幕采用≥75英寸UHD 超高清液晶屏，显示比例16:9，具备防眩光效果，屏体亮度:≥300cd/m，屏体对比度:≥5000:1。</w:t>
            </w:r>
          </w:p>
          <w:p w14:paraId="32568160">
            <w:pPr>
              <w:pStyle w:val="2"/>
              <w:ind w:right="105"/>
              <w:rPr>
                <w:rFonts w:ascii="宋体" w:hAnsi="宋体" w:eastAsia="宋体" w:cs="宋体"/>
                <w:color w:val="auto"/>
                <w:sz w:val="21"/>
                <w:szCs w:val="21"/>
              </w:rPr>
            </w:pPr>
            <w:r>
              <w:rPr>
                <w:rFonts w:ascii="宋体" w:hAnsi="宋体" w:eastAsia="宋体" w:cs="宋体"/>
                <w:color w:val="auto"/>
                <w:sz w:val="21"/>
                <w:szCs w:val="21"/>
              </w:rPr>
              <w:t>2.交互平板屏幕色彩覆盖率NTSC标准下不低于</w:t>
            </w:r>
            <w:r>
              <w:rPr>
                <w:rFonts w:hint="eastAsia" w:ascii="宋体" w:hAnsi="宋体" w:eastAsia="宋体" w:cs="宋体"/>
                <w:color w:val="auto"/>
                <w:sz w:val="21"/>
                <w:szCs w:val="21"/>
              </w:rPr>
              <w:t>70</w:t>
            </w:r>
            <w:r>
              <w:rPr>
                <w:rFonts w:ascii="宋体" w:hAnsi="宋体" w:eastAsia="宋体" w:cs="宋体"/>
                <w:color w:val="auto"/>
                <w:sz w:val="21"/>
                <w:szCs w:val="21"/>
              </w:rPr>
              <w:t>%，最高灰阶256灰阶。</w:t>
            </w:r>
          </w:p>
          <w:p w14:paraId="7C5E5C5C">
            <w:pPr>
              <w:pStyle w:val="2"/>
              <w:ind w:right="105"/>
              <w:rPr>
                <w:rFonts w:ascii="宋体" w:hAnsi="宋体" w:eastAsia="宋体" w:cs="宋体"/>
                <w:color w:val="auto"/>
                <w:sz w:val="21"/>
                <w:szCs w:val="21"/>
              </w:rPr>
            </w:pPr>
            <w:r>
              <w:rPr>
                <w:rFonts w:ascii="宋体" w:hAnsi="宋体" w:eastAsia="宋体" w:cs="宋体"/>
                <w:color w:val="auto"/>
                <w:sz w:val="21"/>
                <w:szCs w:val="21"/>
              </w:rPr>
              <w:t>3.物理分辨率：≥3840×2160可无损播放4K片源，屏幕刷新率可达60Hz且画面无闪烁。</w:t>
            </w:r>
          </w:p>
          <w:p w14:paraId="4E9F7D34">
            <w:pPr>
              <w:pStyle w:val="2"/>
              <w:ind w:right="105"/>
              <w:rPr>
                <w:rFonts w:ascii="宋体" w:hAnsi="宋体" w:eastAsia="宋体" w:cs="宋体"/>
                <w:color w:val="auto"/>
                <w:sz w:val="21"/>
                <w:szCs w:val="21"/>
              </w:rPr>
            </w:pPr>
            <w:r>
              <w:rPr>
                <w:rFonts w:ascii="宋体" w:hAnsi="宋体" w:eastAsia="宋体" w:cs="宋体"/>
                <w:color w:val="auto"/>
                <w:sz w:val="21"/>
                <w:szCs w:val="21"/>
              </w:rPr>
              <w:t>4.交互平板表面玻璃采用高强度钢化玻璃，具备防眩光效果，硬度可达莫氏7级,表面强度≥100Mpa。</w:t>
            </w:r>
          </w:p>
          <w:p w14:paraId="669937BB">
            <w:pPr>
              <w:pStyle w:val="2"/>
              <w:ind w:right="105"/>
              <w:rPr>
                <w:rFonts w:ascii="宋体" w:hAnsi="宋体" w:eastAsia="宋体" w:cs="宋体"/>
                <w:color w:val="auto"/>
                <w:sz w:val="21"/>
                <w:szCs w:val="21"/>
              </w:rPr>
            </w:pPr>
            <w:r>
              <w:rPr>
                <w:rFonts w:ascii="宋体" w:hAnsi="宋体" w:eastAsia="宋体" w:cs="宋体"/>
                <w:color w:val="auto"/>
                <w:sz w:val="21"/>
                <w:szCs w:val="21"/>
              </w:rPr>
              <w:t>5.整机在Windows与Android系统下均支持不少于20点同时触控及书写</w:t>
            </w:r>
            <w:r>
              <w:rPr>
                <w:rFonts w:hint="eastAsia" w:ascii="宋体" w:hAnsi="宋体" w:eastAsia="宋体" w:cs="宋体"/>
                <w:color w:val="auto"/>
                <w:sz w:val="21"/>
                <w:szCs w:val="21"/>
              </w:rPr>
              <w:t>。</w:t>
            </w:r>
          </w:p>
          <w:p w14:paraId="5CDE33C8">
            <w:pPr>
              <w:pStyle w:val="2"/>
              <w:ind w:right="105"/>
              <w:rPr>
                <w:rFonts w:ascii="宋体" w:hAnsi="宋体" w:eastAsia="宋体" w:cs="宋体"/>
                <w:color w:val="auto"/>
                <w:sz w:val="21"/>
                <w:szCs w:val="21"/>
              </w:rPr>
            </w:pPr>
            <w:r>
              <w:rPr>
                <w:rFonts w:ascii="宋体" w:hAnsi="宋体" w:eastAsia="宋体" w:cs="宋体"/>
                <w:color w:val="auto"/>
                <w:sz w:val="21"/>
                <w:szCs w:val="21"/>
              </w:rPr>
              <w:t>6.红外技术遵循标准 HID 免驱协议,Window7/8/10/Mac os/Linux/ 国产化系统下自动识别,无需额外安装驱动程序。</w:t>
            </w:r>
          </w:p>
          <w:p w14:paraId="595CB4DE">
            <w:pPr>
              <w:pStyle w:val="2"/>
              <w:ind w:right="105"/>
              <w:rPr>
                <w:rFonts w:ascii="宋体" w:hAnsi="宋体" w:eastAsia="宋体" w:cs="宋体"/>
                <w:color w:val="auto"/>
                <w:sz w:val="21"/>
                <w:szCs w:val="21"/>
              </w:rPr>
            </w:pPr>
            <w:r>
              <w:rPr>
                <w:rFonts w:ascii="宋体" w:hAnsi="宋体" w:eastAsia="宋体" w:cs="宋体"/>
                <w:color w:val="auto"/>
                <w:sz w:val="21"/>
                <w:szCs w:val="21"/>
              </w:rPr>
              <w:t>7.书写保障：当屏幕被异物遮挡或某一条触摸边框完全失灵，仍可以正常书写、操作。</w:t>
            </w:r>
          </w:p>
          <w:p w14:paraId="32EF37A8">
            <w:pPr>
              <w:pStyle w:val="2"/>
              <w:ind w:right="105"/>
              <w:rPr>
                <w:rFonts w:ascii="宋体" w:hAnsi="宋体" w:eastAsia="宋体" w:cs="宋体"/>
                <w:color w:val="auto"/>
                <w:sz w:val="21"/>
                <w:szCs w:val="21"/>
              </w:rPr>
            </w:pPr>
            <w:r>
              <w:rPr>
                <w:rFonts w:ascii="宋体" w:hAnsi="宋体" w:eastAsia="宋体" w:cs="宋体"/>
                <w:color w:val="auto"/>
                <w:sz w:val="21"/>
                <w:szCs w:val="21"/>
              </w:rPr>
              <w:t>二、嵌入式系统参数要求：</w:t>
            </w:r>
          </w:p>
          <w:p w14:paraId="0FD3A0D8">
            <w:pPr>
              <w:pStyle w:val="2"/>
              <w:ind w:right="105"/>
              <w:rPr>
                <w:rFonts w:ascii="宋体" w:hAnsi="宋体" w:eastAsia="宋体" w:cs="宋体"/>
                <w:color w:val="auto"/>
                <w:sz w:val="21"/>
                <w:szCs w:val="21"/>
              </w:rPr>
            </w:pPr>
            <w:r>
              <w:rPr>
                <w:rFonts w:ascii="宋体" w:hAnsi="宋体" w:eastAsia="宋体" w:cs="宋体"/>
                <w:color w:val="auto"/>
                <w:sz w:val="21"/>
                <w:szCs w:val="21"/>
              </w:rPr>
              <w:t>1.内置嵌入式安卓系统版本不低于11.0，内存≥2GB，存储空间≥8GB。</w:t>
            </w:r>
          </w:p>
          <w:p w14:paraId="365D67D5">
            <w:pPr>
              <w:pStyle w:val="2"/>
              <w:ind w:right="105"/>
              <w:rPr>
                <w:rFonts w:ascii="宋体" w:hAnsi="宋体" w:eastAsia="宋体" w:cs="宋体"/>
                <w:color w:val="auto"/>
                <w:sz w:val="21"/>
                <w:szCs w:val="21"/>
              </w:rPr>
            </w:pPr>
            <w:r>
              <w:rPr>
                <w:rFonts w:ascii="宋体" w:hAnsi="宋体" w:eastAsia="宋体" w:cs="宋体"/>
                <w:color w:val="auto"/>
                <w:sz w:val="21"/>
                <w:szCs w:val="21"/>
              </w:rPr>
              <w:t>3.为方便老师使用，触摸中控菜单上的通道信号源支持自定义。</w:t>
            </w:r>
          </w:p>
          <w:p w14:paraId="17AD8623">
            <w:pPr>
              <w:pStyle w:val="2"/>
              <w:ind w:right="105"/>
              <w:rPr>
                <w:rFonts w:ascii="宋体" w:hAnsi="宋体" w:eastAsia="宋体" w:cs="宋体"/>
                <w:color w:val="auto"/>
                <w:sz w:val="21"/>
                <w:szCs w:val="21"/>
              </w:rPr>
            </w:pPr>
            <w:r>
              <w:rPr>
                <w:rFonts w:ascii="宋体" w:hAnsi="宋体" w:eastAsia="宋体" w:cs="宋体"/>
                <w:color w:val="auto"/>
                <w:sz w:val="21"/>
                <w:szCs w:val="21"/>
              </w:rPr>
              <w:t>4.智能交互平板双侧快捷键支持自定义功能。</w:t>
            </w:r>
          </w:p>
          <w:p w14:paraId="5C8C68E1">
            <w:pPr>
              <w:pStyle w:val="2"/>
              <w:ind w:right="105"/>
              <w:rPr>
                <w:rFonts w:ascii="宋体" w:hAnsi="宋体" w:eastAsia="宋体" w:cs="宋体"/>
                <w:color w:val="auto"/>
                <w:sz w:val="21"/>
                <w:szCs w:val="21"/>
              </w:rPr>
            </w:pPr>
            <w:r>
              <w:rPr>
                <w:rFonts w:ascii="宋体" w:hAnsi="宋体" w:eastAsia="宋体" w:cs="宋体"/>
                <w:color w:val="auto"/>
                <w:sz w:val="21"/>
                <w:szCs w:val="21"/>
              </w:rPr>
              <w:t>5.为满足教学场景使用需求，支持屏幕下移，屏幕下移后仍可进行触控、书写等操作 。</w:t>
            </w:r>
          </w:p>
          <w:p w14:paraId="0867386F">
            <w:pPr>
              <w:pStyle w:val="2"/>
              <w:ind w:right="105"/>
              <w:rPr>
                <w:rFonts w:ascii="宋体" w:hAnsi="宋体" w:eastAsia="宋体" w:cs="宋体"/>
                <w:color w:val="auto"/>
                <w:sz w:val="21"/>
                <w:szCs w:val="21"/>
              </w:rPr>
            </w:pPr>
            <w:r>
              <w:rPr>
                <w:rFonts w:ascii="宋体" w:hAnsi="宋体" w:eastAsia="宋体" w:cs="宋体"/>
                <w:color w:val="auto"/>
                <w:sz w:val="21"/>
                <w:szCs w:val="21"/>
              </w:rPr>
              <w:t>6.为方便教师使用，在双系统下提供悬浮菜单。</w:t>
            </w:r>
          </w:p>
          <w:p w14:paraId="02A1E2C2">
            <w:pPr>
              <w:pStyle w:val="2"/>
              <w:ind w:right="105"/>
              <w:rPr>
                <w:rFonts w:ascii="宋体" w:hAnsi="宋体" w:eastAsia="宋体" w:cs="宋体"/>
                <w:color w:val="auto"/>
                <w:sz w:val="21"/>
                <w:szCs w:val="21"/>
              </w:rPr>
            </w:pPr>
            <w:r>
              <w:rPr>
                <w:rFonts w:ascii="宋体" w:hAnsi="宋体" w:eastAsia="宋体" w:cs="宋体"/>
                <w:color w:val="auto"/>
                <w:sz w:val="21"/>
                <w:szCs w:val="21"/>
              </w:rPr>
              <w:t>7.具备两种笔头直径，无需切换菜单，可自动识别粗细笔迹。</w:t>
            </w:r>
          </w:p>
          <w:p w14:paraId="44A2A55B">
            <w:pPr>
              <w:pStyle w:val="2"/>
              <w:ind w:right="105"/>
              <w:rPr>
                <w:rFonts w:ascii="宋体" w:hAnsi="宋体" w:eastAsia="宋体" w:cs="宋体"/>
                <w:color w:val="auto"/>
                <w:sz w:val="21"/>
                <w:szCs w:val="21"/>
              </w:rPr>
            </w:pPr>
            <w:r>
              <w:rPr>
                <w:rFonts w:ascii="宋体" w:hAnsi="宋体" w:eastAsia="宋体" w:cs="宋体"/>
                <w:color w:val="auto"/>
                <w:sz w:val="21"/>
                <w:szCs w:val="21"/>
              </w:rPr>
              <w:t>8.可调出正在运行的软件，可进行切换或结束等操作。</w:t>
            </w:r>
          </w:p>
          <w:p w14:paraId="4A14182B">
            <w:pPr>
              <w:pStyle w:val="2"/>
              <w:ind w:right="105"/>
              <w:rPr>
                <w:rFonts w:ascii="宋体" w:hAnsi="宋体" w:eastAsia="宋体" w:cs="宋体"/>
                <w:color w:val="auto"/>
                <w:sz w:val="21"/>
                <w:szCs w:val="21"/>
              </w:rPr>
            </w:pPr>
            <w:r>
              <w:rPr>
                <w:rFonts w:ascii="宋体" w:hAnsi="宋体" w:eastAsia="宋体" w:cs="宋体"/>
                <w:color w:val="auto"/>
                <w:sz w:val="21"/>
                <w:szCs w:val="21"/>
              </w:rPr>
              <w:t>三、整机要求：</w:t>
            </w:r>
          </w:p>
          <w:p w14:paraId="6C8662A1">
            <w:pPr>
              <w:pStyle w:val="2"/>
              <w:ind w:right="105"/>
              <w:rPr>
                <w:rFonts w:ascii="宋体" w:hAnsi="宋体" w:eastAsia="宋体" w:cs="宋体"/>
                <w:color w:val="auto"/>
                <w:sz w:val="21"/>
                <w:szCs w:val="21"/>
              </w:rPr>
            </w:pPr>
            <w:r>
              <w:rPr>
                <w:rFonts w:ascii="宋体" w:hAnsi="宋体" w:eastAsia="宋体" w:cs="宋体"/>
                <w:color w:val="auto"/>
                <w:sz w:val="21"/>
                <w:szCs w:val="21"/>
              </w:rPr>
              <w:t>1.前置接口具有翻转式防护盖板，且盖板高度不小于4CM,保证用户使用安全的同时，也可防止前置接口粉尘堆积，避免造成损坏。</w:t>
            </w:r>
          </w:p>
          <w:p w14:paraId="24D841A1">
            <w:pPr>
              <w:pStyle w:val="2"/>
              <w:ind w:right="105"/>
              <w:rPr>
                <w:rFonts w:ascii="宋体" w:hAnsi="宋体" w:eastAsia="宋体" w:cs="宋体"/>
                <w:color w:val="auto"/>
                <w:sz w:val="21"/>
                <w:szCs w:val="21"/>
              </w:rPr>
            </w:pPr>
            <w:r>
              <w:rPr>
                <w:rFonts w:ascii="宋体" w:hAnsi="宋体" w:eastAsia="宋体" w:cs="宋体"/>
                <w:color w:val="auto"/>
                <w:sz w:val="21"/>
                <w:szCs w:val="21"/>
              </w:rPr>
              <w:t>2.为满足课堂视听需求，交互平板采用多声道组合音响，前置双扬声器功率高于30W。</w:t>
            </w:r>
          </w:p>
          <w:p w14:paraId="385ABC14">
            <w:pPr>
              <w:pStyle w:val="2"/>
              <w:ind w:right="105"/>
              <w:rPr>
                <w:rFonts w:ascii="宋体" w:hAnsi="宋体" w:eastAsia="宋体" w:cs="宋体"/>
                <w:color w:val="auto"/>
                <w:sz w:val="21"/>
                <w:szCs w:val="21"/>
              </w:rPr>
            </w:pPr>
            <w:r>
              <w:rPr>
                <w:rFonts w:ascii="宋体" w:hAnsi="宋体" w:eastAsia="宋体" w:cs="宋体"/>
                <w:color w:val="auto"/>
                <w:sz w:val="21"/>
                <w:szCs w:val="21"/>
              </w:rPr>
              <w:t>3.为保证教室声学环境的扩声效果，距离平板扬声器10米处声压级</w:t>
            </w:r>
            <w:r>
              <w:rPr>
                <w:rFonts w:hint="eastAsia" w:ascii="宋体" w:hAnsi="宋体" w:eastAsia="宋体" w:cs="宋体"/>
                <w:color w:val="auto"/>
                <w:sz w:val="21"/>
                <w:szCs w:val="21"/>
              </w:rPr>
              <w:t>≥70</w:t>
            </w:r>
            <w:r>
              <w:rPr>
                <w:rFonts w:ascii="宋体" w:hAnsi="宋体" w:eastAsia="宋体" w:cs="宋体"/>
                <w:color w:val="auto"/>
                <w:sz w:val="21"/>
                <w:szCs w:val="21"/>
              </w:rPr>
              <w:t>dB。</w:t>
            </w:r>
          </w:p>
          <w:p w14:paraId="75201914">
            <w:pPr>
              <w:pStyle w:val="2"/>
              <w:ind w:right="105"/>
              <w:rPr>
                <w:rFonts w:ascii="宋体" w:hAnsi="宋体" w:eastAsia="宋体" w:cs="宋体"/>
                <w:color w:val="auto"/>
                <w:sz w:val="21"/>
                <w:szCs w:val="21"/>
              </w:rPr>
            </w:pPr>
            <w:r>
              <w:rPr>
                <w:rFonts w:ascii="宋体" w:hAnsi="宋体" w:eastAsia="宋体" w:cs="宋体"/>
                <w:color w:val="auto"/>
                <w:sz w:val="21"/>
                <w:szCs w:val="21"/>
              </w:rPr>
              <w:t>4.整机屏体无需操作即可实现蓝光防护，具备物理防蓝光（过滤蓝光）功能，有效抗蓝光、防眩光。</w:t>
            </w:r>
          </w:p>
          <w:p w14:paraId="3CA38D43">
            <w:pPr>
              <w:pStyle w:val="2"/>
              <w:ind w:right="105"/>
              <w:rPr>
                <w:rFonts w:ascii="宋体" w:hAnsi="宋体" w:eastAsia="宋体" w:cs="宋体"/>
                <w:color w:val="auto"/>
                <w:sz w:val="21"/>
                <w:szCs w:val="21"/>
              </w:rPr>
            </w:pPr>
            <w:r>
              <w:rPr>
                <w:rFonts w:ascii="宋体" w:hAnsi="宋体" w:eastAsia="宋体" w:cs="宋体"/>
                <w:color w:val="auto"/>
                <w:sz w:val="21"/>
                <w:szCs w:val="21"/>
              </w:rPr>
              <w:t>5.整机具备智能护眼书写+护眼模式双重护眼功能，护眼时可做到屏幕书写过程中逐步降低整机背光亮度和色温。</w:t>
            </w:r>
          </w:p>
          <w:p w14:paraId="74FC8ED4">
            <w:pPr>
              <w:pStyle w:val="2"/>
              <w:ind w:right="105"/>
              <w:rPr>
                <w:rFonts w:ascii="宋体" w:hAnsi="宋体" w:eastAsia="宋体" w:cs="宋体"/>
                <w:color w:val="auto"/>
                <w:sz w:val="21"/>
                <w:szCs w:val="21"/>
              </w:rPr>
            </w:pPr>
            <w:r>
              <w:rPr>
                <w:rFonts w:ascii="宋体" w:hAnsi="宋体" w:eastAsia="宋体" w:cs="宋体"/>
                <w:color w:val="auto"/>
                <w:sz w:val="21"/>
                <w:szCs w:val="21"/>
              </w:rPr>
              <w:t>6.为充分满足用户实际使用需求，前置面板需具有以下输入接口：不少于1路标准HDMI接口、2路双通道USB3.0接口及1路USB Type-C接口。</w:t>
            </w:r>
          </w:p>
          <w:p w14:paraId="6D0E69CF">
            <w:pPr>
              <w:pStyle w:val="2"/>
              <w:ind w:right="105"/>
              <w:rPr>
                <w:rFonts w:ascii="宋体" w:hAnsi="宋体" w:eastAsia="宋体" w:cs="宋体"/>
                <w:color w:val="auto"/>
                <w:sz w:val="21"/>
                <w:szCs w:val="21"/>
              </w:rPr>
            </w:pPr>
            <w:r>
              <w:rPr>
                <w:rFonts w:ascii="宋体" w:hAnsi="宋体" w:eastAsia="宋体" w:cs="宋体"/>
                <w:color w:val="auto"/>
                <w:sz w:val="21"/>
                <w:szCs w:val="21"/>
              </w:rPr>
              <w:t>7.整机后置接口：≥1路HDMI输入接口、≥1路</w:t>
            </w:r>
            <w:r>
              <w:rPr>
                <w:rFonts w:hint="eastAsia" w:ascii="宋体" w:hAnsi="宋体" w:eastAsia="宋体" w:cs="宋体"/>
                <w:color w:val="auto"/>
                <w:sz w:val="21"/>
                <w:szCs w:val="21"/>
              </w:rPr>
              <w:t>RJ45</w:t>
            </w:r>
            <w:r>
              <w:rPr>
                <w:rFonts w:ascii="宋体" w:hAnsi="宋体" w:eastAsia="宋体" w:cs="宋体"/>
                <w:color w:val="auto"/>
                <w:sz w:val="21"/>
                <w:szCs w:val="21"/>
              </w:rPr>
              <w:t>接口、≥1路</w:t>
            </w:r>
            <w:r>
              <w:rPr>
                <w:rFonts w:hint="eastAsia" w:ascii="宋体" w:hAnsi="宋体" w:eastAsia="宋体" w:cs="宋体"/>
                <w:color w:val="auto"/>
                <w:sz w:val="21"/>
                <w:szCs w:val="21"/>
              </w:rPr>
              <w:t>RS232</w:t>
            </w:r>
            <w:r>
              <w:rPr>
                <w:rFonts w:ascii="宋体" w:hAnsi="宋体" w:eastAsia="宋体" w:cs="宋体"/>
                <w:color w:val="auto"/>
                <w:sz w:val="21"/>
                <w:szCs w:val="21"/>
              </w:rPr>
              <w:t>接口、≥1路USB Type-B触控接口、≥1路VGA等。</w:t>
            </w:r>
          </w:p>
          <w:p w14:paraId="2BF3F805">
            <w:pPr>
              <w:pStyle w:val="2"/>
              <w:ind w:right="105"/>
              <w:rPr>
                <w:rFonts w:ascii="宋体" w:hAnsi="宋体" w:eastAsia="宋体" w:cs="宋体"/>
                <w:color w:val="auto"/>
                <w:sz w:val="21"/>
                <w:szCs w:val="21"/>
              </w:rPr>
            </w:pPr>
            <w:r>
              <w:rPr>
                <w:rFonts w:ascii="宋体" w:hAnsi="宋体" w:eastAsia="宋体" w:cs="宋体"/>
                <w:color w:val="auto"/>
                <w:sz w:val="21"/>
                <w:szCs w:val="21"/>
              </w:rPr>
              <w:t>8.通电关机状态下交互平板与外接电脑、机顶盒等设备通过HDMI/VGA连接时，识别到外接设备的输入信号后自动开机。</w:t>
            </w:r>
          </w:p>
          <w:p w14:paraId="2B0FC40D">
            <w:pPr>
              <w:pStyle w:val="2"/>
              <w:ind w:right="105"/>
              <w:rPr>
                <w:rFonts w:ascii="宋体" w:hAnsi="宋体" w:eastAsia="宋体" w:cs="宋体"/>
                <w:color w:val="auto"/>
                <w:sz w:val="21"/>
                <w:szCs w:val="21"/>
              </w:rPr>
            </w:pPr>
            <w:r>
              <w:rPr>
                <w:rFonts w:ascii="宋体" w:hAnsi="宋体" w:eastAsia="宋体" w:cs="宋体"/>
                <w:color w:val="auto"/>
                <w:sz w:val="21"/>
                <w:szCs w:val="21"/>
              </w:rPr>
              <w:t>9.交互平板与外接电脑设备连接时，支持以一根USB线直接读取插在交互平板上的U盘，并识别连接至交互平板的翻页笔、无线键鼠等USB设备。</w:t>
            </w:r>
          </w:p>
          <w:p w14:paraId="51F8DE1D">
            <w:pPr>
              <w:pStyle w:val="2"/>
              <w:ind w:right="105"/>
              <w:rPr>
                <w:rFonts w:ascii="宋体" w:hAnsi="宋体" w:eastAsia="宋体" w:cs="宋体"/>
                <w:color w:val="auto"/>
                <w:sz w:val="21"/>
                <w:szCs w:val="21"/>
              </w:rPr>
            </w:pPr>
            <w:r>
              <w:rPr>
                <w:rFonts w:ascii="宋体" w:hAnsi="宋体" w:eastAsia="宋体" w:cs="宋体"/>
                <w:color w:val="auto"/>
                <w:sz w:val="21"/>
                <w:szCs w:val="21"/>
              </w:rPr>
              <w:t>10.整机前置内置无线网络</w:t>
            </w:r>
            <w:r>
              <w:rPr>
                <w:rFonts w:hint="eastAsia" w:ascii="宋体" w:hAnsi="宋体" w:eastAsia="宋体" w:cs="宋体"/>
                <w:color w:val="auto"/>
                <w:sz w:val="21"/>
                <w:szCs w:val="21"/>
              </w:rPr>
              <w:t>,</w:t>
            </w:r>
            <w:r>
              <w:rPr>
                <w:rFonts w:ascii="宋体" w:hAnsi="宋体" w:eastAsia="宋体" w:cs="宋体"/>
                <w:color w:val="auto"/>
                <w:sz w:val="21"/>
                <w:szCs w:val="21"/>
              </w:rPr>
              <w:t xml:space="preserve">网卡可实现 Wi-Fi 无线上网连接和 AP 无线热点发射；Wi-Fi 和 AP 热点均支持频2.4GHz/5GHz ，Wi-Fi 和 AP 热点工作距离≥10m。 </w:t>
            </w:r>
          </w:p>
          <w:p w14:paraId="2742A6D0">
            <w:pPr>
              <w:pStyle w:val="2"/>
              <w:ind w:right="105"/>
              <w:rPr>
                <w:rFonts w:ascii="宋体" w:hAnsi="宋体" w:eastAsia="宋体" w:cs="宋体"/>
                <w:color w:val="auto"/>
                <w:sz w:val="21"/>
                <w:szCs w:val="21"/>
              </w:rPr>
            </w:pPr>
            <w:r>
              <w:rPr>
                <w:rFonts w:ascii="宋体" w:hAnsi="宋体" w:eastAsia="宋体" w:cs="宋体"/>
                <w:color w:val="auto"/>
                <w:sz w:val="21"/>
                <w:szCs w:val="21"/>
              </w:rPr>
              <w:t>11.交互平板板具有一体化摄像头，像素不低于1300万，水平视角 120°， 拾音单元有效保真拾音距离可达12米，高清摄像头模组支持远程巡课系统，并可对接人脸识别软件进行使用；</w:t>
            </w:r>
          </w:p>
          <w:p w14:paraId="54A9369F">
            <w:pPr>
              <w:pStyle w:val="2"/>
              <w:ind w:right="105"/>
              <w:rPr>
                <w:rFonts w:ascii="宋体" w:hAnsi="宋体" w:eastAsia="宋体" w:cs="宋体"/>
                <w:color w:val="auto"/>
                <w:sz w:val="21"/>
                <w:szCs w:val="21"/>
              </w:rPr>
            </w:pPr>
            <w:r>
              <w:rPr>
                <w:rFonts w:ascii="宋体" w:hAnsi="宋体" w:eastAsia="宋体" w:cs="宋体"/>
                <w:color w:val="auto"/>
                <w:sz w:val="21"/>
                <w:szCs w:val="21"/>
              </w:rPr>
              <w:t>12.为提高授课效率，开机速度≤</w:t>
            </w:r>
            <w:r>
              <w:rPr>
                <w:rFonts w:hint="eastAsia" w:ascii="宋体" w:hAnsi="宋体" w:eastAsia="宋体" w:cs="宋体"/>
                <w:color w:val="auto"/>
                <w:sz w:val="21"/>
                <w:szCs w:val="21"/>
              </w:rPr>
              <w:t>10</w:t>
            </w:r>
            <w:r>
              <w:rPr>
                <w:rFonts w:ascii="宋体" w:hAnsi="宋体" w:eastAsia="宋体" w:cs="宋体"/>
                <w:color w:val="auto"/>
                <w:sz w:val="21"/>
                <w:szCs w:val="21"/>
              </w:rPr>
              <w:t>秒。</w:t>
            </w:r>
          </w:p>
          <w:p w14:paraId="5048E526">
            <w:pPr>
              <w:pStyle w:val="2"/>
              <w:ind w:right="105"/>
              <w:rPr>
                <w:rFonts w:ascii="宋体" w:hAnsi="宋体" w:eastAsia="宋体" w:cs="宋体"/>
                <w:color w:val="auto"/>
                <w:sz w:val="21"/>
                <w:szCs w:val="21"/>
              </w:rPr>
            </w:pPr>
            <w:r>
              <w:rPr>
                <w:rFonts w:ascii="宋体" w:hAnsi="宋体" w:eastAsia="宋体" w:cs="宋体"/>
                <w:color w:val="auto"/>
                <w:sz w:val="21"/>
                <w:szCs w:val="21"/>
              </w:rPr>
              <w:t>四、内置电脑参数要求：</w:t>
            </w:r>
          </w:p>
          <w:p w14:paraId="37120507">
            <w:pPr>
              <w:pStyle w:val="2"/>
              <w:ind w:right="105"/>
              <w:rPr>
                <w:rFonts w:ascii="宋体" w:hAnsi="宋体" w:eastAsia="宋体" w:cs="宋体"/>
                <w:color w:val="auto"/>
                <w:sz w:val="21"/>
                <w:szCs w:val="21"/>
              </w:rPr>
            </w:pPr>
            <w:r>
              <w:rPr>
                <w:rFonts w:ascii="宋体" w:hAnsi="宋体" w:eastAsia="宋体" w:cs="宋体"/>
                <w:color w:val="auto"/>
                <w:sz w:val="21"/>
                <w:szCs w:val="21"/>
              </w:rPr>
              <w:t>1.采用插拔式模块化电脑，采用OPS-C 标准的80pin针口设计，屏体与插拔式电脑无单独连接线。</w:t>
            </w:r>
          </w:p>
          <w:p w14:paraId="397C70BC">
            <w:pPr>
              <w:pStyle w:val="2"/>
              <w:ind w:right="105"/>
              <w:rPr>
                <w:rFonts w:ascii="宋体" w:hAnsi="宋体" w:eastAsia="宋体" w:cs="宋体"/>
                <w:color w:val="auto"/>
                <w:sz w:val="21"/>
                <w:szCs w:val="21"/>
              </w:rPr>
            </w:pPr>
            <w:r>
              <w:rPr>
                <w:rFonts w:ascii="宋体" w:hAnsi="宋体" w:eastAsia="宋体" w:cs="宋体"/>
                <w:color w:val="auto"/>
                <w:sz w:val="21"/>
                <w:szCs w:val="21"/>
              </w:rPr>
              <w:t>内置电脑CPU不低于Intel 第十一代i5；内存：≥8G DDR4;硬盘：≥256G固态硬盘。具备不少于5个USB接口。</w:t>
            </w:r>
          </w:p>
        </w:tc>
        <w:tc>
          <w:tcPr>
            <w:tcW w:w="667" w:type="dxa"/>
            <w:vAlign w:val="center"/>
          </w:tcPr>
          <w:p w14:paraId="43C4F378">
            <w:pPr>
              <w:pStyle w:val="2"/>
              <w:ind w:right="105"/>
              <w:rPr>
                <w:color w:val="auto"/>
                <w:sz w:val="21"/>
                <w:szCs w:val="21"/>
              </w:rPr>
            </w:pPr>
            <w:r>
              <w:rPr>
                <w:rFonts w:hint="eastAsia"/>
                <w:color w:val="auto"/>
                <w:sz w:val="21"/>
                <w:szCs w:val="21"/>
              </w:rPr>
              <w:t>台</w:t>
            </w:r>
          </w:p>
        </w:tc>
        <w:tc>
          <w:tcPr>
            <w:tcW w:w="644" w:type="dxa"/>
            <w:vAlign w:val="center"/>
          </w:tcPr>
          <w:p w14:paraId="3477E573">
            <w:pPr>
              <w:pStyle w:val="2"/>
              <w:ind w:right="105"/>
              <w:rPr>
                <w:rFonts w:hint="default" w:eastAsiaTheme="minorEastAsia"/>
                <w:color w:val="auto"/>
                <w:sz w:val="21"/>
                <w:szCs w:val="21"/>
                <w:lang w:val="en-US" w:eastAsia="zh-CN"/>
              </w:rPr>
            </w:pPr>
            <w:r>
              <w:rPr>
                <w:rFonts w:hint="eastAsia"/>
                <w:color w:val="auto"/>
                <w:sz w:val="21"/>
                <w:szCs w:val="21"/>
                <w:lang w:val="en-US" w:eastAsia="zh-CN"/>
              </w:rPr>
              <w:t>47</w:t>
            </w:r>
          </w:p>
        </w:tc>
      </w:tr>
      <w:tr w14:paraId="08660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0" w:type="dxa"/>
            <w:vAlign w:val="center"/>
          </w:tcPr>
          <w:p w14:paraId="093AF750">
            <w:pPr>
              <w:pStyle w:val="2"/>
              <w:ind w:right="105"/>
              <w:rPr>
                <w:color w:val="auto"/>
                <w:sz w:val="21"/>
                <w:szCs w:val="21"/>
              </w:rPr>
            </w:pPr>
            <w:r>
              <w:rPr>
                <w:rFonts w:hint="eastAsia"/>
                <w:color w:val="auto"/>
                <w:sz w:val="21"/>
                <w:szCs w:val="21"/>
              </w:rPr>
              <w:t>2</w:t>
            </w:r>
          </w:p>
        </w:tc>
        <w:tc>
          <w:tcPr>
            <w:tcW w:w="952" w:type="dxa"/>
            <w:vAlign w:val="center"/>
          </w:tcPr>
          <w:p w14:paraId="382B99CF">
            <w:pPr>
              <w:pStyle w:val="2"/>
              <w:ind w:right="105"/>
              <w:rPr>
                <w:color w:val="auto"/>
                <w:sz w:val="21"/>
                <w:szCs w:val="21"/>
              </w:rPr>
            </w:pPr>
            <w:r>
              <w:rPr>
                <w:rFonts w:hint="eastAsia"/>
                <w:color w:val="auto"/>
                <w:sz w:val="21"/>
                <w:szCs w:val="21"/>
              </w:rPr>
              <w:t>备授课系统</w:t>
            </w:r>
          </w:p>
        </w:tc>
        <w:tc>
          <w:tcPr>
            <w:tcW w:w="6000" w:type="dxa"/>
            <w:vAlign w:val="center"/>
          </w:tcPr>
          <w:p w14:paraId="24F15442">
            <w:pPr>
              <w:pStyle w:val="2"/>
              <w:ind w:right="105"/>
              <w:rPr>
                <w:rFonts w:ascii="宋体" w:hAnsi="宋体" w:eastAsia="宋体" w:cs="宋体"/>
                <w:color w:val="auto"/>
                <w:sz w:val="21"/>
                <w:szCs w:val="21"/>
              </w:rPr>
            </w:pPr>
            <w:r>
              <w:rPr>
                <w:rFonts w:hint="eastAsia" w:ascii="宋体" w:hAnsi="宋体" w:eastAsia="宋体" w:cs="宋体"/>
                <w:color w:val="auto"/>
                <w:sz w:val="21"/>
                <w:szCs w:val="21"/>
              </w:rPr>
              <w:t>一</w:t>
            </w:r>
            <w:r>
              <w:rPr>
                <w:rFonts w:ascii="宋体" w:hAnsi="宋体" w:eastAsia="宋体" w:cs="宋体"/>
                <w:color w:val="auto"/>
                <w:sz w:val="21"/>
                <w:szCs w:val="21"/>
              </w:rPr>
              <w:t>、白板软件要求：</w:t>
            </w:r>
          </w:p>
          <w:p w14:paraId="1F032E4E">
            <w:pPr>
              <w:pStyle w:val="2"/>
              <w:ind w:right="105"/>
              <w:rPr>
                <w:rFonts w:ascii="宋体" w:hAnsi="宋体" w:eastAsia="宋体" w:cs="宋体"/>
                <w:color w:val="auto"/>
                <w:sz w:val="21"/>
                <w:szCs w:val="21"/>
              </w:rPr>
            </w:pPr>
            <w:r>
              <w:rPr>
                <w:rFonts w:ascii="宋体" w:hAnsi="宋体" w:eastAsia="宋体" w:cs="宋体"/>
                <w:color w:val="auto"/>
                <w:sz w:val="21"/>
                <w:szCs w:val="21"/>
              </w:rPr>
              <w:t>1.支持免登录直接使用本地教学工具，支持账号、U盘和扫码登录；老师的每个个人账号提供不少于50G云平台存储空间，无需用户通过完成特定任务才能获取，方便老师存储资料；</w:t>
            </w:r>
          </w:p>
          <w:p w14:paraId="1E1E37DF">
            <w:pPr>
              <w:pStyle w:val="2"/>
              <w:ind w:right="105"/>
              <w:rPr>
                <w:rFonts w:ascii="宋体" w:hAnsi="宋体" w:eastAsia="宋体" w:cs="宋体"/>
                <w:color w:val="auto"/>
                <w:sz w:val="21"/>
                <w:szCs w:val="21"/>
              </w:rPr>
            </w:pPr>
            <w:r>
              <w:rPr>
                <w:rFonts w:ascii="宋体" w:hAnsi="宋体" w:eastAsia="宋体" w:cs="宋体"/>
                <w:color w:val="auto"/>
                <w:sz w:val="21"/>
                <w:szCs w:val="21"/>
              </w:rPr>
              <w:t>2.软件提供与学科相关的页面背景；</w:t>
            </w:r>
          </w:p>
          <w:p w14:paraId="7C804704">
            <w:pPr>
              <w:pStyle w:val="2"/>
              <w:ind w:right="105"/>
              <w:rPr>
                <w:rFonts w:ascii="宋体" w:hAnsi="宋体" w:eastAsia="宋体" w:cs="宋体"/>
                <w:color w:val="auto"/>
                <w:sz w:val="21"/>
                <w:szCs w:val="21"/>
              </w:rPr>
            </w:pPr>
            <w:r>
              <w:rPr>
                <w:rFonts w:ascii="宋体" w:hAnsi="宋体" w:eastAsia="宋体" w:cs="宋体"/>
                <w:color w:val="auto"/>
                <w:sz w:val="21"/>
                <w:szCs w:val="21"/>
              </w:rPr>
              <w:t>4.路径特效设置：可对页面对象设置直线路径与自定义路径动作；</w:t>
            </w:r>
          </w:p>
          <w:p w14:paraId="2314BC96">
            <w:pPr>
              <w:pStyle w:val="2"/>
              <w:ind w:right="105"/>
              <w:rPr>
                <w:rFonts w:ascii="宋体" w:hAnsi="宋体" w:eastAsia="宋体" w:cs="宋体"/>
                <w:color w:val="auto"/>
                <w:sz w:val="21"/>
                <w:szCs w:val="21"/>
              </w:rPr>
            </w:pPr>
            <w:r>
              <w:rPr>
                <w:rFonts w:ascii="宋体" w:hAnsi="宋体" w:eastAsia="宋体" w:cs="宋体"/>
                <w:color w:val="auto"/>
                <w:sz w:val="21"/>
                <w:szCs w:val="21"/>
              </w:rPr>
              <w:t>5.图片设置：支持图片效果设置，如圆形对角、椭圆框架、矩形阴影等，支持图片透明度设置，可直接进行图片替换；</w:t>
            </w:r>
          </w:p>
          <w:p w14:paraId="4A89C4CD">
            <w:pPr>
              <w:pStyle w:val="2"/>
              <w:ind w:right="105"/>
              <w:rPr>
                <w:rFonts w:ascii="宋体" w:hAnsi="宋体" w:eastAsia="宋体" w:cs="宋体"/>
                <w:color w:val="auto"/>
                <w:sz w:val="21"/>
                <w:szCs w:val="21"/>
              </w:rPr>
            </w:pPr>
            <w:r>
              <w:rPr>
                <w:rFonts w:ascii="宋体" w:hAnsi="宋体" w:eastAsia="宋体" w:cs="宋体"/>
                <w:color w:val="auto"/>
                <w:sz w:val="21"/>
                <w:szCs w:val="21"/>
              </w:rPr>
              <w:t>6.学科工具：提供学科工具，包含语文、数学、英语、物理、化学、生物、地理、历史、音乐、体育、书法等；</w:t>
            </w:r>
          </w:p>
          <w:p w14:paraId="25945754">
            <w:pPr>
              <w:pStyle w:val="2"/>
              <w:ind w:right="105"/>
              <w:rPr>
                <w:rFonts w:ascii="宋体" w:hAnsi="宋体" w:eastAsia="宋体" w:cs="宋体"/>
                <w:color w:val="auto"/>
                <w:sz w:val="21"/>
                <w:szCs w:val="21"/>
              </w:rPr>
            </w:pPr>
            <w:r>
              <w:rPr>
                <w:rFonts w:hint="eastAsia" w:ascii="宋体" w:hAnsi="宋体" w:eastAsia="宋体" w:cs="宋体"/>
                <w:color w:val="auto"/>
                <w:sz w:val="21"/>
                <w:szCs w:val="21"/>
              </w:rPr>
              <w:t>7</w:t>
            </w:r>
            <w:r>
              <w:rPr>
                <w:rFonts w:ascii="宋体" w:hAnsi="宋体" w:eastAsia="宋体" w:cs="宋体"/>
                <w:color w:val="auto"/>
                <w:sz w:val="21"/>
                <w:szCs w:val="21"/>
              </w:rPr>
              <w:t>.书写工具:为方便教师授课板书，提供粉笔、硬笔、笔、纹理笔</w:t>
            </w:r>
            <w:r>
              <w:rPr>
                <w:rFonts w:hint="eastAsia" w:ascii="宋体" w:hAnsi="宋体" w:eastAsia="宋体" w:cs="宋体"/>
                <w:color w:val="auto"/>
                <w:sz w:val="21"/>
                <w:szCs w:val="21"/>
              </w:rPr>
              <w:t>等</w:t>
            </w:r>
            <w:r>
              <w:rPr>
                <w:rFonts w:ascii="宋体" w:hAnsi="宋体" w:eastAsia="宋体" w:cs="宋体"/>
                <w:color w:val="auto"/>
                <w:sz w:val="21"/>
                <w:szCs w:val="21"/>
              </w:rPr>
              <w:t>书写工具；</w:t>
            </w:r>
          </w:p>
          <w:p w14:paraId="5C8825D4">
            <w:pPr>
              <w:pStyle w:val="2"/>
              <w:ind w:right="105"/>
              <w:rPr>
                <w:rFonts w:ascii="宋体" w:hAnsi="宋体" w:eastAsia="宋体" w:cs="宋体"/>
                <w:color w:val="auto"/>
                <w:sz w:val="21"/>
                <w:szCs w:val="21"/>
              </w:rPr>
            </w:pPr>
            <w:r>
              <w:rPr>
                <w:rFonts w:hint="eastAsia" w:ascii="宋体" w:hAnsi="宋体" w:eastAsia="宋体" w:cs="宋体"/>
                <w:color w:val="auto"/>
                <w:sz w:val="21"/>
                <w:szCs w:val="21"/>
              </w:rPr>
              <w:t>8</w:t>
            </w:r>
            <w:r>
              <w:rPr>
                <w:rFonts w:ascii="宋体" w:hAnsi="宋体" w:eastAsia="宋体" w:cs="宋体"/>
                <w:color w:val="auto"/>
                <w:sz w:val="21"/>
                <w:szCs w:val="21"/>
              </w:rPr>
              <w:t xml:space="preserve">.PPT导入可保留原文档中的音频、视频、图片、文字及动画，并可根据需要编辑、修改；支持以原生态的形式插入一个或多个PPT文档，并可在白板软件当中直接打开; </w:t>
            </w:r>
          </w:p>
          <w:p w14:paraId="4F131400">
            <w:pPr>
              <w:pStyle w:val="2"/>
              <w:ind w:right="105"/>
              <w:rPr>
                <w:rFonts w:ascii="宋体" w:hAnsi="宋体" w:eastAsia="宋体" w:cs="宋体"/>
                <w:color w:val="auto"/>
                <w:sz w:val="21"/>
                <w:szCs w:val="21"/>
              </w:rPr>
            </w:pPr>
            <w:r>
              <w:rPr>
                <w:rFonts w:hint="eastAsia" w:ascii="宋体" w:hAnsi="宋体" w:eastAsia="宋体" w:cs="宋体"/>
                <w:color w:val="auto"/>
                <w:sz w:val="21"/>
                <w:szCs w:val="21"/>
              </w:rPr>
              <w:t>9</w:t>
            </w:r>
            <w:r>
              <w:rPr>
                <w:rFonts w:ascii="宋体" w:hAnsi="宋体" w:eastAsia="宋体" w:cs="宋体"/>
                <w:color w:val="auto"/>
                <w:sz w:val="21"/>
                <w:szCs w:val="21"/>
              </w:rPr>
              <w:t>.可同时打开多个白板格式的互动课件，支持课件页面和元素的复制、粘贴，便于课件编辑和演示；</w:t>
            </w:r>
          </w:p>
          <w:p w14:paraId="2F69EEA8">
            <w:pPr>
              <w:pStyle w:val="2"/>
              <w:ind w:right="105"/>
              <w:rPr>
                <w:rFonts w:ascii="宋体" w:hAnsi="宋体" w:eastAsia="宋体" w:cs="宋体"/>
                <w:color w:val="auto"/>
                <w:sz w:val="21"/>
                <w:szCs w:val="21"/>
              </w:rPr>
            </w:pPr>
            <w:r>
              <w:rPr>
                <w:rFonts w:ascii="宋体" w:hAnsi="宋体" w:eastAsia="宋体" w:cs="宋体"/>
                <w:color w:val="auto"/>
                <w:sz w:val="21"/>
                <w:szCs w:val="21"/>
              </w:rPr>
              <w:t>1</w:t>
            </w:r>
            <w:r>
              <w:rPr>
                <w:rFonts w:hint="eastAsia" w:ascii="宋体" w:hAnsi="宋体" w:eastAsia="宋体" w:cs="宋体"/>
                <w:color w:val="auto"/>
                <w:sz w:val="21"/>
                <w:szCs w:val="21"/>
              </w:rPr>
              <w:t>0</w:t>
            </w:r>
            <w:r>
              <w:rPr>
                <w:rFonts w:ascii="宋体" w:hAnsi="宋体" w:eastAsia="宋体" w:cs="宋体"/>
                <w:color w:val="auto"/>
                <w:sz w:val="21"/>
                <w:szCs w:val="21"/>
              </w:rPr>
              <w:t>.课件演示助手可适用于WPS与PPT，打开课件自动启动，支持双侧工具栏位置自定义</w:t>
            </w:r>
            <w:r>
              <w:rPr>
                <w:rFonts w:hint="eastAsia" w:ascii="宋体" w:hAnsi="宋体" w:eastAsia="宋体" w:cs="宋体"/>
                <w:color w:val="auto"/>
                <w:sz w:val="21"/>
                <w:szCs w:val="21"/>
              </w:rPr>
              <w:t>，</w:t>
            </w:r>
            <w:r>
              <w:rPr>
                <w:rFonts w:ascii="宋体" w:hAnsi="宋体" w:eastAsia="宋体" w:cs="宋体"/>
                <w:color w:val="auto"/>
                <w:sz w:val="21"/>
                <w:szCs w:val="21"/>
              </w:rPr>
              <w:t>在不修改的课件格式情况下，支持原文档随时批注</w:t>
            </w:r>
            <w:r>
              <w:rPr>
                <w:rFonts w:hint="eastAsia" w:ascii="宋体" w:hAnsi="宋体" w:eastAsia="宋体" w:cs="宋体"/>
                <w:color w:val="auto"/>
                <w:sz w:val="21"/>
                <w:szCs w:val="21"/>
              </w:rPr>
              <w:t>、</w:t>
            </w:r>
            <w:r>
              <w:rPr>
                <w:rFonts w:ascii="宋体" w:hAnsi="宋体" w:eastAsia="宋体" w:cs="宋体"/>
                <w:color w:val="auto"/>
                <w:sz w:val="21"/>
                <w:szCs w:val="21"/>
              </w:rPr>
              <w:t>擦除。提供</w:t>
            </w:r>
            <w:r>
              <w:rPr>
                <w:rFonts w:hint="eastAsia" w:ascii="宋体" w:hAnsi="宋体" w:eastAsia="宋体" w:cs="宋体"/>
                <w:color w:val="auto"/>
                <w:sz w:val="21"/>
                <w:szCs w:val="21"/>
              </w:rPr>
              <w:t>多</w:t>
            </w:r>
            <w:r>
              <w:rPr>
                <w:rFonts w:ascii="宋体" w:hAnsi="宋体" w:eastAsia="宋体" w:cs="宋体"/>
                <w:color w:val="auto"/>
                <w:sz w:val="21"/>
                <w:szCs w:val="21"/>
              </w:rPr>
              <w:t>种书写笔。</w:t>
            </w:r>
          </w:p>
          <w:p w14:paraId="15F315B5">
            <w:pPr>
              <w:pStyle w:val="2"/>
              <w:ind w:right="105"/>
              <w:rPr>
                <w:rFonts w:ascii="宋体" w:hAnsi="宋体" w:eastAsia="宋体" w:cs="宋体"/>
                <w:color w:val="auto"/>
                <w:sz w:val="21"/>
                <w:szCs w:val="21"/>
              </w:rPr>
            </w:pPr>
            <w:r>
              <w:rPr>
                <w:rFonts w:hint="eastAsia" w:ascii="宋体" w:hAnsi="宋体" w:eastAsia="宋体" w:cs="宋体"/>
                <w:color w:val="auto"/>
                <w:sz w:val="21"/>
                <w:szCs w:val="21"/>
              </w:rPr>
              <w:t>11.</w:t>
            </w:r>
            <w:r>
              <w:rPr>
                <w:rFonts w:ascii="宋体" w:hAnsi="宋体" w:eastAsia="宋体" w:cs="宋体"/>
                <w:color w:val="auto"/>
                <w:sz w:val="21"/>
                <w:szCs w:val="21"/>
              </w:rPr>
              <w:t xml:space="preserve">录课助手支持屏幕、屏幕+摄像头等多种形式的录制，录制可开启分享功能，实现即时直播，无需下载软件，扫码即可进入直播课堂并进行互动； </w:t>
            </w:r>
          </w:p>
          <w:p w14:paraId="6061A280">
            <w:pPr>
              <w:pStyle w:val="2"/>
              <w:ind w:right="105"/>
              <w:rPr>
                <w:rFonts w:ascii="宋体" w:hAnsi="宋体" w:eastAsia="宋体" w:cs="宋体"/>
                <w:color w:val="auto"/>
                <w:sz w:val="21"/>
                <w:szCs w:val="21"/>
              </w:rPr>
            </w:pPr>
            <w:r>
              <w:rPr>
                <w:rFonts w:hint="eastAsia" w:ascii="宋体" w:hAnsi="宋体" w:eastAsia="宋体" w:cs="宋体"/>
                <w:color w:val="auto"/>
                <w:sz w:val="21"/>
                <w:szCs w:val="21"/>
              </w:rPr>
              <w:t>12、</w:t>
            </w:r>
            <w:r>
              <w:rPr>
                <w:rFonts w:ascii="宋体" w:hAnsi="宋体" w:eastAsia="宋体" w:cs="宋体"/>
                <w:color w:val="auto"/>
                <w:sz w:val="21"/>
                <w:szCs w:val="21"/>
              </w:rPr>
              <w:t>支持手机投屏，可通过该软件将手机屏幕画面实时投影到大屏上。</w:t>
            </w:r>
          </w:p>
          <w:p w14:paraId="60802CFC">
            <w:pPr>
              <w:pStyle w:val="2"/>
              <w:ind w:right="105"/>
              <w:rPr>
                <w:rFonts w:ascii="宋体" w:hAnsi="宋体" w:eastAsia="宋体" w:cs="宋体"/>
                <w:color w:val="auto"/>
                <w:sz w:val="21"/>
                <w:szCs w:val="21"/>
              </w:rPr>
            </w:pPr>
            <w:r>
              <w:rPr>
                <w:rFonts w:hint="eastAsia" w:ascii="宋体" w:hAnsi="宋体" w:eastAsia="宋体" w:cs="宋体"/>
                <w:color w:val="auto"/>
                <w:sz w:val="21"/>
                <w:szCs w:val="21"/>
              </w:rPr>
              <w:t>1</w:t>
            </w:r>
            <w:r>
              <w:rPr>
                <w:rFonts w:ascii="宋体" w:hAnsi="宋体" w:eastAsia="宋体" w:cs="宋体"/>
                <w:color w:val="auto"/>
                <w:sz w:val="21"/>
                <w:szCs w:val="21"/>
              </w:rPr>
              <w:t>3.可一键对试卷、课本等实物进行拍摄，将实物照片上传至智能平板中，并可通过移动端实现双向批注功能。</w:t>
            </w:r>
          </w:p>
          <w:p w14:paraId="54520435">
            <w:pPr>
              <w:pStyle w:val="2"/>
              <w:ind w:right="105"/>
              <w:rPr>
                <w:rFonts w:ascii="宋体" w:hAnsi="宋体" w:eastAsia="宋体" w:cs="宋体"/>
                <w:color w:val="auto"/>
                <w:sz w:val="21"/>
                <w:szCs w:val="21"/>
              </w:rPr>
            </w:pPr>
            <w:r>
              <w:rPr>
                <w:rFonts w:hint="eastAsia" w:ascii="宋体" w:hAnsi="宋体" w:eastAsia="宋体" w:cs="宋体"/>
                <w:color w:val="auto"/>
                <w:sz w:val="21"/>
                <w:szCs w:val="21"/>
              </w:rPr>
              <w:t>1</w:t>
            </w:r>
            <w:r>
              <w:rPr>
                <w:rFonts w:ascii="宋体" w:hAnsi="宋体" w:eastAsia="宋体" w:cs="宋体"/>
                <w:color w:val="auto"/>
                <w:sz w:val="21"/>
                <w:szCs w:val="21"/>
              </w:rPr>
              <w:t>4.支持</w:t>
            </w:r>
            <w:r>
              <w:rPr>
                <w:rFonts w:hint="eastAsia" w:ascii="宋体" w:hAnsi="宋体" w:eastAsia="宋体" w:cs="宋体"/>
                <w:color w:val="auto"/>
                <w:sz w:val="21"/>
                <w:szCs w:val="21"/>
              </w:rPr>
              <w:t>多</w:t>
            </w:r>
            <w:r>
              <w:rPr>
                <w:rFonts w:ascii="宋体" w:hAnsi="宋体" w:eastAsia="宋体" w:cs="宋体"/>
                <w:color w:val="auto"/>
                <w:sz w:val="21"/>
                <w:szCs w:val="21"/>
              </w:rPr>
              <w:t>个终端设备同时投屏，可将任意一路画面全屏播放，并支持所投视频音频同时播放;支持多手机同时连接交互显示设备，可设置指定设备为主控设备。</w:t>
            </w:r>
          </w:p>
          <w:p w14:paraId="2BBA5876">
            <w:pPr>
              <w:pStyle w:val="2"/>
              <w:ind w:right="105"/>
              <w:rPr>
                <w:rFonts w:ascii="宋体" w:hAnsi="宋体" w:eastAsia="宋体" w:cs="宋体"/>
                <w:color w:val="auto"/>
                <w:sz w:val="21"/>
                <w:szCs w:val="21"/>
              </w:rPr>
            </w:pPr>
            <w:r>
              <w:rPr>
                <w:rFonts w:ascii="宋体" w:hAnsi="宋体" w:eastAsia="宋体" w:cs="宋体"/>
                <w:color w:val="auto"/>
                <w:sz w:val="21"/>
                <w:szCs w:val="21"/>
              </w:rPr>
              <w:t>1</w:t>
            </w:r>
            <w:r>
              <w:rPr>
                <w:rFonts w:hint="eastAsia" w:ascii="宋体" w:hAnsi="宋体" w:eastAsia="宋体" w:cs="宋体"/>
                <w:color w:val="auto"/>
                <w:sz w:val="21"/>
                <w:szCs w:val="21"/>
              </w:rPr>
              <w:t>5</w:t>
            </w:r>
            <w:r>
              <w:rPr>
                <w:rFonts w:ascii="宋体" w:hAnsi="宋体" w:eastAsia="宋体" w:cs="宋体"/>
                <w:color w:val="auto"/>
                <w:sz w:val="21"/>
                <w:szCs w:val="21"/>
              </w:rPr>
              <w:t>.为方便老师应用，提供与所投产品相关的微信公众号学习交流及售后平台，老师可通过关注厂家微信公众号在线自主学习产品使用，也可通过公众号在线提问及产品的报修；</w:t>
            </w:r>
          </w:p>
        </w:tc>
        <w:tc>
          <w:tcPr>
            <w:tcW w:w="667" w:type="dxa"/>
            <w:vAlign w:val="center"/>
          </w:tcPr>
          <w:p w14:paraId="6E013886">
            <w:pPr>
              <w:pStyle w:val="2"/>
              <w:ind w:right="105"/>
              <w:rPr>
                <w:color w:val="auto"/>
                <w:sz w:val="21"/>
                <w:szCs w:val="21"/>
              </w:rPr>
            </w:pPr>
          </w:p>
        </w:tc>
        <w:tc>
          <w:tcPr>
            <w:tcW w:w="644" w:type="dxa"/>
            <w:vAlign w:val="center"/>
          </w:tcPr>
          <w:p w14:paraId="0B4B1EA9">
            <w:pPr>
              <w:pStyle w:val="2"/>
              <w:ind w:right="105"/>
              <w:rPr>
                <w:rFonts w:hint="default" w:eastAsiaTheme="minorEastAsia"/>
                <w:color w:val="auto"/>
                <w:sz w:val="21"/>
                <w:szCs w:val="21"/>
                <w:lang w:val="en-US" w:eastAsia="zh-CN"/>
              </w:rPr>
            </w:pPr>
            <w:r>
              <w:rPr>
                <w:rFonts w:hint="eastAsia"/>
                <w:color w:val="auto"/>
                <w:sz w:val="21"/>
                <w:szCs w:val="21"/>
                <w:lang w:val="en-US" w:eastAsia="zh-CN"/>
              </w:rPr>
              <w:t>47</w:t>
            </w:r>
          </w:p>
        </w:tc>
      </w:tr>
      <w:tr w14:paraId="27EC2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0" w:type="dxa"/>
            <w:vAlign w:val="center"/>
          </w:tcPr>
          <w:p w14:paraId="4966EACC">
            <w:pPr>
              <w:pStyle w:val="2"/>
              <w:ind w:right="105"/>
              <w:rPr>
                <w:color w:val="auto"/>
                <w:sz w:val="21"/>
                <w:szCs w:val="21"/>
              </w:rPr>
            </w:pPr>
            <w:r>
              <w:rPr>
                <w:rFonts w:hint="eastAsia"/>
                <w:color w:val="auto"/>
                <w:sz w:val="21"/>
                <w:szCs w:val="21"/>
              </w:rPr>
              <w:t>3</w:t>
            </w:r>
          </w:p>
        </w:tc>
        <w:tc>
          <w:tcPr>
            <w:tcW w:w="952" w:type="dxa"/>
            <w:vAlign w:val="center"/>
          </w:tcPr>
          <w:p w14:paraId="6F78039D">
            <w:pPr>
              <w:pStyle w:val="2"/>
              <w:ind w:right="105"/>
              <w:rPr>
                <w:color w:val="auto"/>
                <w:sz w:val="21"/>
                <w:szCs w:val="21"/>
              </w:rPr>
            </w:pPr>
            <w:r>
              <w:rPr>
                <w:rFonts w:hint="eastAsia"/>
                <w:color w:val="auto"/>
                <w:sz w:val="21"/>
                <w:szCs w:val="21"/>
              </w:rPr>
              <w:t>设备运维管理系统</w:t>
            </w:r>
          </w:p>
        </w:tc>
        <w:tc>
          <w:tcPr>
            <w:tcW w:w="6000" w:type="dxa"/>
            <w:vAlign w:val="center"/>
          </w:tcPr>
          <w:p w14:paraId="38A27AB1">
            <w:pPr>
              <w:pStyle w:val="2"/>
              <w:ind w:right="105"/>
              <w:rPr>
                <w:rFonts w:ascii="宋体" w:hAnsi="宋体" w:eastAsia="宋体" w:cs="宋体"/>
                <w:color w:val="auto"/>
                <w:sz w:val="21"/>
                <w:szCs w:val="21"/>
              </w:rPr>
            </w:pPr>
            <w:r>
              <w:rPr>
                <w:rFonts w:ascii="宋体" w:hAnsi="宋体" w:eastAsia="宋体" w:cs="宋体"/>
                <w:color w:val="auto"/>
                <w:sz w:val="21"/>
                <w:szCs w:val="21"/>
              </w:rPr>
              <w:t>后台控制端采用 B/S 架构设计，可在 Windows、Linux、Android、IOS 等多种不同的操作系统上通过网页浏览器登录进行操作；</w:t>
            </w:r>
          </w:p>
          <w:p w14:paraId="21048F8F">
            <w:pPr>
              <w:pStyle w:val="2"/>
              <w:ind w:right="105"/>
              <w:rPr>
                <w:rFonts w:ascii="宋体" w:hAnsi="宋体" w:eastAsia="宋体" w:cs="宋体"/>
                <w:color w:val="auto"/>
                <w:sz w:val="21"/>
                <w:szCs w:val="21"/>
              </w:rPr>
            </w:pPr>
            <w:r>
              <w:rPr>
                <w:rFonts w:ascii="宋体" w:hAnsi="宋体" w:eastAsia="宋体" w:cs="宋体"/>
                <w:color w:val="auto"/>
                <w:sz w:val="21"/>
                <w:szCs w:val="21"/>
              </w:rPr>
              <w:t xml:space="preserve">设备详情：查看校园内所有设备的状态，包括在线、离线状态，教室名称、内存使用率、CPU使用率、C盘使用率，支持按照设备类型、设备名称进行查询筛选；支持按列表展示以及按缩略图展示； </w:t>
            </w:r>
          </w:p>
          <w:p w14:paraId="0B46037E">
            <w:pPr>
              <w:pStyle w:val="2"/>
              <w:ind w:right="105"/>
              <w:rPr>
                <w:rFonts w:ascii="宋体" w:hAnsi="宋体" w:eastAsia="宋体" w:cs="宋体"/>
                <w:color w:val="auto"/>
                <w:sz w:val="21"/>
                <w:szCs w:val="21"/>
              </w:rPr>
            </w:pPr>
            <w:r>
              <w:rPr>
                <w:rFonts w:ascii="宋体" w:hAnsi="宋体" w:eastAsia="宋体" w:cs="宋体"/>
                <w:color w:val="auto"/>
                <w:sz w:val="21"/>
                <w:szCs w:val="21"/>
              </w:rPr>
              <w:t xml:space="preserve">即时操作控制：批量对选定的受控设备进行关机、重启、触控切换（屏幕触控锁定、解锁），童锁切换、信号源切换、音量调节、打铃操作； </w:t>
            </w:r>
          </w:p>
          <w:p w14:paraId="5D49EABB">
            <w:pPr>
              <w:pStyle w:val="2"/>
              <w:ind w:right="105"/>
              <w:rPr>
                <w:rFonts w:ascii="宋体" w:hAnsi="宋体" w:eastAsia="宋体" w:cs="宋体"/>
                <w:color w:val="auto"/>
                <w:sz w:val="21"/>
                <w:szCs w:val="21"/>
              </w:rPr>
            </w:pPr>
            <w:r>
              <w:rPr>
                <w:rFonts w:ascii="宋体" w:hAnsi="宋体" w:eastAsia="宋体" w:cs="宋体"/>
                <w:color w:val="auto"/>
                <w:sz w:val="21"/>
                <w:szCs w:val="21"/>
              </w:rPr>
              <w:t>定时操作控制：可远程对选定的设备做定时关机、定时打铃、定时切换信号源，实现单次、每日循环、每周循环、每月循环的定时控制。</w:t>
            </w:r>
          </w:p>
          <w:p w14:paraId="02559B51">
            <w:pPr>
              <w:pStyle w:val="2"/>
              <w:ind w:right="105"/>
              <w:rPr>
                <w:rFonts w:ascii="宋体" w:hAnsi="宋体" w:eastAsia="宋体" w:cs="宋体"/>
                <w:color w:val="auto"/>
                <w:sz w:val="21"/>
                <w:szCs w:val="21"/>
              </w:rPr>
            </w:pPr>
            <w:r>
              <w:rPr>
                <w:rFonts w:ascii="宋体" w:hAnsi="宋体" w:eastAsia="宋体" w:cs="宋体"/>
                <w:color w:val="auto"/>
                <w:sz w:val="21"/>
                <w:szCs w:val="21"/>
              </w:rPr>
              <w:t xml:space="preserve">发布信息：可即时向任意选定的设备发布纯文本信息，支持常驻桌面型、滚动发布型及气泡弹出提示，可设置播放时长，支持设置字体及字体颜色； </w:t>
            </w:r>
          </w:p>
          <w:p w14:paraId="47B4A935">
            <w:pPr>
              <w:pStyle w:val="2"/>
              <w:ind w:right="105"/>
              <w:rPr>
                <w:rFonts w:ascii="宋体" w:hAnsi="宋体" w:eastAsia="宋体" w:cs="宋体"/>
                <w:color w:val="auto"/>
                <w:sz w:val="21"/>
                <w:szCs w:val="21"/>
              </w:rPr>
            </w:pPr>
            <w:r>
              <w:rPr>
                <w:rFonts w:ascii="宋体" w:hAnsi="宋体" w:eastAsia="宋体" w:cs="宋体"/>
                <w:color w:val="auto"/>
                <w:sz w:val="21"/>
                <w:szCs w:val="21"/>
              </w:rPr>
              <w:t xml:space="preserve">文件分发：支持多文件推送至任意选定的设备，包括文本、图片、pdf、word、excel、ppt、flash、音视频； </w:t>
            </w:r>
          </w:p>
          <w:p w14:paraId="102587AD">
            <w:pPr>
              <w:pStyle w:val="2"/>
              <w:ind w:right="105"/>
              <w:rPr>
                <w:rFonts w:ascii="宋体" w:hAnsi="宋体" w:eastAsia="宋体" w:cs="宋体"/>
                <w:color w:val="auto"/>
                <w:sz w:val="21"/>
                <w:szCs w:val="21"/>
              </w:rPr>
            </w:pPr>
            <w:r>
              <w:rPr>
                <w:rFonts w:ascii="宋体" w:hAnsi="宋体" w:eastAsia="宋体" w:cs="宋体"/>
                <w:color w:val="auto"/>
                <w:sz w:val="21"/>
                <w:szCs w:val="21"/>
              </w:rPr>
              <w:t xml:space="preserve">软件管理：支持上传软件至平台，自动下发至桌面； </w:t>
            </w:r>
          </w:p>
          <w:p w14:paraId="5F406BD7">
            <w:pPr>
              <w:pStyle w:val="2"/>
              <w:ind w:right="105"/>
              <w:rPr>
                <w:rFonts w:ascii="宋体" w:hAnsi="宋体" w:eastAsia="宋体" w:cs="宋体"/>
                <w:color w:val="auto"/>
                <w:sz w:val="21"/>
                <w:szCs w:val="21"/>
              </w:rPr>
            </w:pPr>
            <w:r>
              <w:rPr>
                <w:rFonts w:ascii="宋体" w:hAnsi="宋体" w:eastAsia="宋体" w:cs="宋体"/>
                <w:color w:val="auto"/>
                <w:sz w:val="21"/>
                <w:szCs w:val="21"/>
              </w:rPr>
              <w:t>远程巡课：默认查看当前屏幕画面，实时监控当前设备桌面，支持同时查看设备不少于</w:t>
            </w:r>
            <w:r>
              <w:rPr>
                <w:rFonts w:hint="eastAsia" w:ascii="宋体" w:hAnsi="宋体" w:eastAsia="宋体" w:cs="宋体"/>
                <w:color w:val="auto"/>
                <w:sz w:val="21"/>
                <w:szCs w:val="21"/>
              </w:rPr>
              <w:t>1</w:t>
            </w:r>
            <w:r>
              <w:rPr>
                <w:rFonts w:ascii="宋体" w:hAnsi="宋体" w:eastAsia="宋体" w:cs="宋体"/>
                <w:color w:val="auto"/>
                <w:sz w:val="21"/>
                <w:szCs w:val="21"/>
              </w:rPr>
              <w:t xml:space="preserve">0台；可切换摄像头画面，包括学生画面、教师画面（搭配录播）同步教室声音；无需部署本地巡课服务器； </w:t>
            </w:r>
          </w:p>
          <w:p w14:paraId="6AF5EF58">
            <w:pPr>
              <w:pStyle w:val="2"/>
              <w:ind w:right="105"/>
              <w:rPr>
                <w:rFonts w:ascii="宋体" w:hAnsi="宋体" w:eastAsia="宋体" w:cs="宋体"/>
                <w:color w:val="auto"/>
                <w:sz w:val="21"/>
                <w:szCs w:val="21"/>
              </w:rPr>
            </w:pPr>
            <w:r>
              <w:rPr>
                <w:rFonts w:ascii="宋体" w:hAnsi="宋体" w:eastAsia="宋体" w:cs="宋体"/>
                <w:color w:val="auto"/>
                <w:sz w:val="21"/>
                <w:szCs w:val="21"/>
              </w:rPr>
              <w:t>以图文形式对设备的使用情况进行数据统计，可以按照一定时间周期进行统计，也支持按日、周、月进行统计；</w:t>
            </w:r>
          </w:p>
          <w:p w14:paraId="7A5B9C33">
            <w:pPr>
              <w:pStyle w:val="2"/>
              <w:ind w:right="105"/>
              <w:rPr>
                <w:rFonts w:ascii="宋体" w:hAnsi="宋体" w:eastAsia="宋体" w:cs="宋体"/>
                <w:color w:val="auto"/>
                <w:sz w:val="21"/>
                <w:szCs w:val="21"/>
              </w:rPr>
            </w:pPr>
            <w:r>
              <w:rPr>
                <w:rFonts w:ascii="宋体" w:hAnsi="宋体" w:eastAsia="宋体" w:cs="宋体"/>
                <w:color w:val="auto"/>
                <w:sz w:val="21"/>
                <w:szCs w:val="21"/>
              </w:rPr>
              <w:t>统计内容包括设备数量、设备开机率、设备开机时长、软件使用时长、设备活跃度排行、设备使用时长分布、设备在线数量等，支持以统计图表显示及以excel格式导出；</w:t>
            </w:r>
          </w:p>
        </w:tc>
        <w:tc>
          <w:tcPr>
            <w:tcW w:w="667" w:type="dxa"/>
            <w:vAlign w:val="center"/>
          </w:tcPr>
          <w:p w14:paraId="3714648F">
            <w:pPr>
              <w:pStyle w:val="2"/>
              <w:ind w:right="105"/>
              <w:rPr>
                <w:color w:val="auto"/>
                <w:sz w:val="21"/>
                <w:szCs w:val="21"/>
              </w:rPr>
            </w:pPr>
          </w:p>
        </w:tc>
        <w:tc>
          <w:tcPr>
            <w:tcW w:w="644" w:type="dxa"/>
            <w:vAlign w:val="center"/>
          </w:tcPr>
          <w:p w14:paraId="61DF4576">
            <w:pPr>
              <w:pStyle w:val="2"/>
              <w:ind w:right="105"/>
              <w:rPr>
                <w:color w:val="auto"/>
                <w:sz w:val="21"/>
                <w:szCs w:val="21"/>
              </w:rPr>
            </w:pPr>
          </w:p>
        </w:tc>
      </w:tr>
      <w:tr w14:paraId="7478F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0" w:type="dxa"/>
            <w:vAlign w:val="center"/>
          </w:tcPr>
          <w:p w14:paraId="43D49119">
            <w:pPr>
              <w:pStyle w:val="2"/>
              <w:ind w:right="105"/>
              <w:rPr>
                <w:color w:val="auto"/>
                <w:sz w:val="21"/>
                <w:szCs w:val="21"/>
              </w:rPr>
            </w:pPr>
            <w:r>
              <w:rPr>
                <w:rFonts w:hint="eastAsia"/>
                <w:color w:val="auto"/>
                <w:sz w:val="21"/>
                <w:szCs w:val="21"/>
              </w:rPr>
              <w:t>4</w:t>
            </w:r>
          </w:p>
        </w:tc>
        <w:tc>
          <w:tcPr>
            <w:tcW w:w="952" w:type="dxa"/>
            <w:vAlign w:val="center"/>
          </w:tcPr>
          <w:p w14:paraId="7CFA1154">
            <w:pPr>
              <w:pStyle w:val="2"/>
              <w:ind w:right="105"/>
              <w:rPr>
                <w:color w:val="auto"/>
                <w:sz w:val="21"/>
                <w:szCs w:val="21"/>
              </w:rPr>
            </w:pPr>
            <w:r>
              <w:rPr>
                <w:rFonts w:hint="eastAsia"/>
                <w:color w:val="auto"/>
                <w:sz w:val="21"/>
                <w:szCs w:val="21"/>
              </w:rPr>
              <w:t>视频展台</w:t>
            </w:r>
          </w:p>
        </w:tc>
        <w:tc>
          <w:tcPr>
            <w:tcW w:w="6000" w:type="dxa"/>
            <w:vAlign w:val="center"/>
          </w:tcPr>
          <w:p w14:paraId="03FA97FA">
            <w:pPr>
              <w:pStyle w:val="2"/>
              <w:ind w:right="105"/>
              <w:rPr>
                <w:rFonts w:ascii="宋体" w:hAnsi="宋体" w:eastAsia="宋体" w:cs="宋体"/>
                <w:color w:val="auto"/>
                <w:sz w:val="21"/>
                <w:szCs w:val="21"/>
              </w:rPr>
            </w:pPr>
            <w:r>
              <w:rPr>
                <w:rFonts w:ascii="宋体" w:hAnsi="宋体" w:eastAsia="宋体" w:cs="宋体"/>
                <w:color w:val="auto"/>
                <w:sz w:val="21"/>
                <w:szCs w:val="21"/>
              </w:rPr>
              <w:t>1.整机采用USB方式供电，托板边角采用圆弧倒角设计，无须气压杆支撑；</w:t>
            </w:r>
          </w:p>
          <w:p w14:paraId="1AB93D83">
            <w:pPr>
              <w:pStyle w:val="2"/>
              <w:ind w:right="105"/>
              <w:rPr>
                <w:rFonts w:ascii="宋体" w:hAnsi="宋体" w:eastAsia="宋体" w:cs="宋体"/>
                <w:color w:val="auto"/>
                <w:sz w:val="21"/>
                <w:szCs w:val="21"/>
              </w:rPr>
            </w:pPr>
            <w:r>
              <w:rPr>
                <w:rFonts w:ascii="宋体" w:hAnsi="宋体" w:eastAsia="宋体" w:cs="宋体"/>
                <w:color w:val="auto"/>
                <w:sz w:val="21"/>
                <w:szCs w:val="21"/>
              </w:rPr>
              <w:t>2.外观材质：兼顾教学环境，保护师生安全，采用ABS材质</w:t>
            </w:r>
          </w:p>
          <w:p w14:paraId="55CEB73B">
            <w:pPr>
              <w:pStyle w:val="2"/>
              <w:ind w:right="105"/>
              <w:rPr>
                <w:rFonts w:ascii="宋体" w:hAnsi="宋体" w:eastAsia="宋体" w:cs="宋体"/>
                <w:color w:val="auto"/>
                <w:sz w:val="21"/>
                <w:szCs w:val="21"/>
              </w:rPr>
            </w:pPr>
            <w:r>
              <w:rPr>
                <w:rFonts w:ascii="宋体" w:hAnsi="宋体" w:eastAsia="宋体" w:cs="宋体"/>
                <w:color w:val="auto"/>
                <w:sz w:val="21"/>
                <w:szCs w:val="21"/>
              </w:rPr>
              <w:t>3.整机采用高清摄像头设计，不小于1300万像素定焦镜头，解析度到达1600TV线，使画面展示更加清晰；</w:t>
            </w:r>
          </w:p>
          <w:p w14:paraId="7AEC0AE4">
            <w:pPr>
              <w:pStyle w:val="2"/>
              <w:ind w:right="105"/>
              <w:rPr>
                <w:rFonts w:ascii="宋体" w:hAnsi="宋体" w:eastAsia="宋体" w:cs="宋体"/>
                <w:color w:val="auto"/>
                <w:sz w:val="21"/>
                <w:szCs w:val="21"/>
              </w:rPr>
            </w:pPr>
            <w:r>
              <w:rPr>
                <w:rFonts w:ascii="宋体" w:hAnsi="宋体" w:eastAsia="宋体" w:cs="宋体"/>
                <w:color w:val="auto"/>
                <w:sz w:val="21"/>
                <w:szCs w:val="21"/>
              </w:rPr>
              <w:t>4.变焦：12倍数字变焦</w:t>
            </w:r>
          </w:p>
          <w:p w14:paraId="1B5904F5">
            <w:pPr>
              <w:pStyle w:val="2"/>
              <w:ind w:right="105"/>
              <w:rPr>
                <w:rFonts w:ascii="宋体" w:hAnsi="宋体" w:eastAsia="宋体" w:cs="宋体"/>
                <w:color w:val="auto"/>
                <w:sz w:val="21"/>
                <w:szCs w:val="21"/>
              </w:rPr>
            </w:pPr>
            <w:r>
              <w:rPr>
                <w:rFonts w:ascii="宋体" w:hAnsi="宋体" w:eastAsia="宋体" w:cs="宋体"/>
                <w:color w:val="auto"/>
                <w:sz w:val="21"/>
                <w:szCs w:val="21"/>
              </w:rPr>
              <w:t>5.拍摄幅面：A4及以上</w:t>
            </w:r>
          </w:p>
          <w:p w14:paraId="72B48250">
            <w:pPr>
              <w:pStyle w:val="2"/>
              <w:ind w:right="105"/>
              <w:rPr>
                <w:rFonts w:ascii="宋体" w:hAnsi="宋体" w:eastAsia="宋体" w:cs="宋体"/>
                <w:color w:val="auto"/>
                <w:sz w:val="21"/>
                <w:szCs w:val="21"/>
              </w:rPr>
            </w:pPr>
            <w:r>
              <w:rPr>
                <w:rFonts w:ascii="宋体" w:hAnsi="宋体" w:eastAsia="宋体" w:cs="宋体"/>
                <w:color w:val="auto"/>
                <w:sz w:val="21"/>
                <w:szCs w:val="21"/>
              </w:rPr>
              <w:t>6.图像色彩：24位及以上</w:t>
            </w:r>
          </w:p>
          <w:p w14:paraId="52CC6AD6">
            <w:pPr>
              <w:pStyle w:val="2"/>
              <w:ind w:right="105"/>
              <w:rPr>
                <w:rFonts w:ascii="宋体" w:hAnsi="宋体" w:eastAsia="宋体" w:cs="宋体"/>
                <w:color w:val="auto"/>
                <w:sz w:val="21"/>
                <w:szCs w:val="21"/>
              </w:rPr>
            </w:pPr>
            <w:r>
              <w:rPr>
                <w:rFonts w:ascii="宋体" w:hAnsi="宋体" w:eastAsia="宋体" w:cs="宋体"/>
                <w:color w:val="auto"/>
                <w:sz w:val="21"/>
                <w:szCs w:val="21"/>
              </w:rPr>
              <w:t>7.输出格式：图片JPG，视频MP4</w:t>
            </w:r>
          </w:p>
          <w:p w14:paraId="2F901867">
            <w:pPr>
              <w:pStyle w:val="2"/>
              <w:ind w:right="105"/>
              <w:rPr>
                <w:rFonts w:ascii="宋体" w:hAnsi="宋体" w:eastAsia="宋体" w:cs="宋体"/>
                <w:color w:val="auto"/>
                <w:sz w:val="21"/>
                <w:szCs w:val="21"/>
              </w:rPr>
            </w:pPr>
            <w:r>
              <w:rPr>
                <w:rFonts w:hint="eastAsia" w:ascii="宋体" w:hAnsi="宋体" w:eastAsia="宋体" w:cs="宋体"/>
                <w:color w:val="auto"/>
                <w:sz w:val="21"/>
                <w:szCs w:val="21"/>
              </w:rPr>
              <w:t>8</w:t>
            </w:r>
            <w:r>
              <w:rPr>
                <w:rFonts w:ascii="宋体" w:hAnsi="宋体" w:eastAsia="宋体" w:cs="宋体"/>
                <w:color w:val="auto"/>
                <w:sz w:val="21"/>
                <w:szCs w:val="21"/>
              </w:rPr>
              <w:t>.光源补偿：LED光源补偿</w:t>
            </w:r>
          </w:p>
        </w:tc>
        <w:tc>
          <w:tcPr>
            <w:tcW w:w="667" w:type="dxa"/>
            <w:vAlign w:val="center"/>
          </w:tcPr>
          <w:p w14:paraId="56EC4B9B">
            <w:pPr>
              <w:pStyle w:val="2"/>
              <w:ind w:right="105"/>
              <w:rPr>
                <w:color w:val="auto"/>
                <w:sz w:val="21"/>
                <w:szCs w:val="21"/>
              </w:rPr>
            </w:pPr>
          </w:p>
        </w:tc>
        <w:tc>
          <w:tcPr>
            <w:tcW w:w="644" w:type="dxa"/>
            <w:vAlign w:val="center"/>
          </w:tcPr>
          <w:p w14:paraId="798B7357">
            <w:pPr>
              <w:pStyle w:val="2"/>
              <w:ind w:right="105"/>
              <w:rPr>
                <w:rFonts w:hint="default" w:eastAsiaTheme="minorEastAsia"/>
                <w:color w:val="auto"/>
                <w:sz w:val="21"/>
                <w:szCs w:val="21"/>
                <w:lang w:val="en-US" w:eastAsia="zh-CN"/>
              </w:rPr>
            </w:pPr>
            <w:r>
              <w:rPr>
                <w:rFonts w:hint="eastAsia"/>
                <w:color w:val="auto"/>
                <w:sz w:val="21"/>
                <w:szCs w:val="21"/>
                <w:lang w:val="en-US" w:eastAsia="zh-CN"/>
              </w:rPr>
              <w:t>47</w:t>
            </w:r>
          </w:p>
        </w:tc>
      </w:tr>
      <w:tr w14:paraId="3F276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0" w:type="dxa"/>
            <w:vAlign w:val="center"/>
          </w:tcPr>
          <w:p w14:paraId="05DCEF8F">
            <w:pPr>
              <w:pStyle w:val="2"/>
              <w:ind w:right="105"/>
              <w:rPr>
                <w:color w:val="auto"/>
                <w:sz w:val="21"/>
                <w:szCs w:val="21"/>
              </w:rPr>
            </w:pPr>
            <w:r>
              <w:rPr>
                <w:rFonts w:hint="eastAsia"/>
                <w:color w:val="auto"/>
                <w:sz w:val="21"/>
                <w:szCs w:val="21"/>
              </w:rPr>
              <w:t>5</w:t>
            </w:r>
          </w:p>
        </w:tc>
        <w:tc>
          <w:tcPr>
            <w:tcW w:w="952" w:type="dxa"/>
            <w:vAlign w:val="center"/>
          </w:tcPr>
          <w:p w14:paraId="5F4D84BB">
            <w:pPr>
              <w:pStyle w:val="2"/>
              <w:ind w:right="105"/>
              <w:rPr>
                <w:color w:val="auto"/>
                <w:sz w:val="21"/>
                <w:szCs w:val="21"/>
              </w:rPr>
            </w:pPr>
            <w:r>
              <w:rPr>
                <w:rFonts w:hint="eastAsia"/>
                <w:color w:val="auto"/>
                <w:sz w:val="21"/>
                <w:szCs w:val="21"/>
              </w:rPr>
              <w:t>推拉绿板</w:t>
            </w:r>
          </w:p>
        </w:tc>
        <w:tc>
          <w:tcPr>
            <w:tcW w:w="6000" w:type="dxa"/>
            <w:vAlign w:val="center"/>
          </w:tcPr>
          <w:p w14:paraId="6C87DF65">
            <w:pPr>
              <w:pStyle w:val="2"/>
              <w:ind w:right="105"/>
              <w:rPr>
                <w:rFonts w:ascii="宋体" w:hAnsi="宋体" w:eastAsia="宋体" w:cs="宋体"/>
                <w:color w:val="auto"/>
                <w:sz w:val="21"/>
                <w:szCs w:val="21"/>
              </w:rPr>
            </w:pPr>
            <w:r>
              <w:rPr>
                <w:rFonts w:ascii="宋体" w:hAnsi="宋体" w:eastAsia="宋体" w:cs="宋体"/>
                <w:color w:val="auto"/>
                <w:sz w:val="21"/>
                <w:szCs w:val="21"/>
              </w:rPr>
              <w:t>1、产品结构：左右推拉结构(内置轨道,外框和轨道一体化设计)支持一体机局中安装。</w:t>
            </w:r>
          </w:p>
          <w:p w14:paraId="53C6B872">
            <w:pPr>
              <w:pStyle w:val="2"/>
              <w:ind w:right="105"/>
              <w:rPr>
                <w:rFonts w:ascii="宋体" w:hAnsi="宋体" w:eastAsia="宋体" w:cs="宋体"/>
                <w:color w:val="auto"/>
                <w:sz w:val="21"/>
                <w:szCs w:val="21"/>
              </w:rPr>
            </w:pPr>
            <w:r>
              <w:rPr>
                <w:rFonts w:ascii="宋体" w:hAnsi="宋体" w:eastAsia="宋体" w:cs="宋体"/>
                <w:color w:val="auto"/>
                <w:sz w:val="21"/>
                <w:szCs w:val="21"/>
              </w:rPr>
              <w:t>2、基本尺寸：外径≥1300mm×4000mm ，保证一体机尺寸配套；并可根据学校实际情况进行调整</w:t>
            </w:r>
          </w:p>
          <w:p w14:paraId="65029385">
            <w:pPr>
              <w:pStyle w:val="2"/>
              <w:ind w:right="105"/>
              <w:rPr>
                <w:rFonts w:ascii="宋体" w:hAnsi="宋体" w:eastAsia="宋体" w:cs="宋体"/>
                <w:color w:val="auto"/>
                <w:sz w:val="21"/>
                <w:szCs w:val="21"/>
              </w:rPr>
            </w:pPr>
            <w:r>
              <w:rPr>
                <w:rFonts w:ascii="宋体" w:hAnsi="宋体" w:eastAsia="宋体" w:cs="宋体"/>
                <w:color w:val="auto"/>
                <w:sz w:val="21"/>
                <w:szCs w:val="21"/>
              </w:rPr>
              <w:t>3、书写面材质: 采用国际知名品牌亚光烤漆钢板，墨绿色、亚光板面基板厚度≥0.3mm,涂层硬度≥6H无痕，涂层采用丙烯酸树脂漆；表面附有保护膜，用普通粉笔书写，笔迹均匀，字迹清晰，易写易擦，不反光、不变形，整板无拼接，有效保护学生视力.</w:t>
            </w:r>
          </w:p>
          <w:p w14:paraId="42B5C242">
            <w:pPr>
              <w:pStyle w:val="2"/>
              <w:ind w:right="105"/>
              <w:rPr>
                <w:rFonts w:ascii="宋体" w:hAnsi="宋体" w:eastAsia="宋体" w:cs="宋体"/>
                <w:color w:val="auto"/>
                <w:sz w:val="21"/>
                <w:szCs w:val="21"/>
              </w:rPr>
            </w:pPr>
            <w:r>
              <w:rPr>
                <w:rFonts w:ascii="宋体" w:hAnsi="宋体" w:eastAsia="宋体" w:cs="宋体"/>
                <w:color w:val="auto"/>
                <w:sz w:val="21"/>
                <w:szCs w:val="21"/>
              </w:rPr>
              <w:t>4、表面粗糙度: 大于10цm 小于12цm；</w:t>
            </w:r>
          </w:p>
          <w:p w14:paraId="7E5FAFC1">
            <w:pPr>
              <w:pStyle w:val="2"/>
              <w:ind w:right="105"/>
              <w:rPr>
                <w:rFonts w:ascii="宋体" w:hAnsi="宋体" w:eastAsia="宋体" w:cs="宋体"/>
                <w:color w:val="auto"/>
                <w:sz w:val="21"/>
                <w:szCs w:val="21"/>
              </w:rPr>
            </w:pPr>
            <w:r>
              <w:rPr>
                <w:rFonts w:ascii="宋体" w:hAnsi="宋体" w:eastAsia="宋体" w:cs="宋体"/>
                <w:color w:val="auto"/>
                <w:sz w:val="21"/>
                <w:szCs w:val="21"/>
              </w:rPr>
              <w:t>5、光泽度: 光泽度≤6﹪没有明显眩光；</w:t>
            </w:r>
          </w:p>
          <w:p w14:paraId="410EE014">
            <w:pPr>
              <w:pStyle w:val="2"/>
              <w:ind w:right="105"/>
              <w:rPr>
                <w:rFonts w:ascii="宋体" w:hAnsi="宋体" w:eastAsia="宋体" w:cs="宋体"/>
                <w:color w:val="auto"/>
                <w:sz w:val="21"/>
                <w:szCs w:val="21"/>
              </w:rPr>
            </w:pPr>
            <w:r>
              <w:rPr>
                <w:rFonts w:ascii="宋体" w:hAnsi="宋体" w:eastAsia="宋体" w:cs="宋体"/>
                <w:color w:val="auto"/>
                <w:sz w:val="21"/>
                <w:szCs w:val="21"/>
              </w:rPr>
              <w:t>6、粉笔灰盒: 安置在黑板边框两侧下方存储黑板粉笔沫盒,可拆卸清洁.</w:t>
            </w:r>
          </w:p>
          <w:p w14:paraId="4B56ECDA">
            <w:pPr>
              <w:pStyle w:val="2"/>
              <w:ind w:right="105"/>
              <w:rPr>
                <w:rFonts w:ascii="宋体" w:hAnsi="宋体" w:eastAsia="宋体" w:cs="宋体"/>
                <w:color w:val="auto"/>
                <w:sz w:val="21"/>
                <w:szCs w:val="21"/>
              </w:rPr>
            </w:pPr>
            <w:r>
              <w:rPr>
                <w:rFonts w:ascii="宋体" w:hAnsi="宋体" w:eastAsia="宋体" w:cs="宋体"/>
                <w:color w:val="auto"/>
                <w:sz w:val="21"/>
                <w:szCs w:val="21"/>
              </w:rPr>
              <w:t>7、缓冲垫: 黑板边框内部两侧安装缓冲垫.</w:t>
            </w:r>
          </w:p>
          <w:p w14:paraId="0A441066">
            <w:pPr>
              <w:pStyle w:val="2"/>
              <w:ind w:right="105"/>
              <w:rPr>
                <w:rFonts w:ascii="宋体" w:hAnsi="宋体" w:eastAsia="宋体" w:cs="宋体"/>
                <w:color w:val="auto"/>
                <w:sz w:val="21"/>
                <w:szCs w:val="21"/>
              </w:rPr>
            </w:pPr>
            <w:r>
              <w:rPr>
                <w:rFonts w:ascii="宋体" w:hAnsi="宋体" w:eastAsia="宋体" w:cs="宋体"/>
                <w:color w:val="auto"/>
                <w:sz w:val="21"/>
                <w:szCs w:val="21"/>
              </w:rPr>
              <w:t>8、内芯材料: 防潮、吸音高强度泡沫板，采用国际适用工艺，书写无咔咔声，改善书写手感。厚度≥14mm.</w:t>
            </w:r>
          </w:p>
          <w:p w14:paraId="5C332C79">
            <w:pPr>
              <w:pStyle w:val="2"/>
              <w:ind w:right="105"/>
              <w:rPr>
                <w:rFonts w:ascii="宋体" w:hAnsi="宋体" w:eastAsia="宋体" w:cs="宋体"/>
                <w:color w:val="auto"/>
                <w:sz w:val="21"/>
                <w:szCs w:val="21"/>
              </w:rPr>
            </w:pPr>
            <w:r>
              <w:rPr>
                <w:rFonts w:ascii="宋体" w:hAnsi="宋体" w:eastAsia="宋体" w:cs="宋体"/>
                <w:color w:val="auto"/>
                <w:sz w:val="21"/>
                <w:szCs w:val="21"/>
              </w:rPr>
              <w:t>9、背板: 采用优质防锈热镀锌钢板，流水线一次成型，设有加强凹槽，确保均布承压不低于635N，凹槽造型美观、增加强度，更加耐用</w:t>
            </w:r>
            <w:r>
              <w:rPr>
                <w:rFonts w:hint="eastAsia" w:ascii="宋体" w:hAnsi="宋体" w:eastAsia="宋体" w:cs="宋体"/>
                <w:color w:val="auto"/>
                <w:sz w:val="21"/>
                <w:szCs w:val="21"/>
              </w:rPr>
              <w:t>。</w:t>
            </w:r>
          </w:p>
        </w:tc>
        <w:tc>
          <w:tcPr>
            <w:tcW w:w="667" w:type="dxa"/>
            <w:vAlign w:val="center"/>
          </w:tcPr>
          <w:p w14:paraId="0A26F3AE">
            <w:pPr>
              <w:pStyle w:val="2"/>
              <w:ind w:right="105"/>
              <w:rPr>
                <w:color w:val="auto"/>
                <w:sz w:val="21"/>
                <w:szCs w:val="21"/>
              </w:rPr>
            </w:pPr>
          </w:p>
        </w:tc>
        <w:tc>
          <w:tcPr>
            <w:tcW w:w="644" w:type="dxa"/>
            <w:vAlign w:val="center"/>
          </w:tcPr>
          <w:p w14:paraId="31FF49B6">
            <w:pPr>
              <w:pStyle w:val="2"/>
              <w:ind w:right="105"/>
              <w:rPr>
                <w:rFonts w:hint="default" w:eastAsiaTheme="minorEastAsia"/>
                <w:color w:val="auto"/>
                <w:sz w:val="21"/>
                <w:szCs w:val="21"/>
                <w:lang w:val="en-US" w:eastAsia="zh-CN"/>
              </w:rPr>
            </w:pPr>
            <w:r>
              <w:rPr>
                <w:rFonts w:hint="eastAsia"/>
                <w:color w:val="auto"/>
                <w:sz w:val="21"/>
                <w:szCs w:val="21"/>
                <w:lang w:val="en-US" w:eastAsia="zh-CN"/>
              </w:rPr>
              <w:t>47</w:t>
            </w:r>
          </w:p>
        </w:tc>
      </w:tr>
      <w:tr w14:paraId="6F267F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0" w:type="dxa"/>
            <w:shd w:val="clear" w:color="auto" w:fill="auto"/>
            <w:vAlign w:val="center"/>
          </w:tcPr>
          <w:p w14:paraId="3D46D8E5">
            <w:pPr>
              <w:pStyle w:val="2"/>
              <w:ind w:right="105" w:rightChars="50"/>
              <w:rPr>
                <w:rFonts w:hint="eastAsia" w:asciiTheme="minorHAnsi" w:hAnsiTheme="minorHAnsi" w:eastAsiaTheme="minorEastAsia" w:cstheme="minorBidi"/>
                <w:bCs/>
                <w:color w:val="auto"/>
                <w:kern w:val="0"/>
                <w:sz w:val="24"/>
                <w:lang w:val="en-US" w:eastAsia="zh-CN" w:bidi="ar-SA"/>
              </w:rPr>
            </w:pPr>
            <w:r>
              <w:rPr>
                <w:rFonts w:hint="eastAsia"/>
                <w:color w:val="auto"/>
                <w:lang w:val="en-US" w:eastAsia="zh-CN"/>
              </w:rPr>
              <w:t>6</w:t>
            </w:r>
          </w:p>
        </w:tc>
        <w:tc>
          <w:tcPr>
            <w:tcW w:w="952" w:type="dxa"/>
            <w:shd w:val="clear" w:color="auto" w:fill="auto"/>
            <w:vAlign w:val="center"/>
          </w:tcPr>
          <w:p w14:paraId="7AF096CA">
            <w:pPr>
              <w:pStyle w:val="2"/>
              <w:ind w:right="105" w:rightChars="50"/>
              <w:rPr>
                <w:rFonts w:hint="eastAsia" w:asciiTheme="minorHAnsi" w:hAnsiTheme="minorHAnsi" w:eastAsiaTheme="minorEastAsia" w:cstheme="minorBidi"/>
                <w:bCs/>
                <w:color w:val="auto"/>
                <w:kern w:val="0"/>
                <w:sz w:val="21"/>
                <w:szCs w:val="21"/>
                <w:lang w:val="en-US" w:eastAsia="zh-CN" w:bidi="ar-SA"/>
              </w:rPr>
            </w:pPr>
            <w:r>
              <w:rPr>
                <w:rFonts w:hint="eastAsia"/>
                <w:color w:val="auto"/>
                <w:sz w:val="21"/>
                <w:szCs w:val="21"/>
                <w:lang w:val="en-US" w:eastAsia="zh-CN"/>
              </w:rPr>
              <w:t>课桌凳</w:t>
            </w:r>
          </w:p>
        </w:tc>
        <w:tc>
          <w:tcPr>
            <w:tcW w:w="6000" w:type="dxa"/>
            <w:shd w:val="clear" w:color="auto" w:fill="auto"/>
            <w:vAlign w:val="center"/>
          </w:tcPr>
          <w:p w14:paraId="398CA2FA">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学</w:t>
            </w:r>
            <w:r>
              <w:rPr>
                <w:rFonts w:hint="eastAsia" w:ascii="宋体" w:hAnsi="宋体" w:eastAsia="宋体" w:cs="宋体"/>
                <w:color w:val="auto"/>
                <w:sz w:val="21"/>
                <w:szCs w:val="21"/>
              </w:rPr>
              <w:t>生课桌：</w:t>
            </w:r>
          </w:p>
          <w:p w14:paraId="32F0BF6E">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（1) 整体规格 (600-650)mm×（430-450） mm×（670-760）mm塑钢结构、可升降、单人课桌。</w:t>
            </w:r>
          </w:p>
          <w:p w14:paraId="4C0A2948">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(2) 桌面规格 (600-650)mm×(430-450)mm,桌面为平面。</w:t>
            </w:r>
          </w:p>
          <w:p w14:paraId="03C39464">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(3) 桌斗规格 容积(470-490)mm×(315-320)mm×(165-175)mm。采用厚度≥0.6mm的钢板一次冲压成型，边沿卷有圆形加强筋，上沿宽度≥20mm，桌斗下增设≥20mm×20mm×1.0mm的钢管作为下撑，两端焊接固定。</w:t>
            </w:r>
          </w:p>
          <w:p w14:paraId="32CDE9B1">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(4) 桌架 桌腿和底管采用≥60mm×30mm×1.5mm的椭圆钢管。升降管及桌撑采用≥50mm×20mm×1.2mm的椭圆钢管，桌撑与立管间采用焊接固定，管材外径误差±2mm。升降管采用拉伸攻丝螺母连接，各焊接处光滑平整无虚焊现象。</w:t>
            </w:r>
          </w:p>
          <w:p w14:paraId="19D8A473">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(5) 挂铁剂挂钩 托铁采用≥2.0mm的钢板冲压成型，长度≥250mm。两端外侧焊接有物品挂钩，挂钩钢板厚度≥2.0mm，承重量大于10千克，不得超出桌面外沿。</w:t>
            </w:r>
          </w:p>
          <w:p w14:paraId="541BD6BE">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(6) 升降 升降接口采用内塞式PE工程塑料一次注塑成型封头，接口结合紧密，无摇晃。采用高强度圆头螺栓连接。</w:t>
            </w:r>
          </w:p>
          <w:p w14:paraId="46EE56E4">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(7) 脚套 采用纯聚氨酯注塑成形，脚垫固定安全牢固。</w:t>
            </w:r>
          </w:p>
          <w:p w14:paraId="045C96FE">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(8) 工艺 钢材采用CO₂保护焊机器人焊接，表层采用酸洗、磷化、喷塑工艺处理，防止生锈。</w:t>
            </w:r>
          </w:p>
          <w:p w14:paraId="270656B2">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(9) 外观 钢材表面涂层均匀牢固，无流挂、气泡等缺陷。塑料件表面平整、色彩均匀、有光泽。整体着色采用亮色搭配，美观大方，符合青少年身心发展特点。桌架内侧无螺丝外露，防止挂蹭。</w:t>
            </w:r>
          </w:p>
          <w:p w14:paraId="0A6CF65D">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学生凳：                                                                                                                                             (1) 整体规格 大于或等于350mm×250mm×（380-440）mm塑钢结构、可升降、单人课凳(高，共4档)。</w:t>
            </w:r>
          </w:p>
          <w:p w14:paraId="6F9A2AF3">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(2) 凳面规格 规格大于或等于350mm×250mm，采用人体工学原理，曲面弧度设计，凳面设置透气缝，宽度4-6.5mm,及时排走久坐产生的热量。凳面厚度大于或等于4mm。 采用全新PP工程塑料一次注塑成型，舒适有弹性。</w:t>
            </w:r>
          </w:p>
          <w:p w14:paraId="0C91F0EA">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(3) 凳架 凳腿和底管采用≥60mm×30mm×1.5mm的椭圆钢管。升降管及凳撑采用≥50mm×20mm×1.2mm的椭圆钢管，凳撑与立管连接处焊接固定。升降管采用拉伸攻丝螺母连接。各焊接处光滑平整无虚焊现象。</w:t>
            </w:r>
          </w:p>
          <w:p w14:paraId="365D5664">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(4) 托管 托管采用≥15mm×35mm×1.5mm的椭圆钢管。两端开口处安装有塑制封盖；托管与凳面采用隐蔽式连接，外置封盖。</w:t>
            </w:r>
          </w:p>
          <w:p w14:paraId="6CF02DAD">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(5) 升降 升降接口采用内塞式PE工程塑料一次注塑成型封头，接口结合紧密，无摇晃。采用高强度圆头螺栓连接。</w:t>
            </w:r>
          </w:p>
          <w:p w14:paraId="79AF2EFD">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(6) 脚套 采用纯聚氨酯注塑成形，脚垫固定安全牢固。</w:t>
            </w:r>
          </w:p>
          <w:p w14:paraId="1F32FC09">
            <w:pPr>
              <w:pStyle w:val="2"/>
              <w:ind w:right="105"/>
              <w:rPr>
                <w:rFonts w:hint="eastAsia" w:ascii="宋体" w:hAnsi="宋体" w:eastAsia="宋体" w:cs="宋体"/>
                <w:color w:val="auto"/>
                <w:sz w:val="21"/>
                <w:szCs w:val="21"/>
              </w:rPr>
            </w:pPr>
            <w:r>
              <w:rPr>
                <w:rFonts w:hint="eastAsia" w:ascii="宋体" w:hAnsi="宋体" w:eastAsia="宋体" w:cs="宋体"/>
                <w:color w:val="auto"/>
                <w:sz w:val="21"/>
                <w:szCs w:val="21"/>
              </w:rPr>
              <w:t>(7) 工艺 钢材采用CO₂保护焊机器人焊接，表层采用酸洗、磷化、喷塑工艺处理，防止生锈。</w:t>
            </w:r>
          </w:p>
          <w:p w14:paraId="19BFA73C">
            <w:pPr>
              <w:pStyle w:val="2"/>
              <w:ind w:right="105" w:rightChars="50"/>
              <w:rPr>
                <w:rFonts w:ascii="宋体" w:hAnsi="宋体" w:eastAsia="宋体" w:cs="宋体"/>
                <w:bCs/>
                <w:color w:val="auto"/>
                <w:kern w:val="0"/>
                <w:sz w:val="21"/>
                <w:szCs w:val="21"/>
                <w:lang w:val="en-US" w:eastAsia="zh-CN" w:bidi="ar-SA"/>
              </w:rPr>
            </w:pPr>
            <w:r>
              <w:rPr>
                <w:rFonts w:hint="eastAsia" w:ascii="宋体" w:hAnsi="宋体" w:eastAsia="宋体" w:cs="宋体"/>
                <w:color w:val="auto"/>
                <w:sz w:val="21"/>
                <w:szCs w:val="21"/>
              </w:rPr>
              <w:t>(8) 外观 钢材表面涂层均匀牢固，无流挂、气泡等缺陷。塑料件表面平整、色彩均匀、光泽。整体着色采用亮色搭配，美观大方，符合青少年身心发展特点。凳架内侧无螺丝外露，防止挂蹭。</w:t>
            </w:r>
          </w:p>
        </w:tc>
        <w:tc>
          <w:tcPr>
            <w:tcW w:w="667" w:type="dxa"/>
            <w:shd w:val="clear" w:color="auto" w:fill="auto"/>
            <w:vAlign w:val="center"/>
          </w:tcPr>
          <w:p w14:paraId="151BADE1">
            <w:pPr>
              <w:pStyle w:val="2"/>
              <w:ind w:right="105" w:rightChars="50"/>
              <w:rPr>
                <w:rFonts w:asciiTheme="minorHAnsi" w:hAnsiTheme="minorHAnsi" w:eastAsiaTheme="minorEastAsia" w:cstheme="minorBidi"/>
                <w:bCs/>
                <w:color w:val="auto"/>
                <w:kern w:val="0"/>
                <w:sz w:val="21"/>
                <w:szCs w:val="21"/>
                <w:lang w:val="en-US" w:eastAsia="zh-CN" w:bidi="ar-SA"/>
              </w:rPr>
            </w:pPr>
            <w:r>
              <w:rPr>
                <w:rFonts w:hint="eastAsia"/>
                <w:color w:val="auto"/>
                <w:sz w:val="21"/>
                <w:szCs w:val="21"/>
              </w:rPr>
              <w:t>台</w:t>
            </w:r>
          </w:p>
        </w:tc>
        <w:tc>
          <w:tcPr>
            <w:tcW w:w="644" w:type="dxa"/>
            <w:shd w:val="clear" w:color="auto" w:fill="auto"/>
            <w:vAlign w:val="center"/>
          </w:tcPr>
          <w:p w14:paraId="3FF75358">
            <w:pPr>
              <w:pStyle w:val="2"/>
              <w:ind w:right="105" w:rightChars="50"/>
              <w:rPr>
                <w:rFonts w:hint="default" w:asciiTheme="minorHAnsi" w:hAnsiTheme="minorHAnsi" w:eastAsiaTheme="minorEastAsia" w:cstheme="minorBidi"/>
                <w:bCs/>
                <w:color w:val="auto"/>
                <w:kern w:val="0"/>
                <w:sz w:val="21"/>
                <w:szCs w:val="21"/>
                <w:lang w:val="en-US" w:eastAsia="zh-CN" w:bidi="ar-SA"/>
              </w:rPr>
            </w:pPr>
            <w:r>
              <w:rPr>
                <w:rFonts w:hint="eastAsia" w:cstheme="minorBidi"/>
                <w:bCs/>
                <w:color w:val="auto"/>
                <w:kern w:val="0"/>
                <w:sz w:val="21"/>
                <w:szCs w:val="21"/>
                <w:lang w:val="en-US" w:eastAsia="zh-CN" w:bidi="ar-SA"/>
              </w:rPr>
              <w:t>5809</w:t>
            </w:r>
          </w:p>
        </w:tc>
      </w:tr>
      <w:tr w14:paraId="3E54EC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0" w:type="dxa"/>
            <w:shd w:val="clear" w:color="auto" w:fill="auto"/>
            <w:vAlign w:val="center"/>
          </w:tcPr>
          <w:p w14:paraId="7D183351">
            <w:pPr>
              <w:pStyle w:val="2"/>
              <w:ind w:right="105" w:rightChars="50"/>
              <w:rPr>
                <w:rFonts w:hint="eastAsia" w:asciiTheme="minorHAnsi" w:hAnsiTheme="minorHAnsi" w:eastAsiaTheme="minorEastAsia" w:cstheme="minorBidi"/>
                <w:bCs/>
                <w:color w:val="auto"/>
                <w:kern w:val="0"/>
                <w:sz w:val="21"/>
                <w:szCs w:val="21"/>
                <w:lang w:val="en-US" w:eastAsia="zh-CN" w:bidi="ar-SA"/>
              </w:rPr>
            </w:pPr>
            <w:r>
              <w:rPr>
                <w:rFonts w:hint="eastAsia"/>
                <w:color w:val="auto"/>
                <w:sz w:val="21"/>
                <w:szCs w:val="21"/>
                <w:lang w:val="en-US" w:eastAsia="zh-CN"/>
              </w:rPr>
              <w:t>7</w:t>
            </w:r>
          </w:p>
        </w:tc>
        <w:tc>
          <w:tcPr>
            <w:tcW w:w="952" w:type="dxa"/>
            <w:shd w:val="clear" w:color="auto" w:fill="auto"/>
            <w:vAlign w:val="center"/>
          </w:tcPr>
          <w:p w14:paraId="1DDF7DA6">
            <w:pPr>
              <w:pStyle w:val="2"/>
              <w:ind w:right="105" w:rightChars="50"/>
              <w:rPr>
                <w:rFonts w:hint="eastAsia" w:asciiTheme="minorHAnsi" w:hAnsiTheme="minorHAnsi" w:eastAsiaTheme="minorEastAsia" w:cstheme="minorBidi"/>
                <w:bCs/>
                <w:color w:val="auto"/>
                <w:kern w:val="0"/>
                <w:sz w:val="21"/>
                <w:szCs w:val="21"/>
                <w:lang w:val="en-US" w:eastAsia="zh-CN" w:bidi="ar-SA"/>
              </w:rPr>
            </w:pPr>
            <w:r>
              <w:rPr>
                <w:rFonts w:hint="eastAsia"/>
                <w:color w:val="auto"/>
                <w:sz w:val="21"/>
                <w:szCs w:val="21"/>
                <w:lang w:val="en-US" w:eastAsia="zh-CN"/>
              </w:rPr>
              <w:t>高低床</w:t>
            </w:r>
          </w:p>
        </w:tc>
        <w:tc>
          <w:tcPr>
            <w:tcW w:w="6000" w:type="dxa"/>
            <w:shd w:val="clear" w:color="auto" w:fill="auto"/>
            <w:vAlign w:val="center"/>
          </w:tcPr>
          <w:p w14:paraId="3241AE40">
            <w:pPr>
              <w:pStyle w:val="2"/>
              <w:ind w:right="105"/>
              <w:rPr>
                <w:rFonts w:hint="eastAsia"/>
                <w:color w:val="auto"/>
                <w:sz w:val="21"/>
                <w:szCs w:val="21"/>
              </w:rPr>
            </w:pPr>
            <w:r>
              <w:rPr>
                <w:rFonts w:hint="eastAsia"/>
                <w:color w:val="auto"/>
                <w:sz w:val="21"/>
                <w:szCs w:val="21"/>
              </w:rPr>
              <w:t>1.规格:2000长mm×900宽mm×1700高mm</w:t>
            </w:r>
          </w:p>
          <w:p w14:paraId="18A8323E">
            <w:pPr>
              <w:pStyle w:val="2"/>
              <w:ind w:right="105"/>
              <w:rPr>
                <w:rFonts w:hint="eastAsia"/>
                <w:color w:val="auto"/>
                <w:sz w:val="21"/>
                <w:szCs w:val="21"/>
              </w:rPr>
            </w:pPr>
            <w:r>
              <w:rPr>
                <w:rFonts w:hint="eastAsia"/>
                <w:color w:val="auto"/>
                <w:sz w:val="21"/>
                <w:szCs w:val="21"/>
              </w:rPr>
              <w:t>2.床头立柱采用国标40×40×1.5mm方管，横橧为国标30×30×1.3mm方管，竖橧不少于四根的国标25×25×1.2mm方管。优质方钢管,结构采用气体保护焊焊接工艺,不得采用分体制作。</w:t>
            </w:r>
          </w:p>
          <w:p w14:paraId="33C1E629">
            <w:pPr>
              <w:pStyle w:val="2"/>
              <w:ind w:right="105"/>
              <w:rPr>
                <w:rFonts w:hint="eastAsia"/>
                <w:color w:val="auto"/>
                <w:sz w:val="21"/>
                <w:szCs w:val="21"/>
              </w:rPr>
            </w:pPr>
            <w:r>
              <w:rPr>
                <w:rFonts w:hint="eastAsia"/>
                <w:color w:val="auto"/>
                <w:sz w:val="21"/>
                <w:szCs w:val="21"/>
              </w:rPr>
              <w:t>3.床框主管采用国标30×50×1.5mm方管，横橧采用国标30×30×1.2mm方管5根均匀分布。上框下沿距地面高度1400mm,下框上沿距地面450mm.结构采用气体保护焊机器人焊接工艺,不得采用分体制作。</w:t>
            </w:r>
          </w:p>
          <w:p w14:paraId="46C2FAEF">
            <w:pPr>
              <w:pStyle w:val="2"/>
              <w:ind w:right="105"/>
              <w:rPr>
                <w:rFonts w:hint="eastAsia"/>
                <w:color w:val="auto"/>
                <w:sz w:val="21"/>
                <w:szCs w:val="21"/>
              </w:rPr>
            </w:pPr>
            <w:r>
              <w:rPr>
                <w:rFonts w:hint="eastAsia"/>
                <w:color w:val="auto"/>
                <w:sz w:val="21"/>
                <w:szCs w:val="21"/>
              </w:rPr>
              <w:t>4.床梯采用国标25×25×1.2mm方管，踏板为1.2mm厚优质钢板一次冲压成型，上带菱形防滑块，结构采用整体气体保护焊全焊接工艺,不得采用分体制作,床梯与床框利用隐藏螺丝连接。</w:t>
            </w:r>
          </w:p>
          <w:p w14:paraId="50B93EEC">
            <w:pPr>
              <w:pStyle w:val="2"/>
              <w:ind w:right="105"/>
              <w:rPr>
                <w:rFonts w:hint="eastAsia"/>
                <w:color w:val="auto"/>
                <w:sz w:val="21"/>
                <w:szCs w:val="21"/>
              </w:rPr>
            </w:pPr>
            <w:r>
              <w:rPr>
                <w:rFonts w:hint="eastAsia"/>
                <w:color w:val="auto"/>
                <w:sz w:val="21"/>
                <w:szCs w:val="21"/>
              </w:rPr>
              <w:t>5.护栏采用国标25×25×1.2mm方管，长度为1000mm，高度为250mm，结构采用整体气体保护焊全焊接工艺,不得采用分体制作,竖橧≥3.</w:t>
            </w:r>
          </w:p>
          <w:p w14:paraId="79E775E0">
            <w:pPr>
              <w:pStyle w:val="2"/>
              <w:ind w:right="105"/>
              <w:rPr>
                <w:rFonts w:hint="eastAsia"/>
                <w:color w:val="auto"/>
                <w:sz w:val="21"/>
                <w:szCs w:val="21"/>
              </w:rPr>
            </w:pPr>
            <w:r>
              <w:rPr>
                <w:rFonts w:hint="eastAsia"/>
                <w:color w:val="auto"/>
                <w:sz w:val="21"/>
                <w:szCs w:val="21"/>
              </w:rPr>
              <w:t>6.床板规格1910×825×16mm,北方优质松木板,坚固耐压不变形,板缝不能大于2mm,木板不能多于5块，板下带4根木橧30mm×30mm，用圆钉固定好，结实耐用。板面平整光滑无木刺。</w:t>
            </w:r>
          </w:p>
          <w:p w14:paraId="46836BDC">
            <w:pPr>
              <w:pStyle w:val="2"/>
              <w:ind w:right="105"/>
              <w:rPr>
                <w:rFonts w:hint="eastAsia"/>
                <w:color w:val="auto"/>
                <w:sz w:val="21"/>
                <w:szCs w:val="21"/>
              </w:rPr>
            </w:pPr>
            <w:r>
              <w:rPr>
                <w:rFonts w:hint="eastAsia"/>
                <w:color w:val="auto"/>
                <w:sz w:val="21"/>
                <w:szCs w:val="21"/>
              </w:rPr>
              <w:t>7.脚套:立柱上脚套采用软质聚录乙烯，防止磕碰，四周拐角为R8度，有效保护学生安全；四周壁厚5mm，底部厚度6mm，总高度90mm，圆弧顶高3mm，立柱上下胶套为一次注塑成型，胶套不得采用3D打印。</w:t>
            </w:r>
          </w:p>
          <w:p w14:paraId="26427BA7">
            <w:pPr>
              <w:pStyle w:val="2"/>
              <w:ind w:right="105" w:rightChars="50"/>
              <w:rPr>
                <w:rFonts w:asciiTheme="minorHAnsi" w:hAnsiTheme="minorHAnsi" w:eastAsiaTheme="minorEastAsia" w:cstheme="minorBidi"/>
                <w:bCs/>
                <w:color w:val="auto"/>
                <w:kern w:val="0"/>
                <w:sz w:val="21"/>
                <w:szCs w:val="21"/>
                <w:lang w:val="en-US" w:eastAsia="zh-CN" w:bidi="ar-SA"/>
              </w:rPr>
            </w:pPr>
            <w:r>
              <w:rPr>
                <w:rFonts w:hint="eastAsia"/>
                <w:color w:val="auto"/>
                <w:sz w:val="21"/>
                <w:szCs w:val="21"/>
              </w:rPr>
              <w:t>8.颜色为灰白色。</w:t>
            </w:r>
          </w:p>
        </w:tc>
        <w:tc>
          <w:tcPr>
            <w:tcW w:w="667" w:type="dxa"/>
            <w:shd w:val="clear" w:color="auto" w:fill="auto"/>
            <w:vAlign w:val="center"/>
          </w:tcPr>
          <w:p w14:paraId="05648685">
            <w:pPr>
              <w:pStyle w:val="2"/>
              <w:ind w:right="105" w:rightChars="50"/>
              <w:rPr>
                <w:rFonts w:hint="default" w:asciiTheme="minorHAnsi" w:hAnsiTheme="minorHAnsi" w:eastAsiaTheme="minorEastAsia" w:cstheme="minorBidi"/>
                <w:bCs/>
                <w:color w:val="auto"/>
                <w:kern w:val="0"/>
                <w:sz w:val="24"/>
                <w:lang w:val="en-US" w:eastAsia="zh-CN" w:bidi="ar-SA"/>
              </w:rPr>
            </w:pPr>
            <w:r>
              <w:rPr>
                <w:rFonts w:hint="eastAsia" w:cstheme="minorBidi"/>
                <w:bCs/>
                <w:color w:val="auto"/>
                <w:kern w:val="0"/>
                <w:sz w:val="24"/>
                <w:lang w:val="en-US" w:eastAsia="zh-CN" w:bidi="ar-SA"/>
              </w:rPr>
              <w:t>位</w:t>
            </w:r>
          </w:p>
        </w:tc>
        <w:tc>
          <w:tcPr>
            <w:tcW w:w="644" w:type="dxa"/>
            <w:shd w:val="clear" w:color="auto" w:fill="auto"/>
            <w:vAlign w:val="center"/>
          </w:tcPr>
          <w:p w14:paraId="5623F22A">
            <w:pPr>
              <w:pStyle w:val="2"/>
              <w:ind w:right="105" w:rightChars="50"/>
              <w:rPr>
                <w:rFonts w:hint="default" w:asciiTheme="minorHAnsi" w:hAnsiTheme="minorHAnsi" w:eastAsiaTheme="minorEastAsia" w:cstheme="minorBidi"/>
                <w:bCs/>
                <w:color w:val="auto"/>
                <w:kern w:val="0"/>
                <w:sz w:val="24"/>
                <w:lang w:val="en-US" w:eastAsia="zh-CN" w:bidi="ar-SA"/>
              </w:rPr>
            </w:pPr>
            <w:r>
              <w:rPr>
                <w:rFonts w:hint="eastAsia" w:cstheme="minorBidi"/>
                <w:bCs/>
                <w:color w:val="auto"/>
                <w:kern w:val="0"/>
                <w:sz w:val="24"/>
                <w:lang w:val="en-US" w:eastAsia="zh-CN" w:bidi="ar-SA"/>
              </w:rPr>
              <w:t>2390</w:t>
            </w:r>
          </w:p>
        </w:tc>
      </w:tr>
    </w:tbl>
    <w:p w14:paraId="022AB81F">
      <w:pPr>
        <w:rPr>
          <w:b/>
          <w:bCs/>
          <w:color w:val="auto"/>
          <w:sz w:val="24"/>
          <w:szCs w:val="28"/>
        </w:rPr>
      </w:pPr>
      <w:r>
        <w:rPr>
          <w:b/>
          <w:bCs/>
          <w:color w:val="auto"/>
          <w:sz w:val="24"/>
          <w:szCs w:val="28"/>
        </w:rPr>
        <w:br w:type="page"/>
      </w:r>
    </w:p>
    <w:p w14:paraId="0DD8A1F4">
      <w:pPr>
        <w:rPr>
          <w:b/>
          <w:bCs/>
          <w:color w:val="auto"/>
          <w:sz w:val="24"/>
          <w:szCs w:val="28"/>
        </w:rPr>
      </w:pPr>
      <w:r>
        <w:rPr>
          <w:rFonts w:hint="eastAsia"/>
          <w:b/>
          <w:bCs/>
          <w:color w:val="auto"/>
          <w:sz w:val="24"/>
          <w:szCs w:val="28"/>
        </w:rPr>
        <w:t>2包</w:t>
      </w:r>
    </w:p>
    <w:p w14:paraId="5BCBDE35">
      <w:pPr>
        <w:rPr>
          <w:color w:val="auto"/>
        </w:rPr>
      </w:pPr>
    </w:p>
    <w:p w14:paraId="7DE5DFD5">
      <w:pPr>
        <w:numPr>
          <w:ilvl w:val="0"/>
          <w:numId w:val="2"/>
        </w:num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初中数学仪器</w:t>
      </w:r>
    </w:p>
    <w:tbl>
      <w:tblPr>
        <w:tblStyle w:val="24"/>
        <w:tblW w:w="92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3225"/>
        <w:gridCol w:w="2790"/>
        <w:gridCol w:w="1080"/>
        <w:gridCol w:w="1080"/>
      </w:tblGrid>
      <w:tr w14:paraId="26041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255" w:type="dxa"/>
            <w:gridSpan w:val="5"/>
            <w:tcBorders>
              <w:top w:val="nil"/>
              <w:left w:val="nil"/>
              <w:bottom w:val="nil"/>
              <w:right w:val="nil"/>
            </w:tcBorders>
            <w:shd w:val="clear" w:color="auto" w:fill="auto"/>
            <w:vAlign w:val="center"/>
          </w:tcPr>
          <w:p w14:paraId="0D62D52C">
            <w:pPr>
              <w:keepNext w:val="0"/>
              <w:keepLines w:val="0"/>
              <w:widowControl/>
              <w:suppressLineNumbers w:val="0"/>
              <w:jc w:val="center"/>
              <w:textAlignment w:val="center"/>
              <w:rPr>
                <w:rFonts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初中数学仪器</w:t>
            </w:r>
          </w:p>
        </w:tc>
      </w:tr>
      <w:tr w14:paraId="269CF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F98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编号</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5F160">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Style w:val="41"/>
                <w:color w:val="auto"/>
                <w:lang w:val="en-US" w:eastAsia="zh-CN" w:bidi="ar"/>
              </w:rPr>
              <w:t>名</w:t>
            </w:r>
            <w:r>
              <w:rPr>
                <w:rFonts w:hint="default" w:ascii="Times New Roman" w:hAnsi="Times New Roman" w:eastAsia="黑体" w:cs="Times New Roman"/>
                <w:i w:val="0"/>
                <w:iCs w:val="0"/>
                <w:color w:val="auto"/>
                <w:kern w:val="0"/>
                <w:sz w:val="24"/>
                <w:szCs w:val="24"/>
                <w:u w:val="none"/>
                <w:lang w:val="en-US" w:eastAsia="zh-CN" w:bidi="ar"/>
              </w:rPr>
              <w:t xml:space="preserve">        </w:t>
            </w:r>
            <w:r>
              <w:rPr>
                <w:rStyle w:val="41"/>
                <w:color w:val="auto"/>
                <w:lang w:val="en-US" w:eastAsia="zh-CN" w:bidi="ar"/>
              </w:rPr>
              <w:t>称</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28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规格 型号 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799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B8D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数量</w:t>
            </w:r>
          </w:p>
        </w:tc>
      </w:tr>
      <w:tr w14:paraId="7DDA9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BF1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1011</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0AEB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计算器</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7C1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函数型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177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ABA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r>
      <w:tr w14:paraId="58308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68A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10003</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2B6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直尺</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6AE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17C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F33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46D9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AAD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10005</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EF8B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钢卷尺</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F3B8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926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366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CDF0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06C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20001</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C7F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三角板</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42F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教师用，60°、45°各1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296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4A2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r>
      <w:tr w14:paraId="1AEBB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B34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20002</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6658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8833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教师演示作图用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6C2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809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2A48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AE5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20003</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AA3C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丁字尺</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8465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演示用，不小于800mm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ACE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A30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7DBD4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A55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20004</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752D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量角器</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2CAE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教师演示作图用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3B8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655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2CA1F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69D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20005</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97E3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直角坐标黑板</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46F7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Style w:val="42"/>
                <w:color w:val="auto"/>
                <w:lang w:val="en-US" w:eastAsia="zh-CN" w:bidi="ar"/>
              </w:rPr>
              <w:t>尺寸≥60cm*80cm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44C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EFB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C8E7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792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20006</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8750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探索勾股定理的材料</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222A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由直角三角形、底图组成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07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095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4295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273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20007</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A802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多边形拼接条</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8CF2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不少于5种长度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55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C53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9D3D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547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20008</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667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探索圆的有关位置关系材料</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D030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由二组不同颜色的透明塑料片组成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149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21E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E8F6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6EA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20009</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2B49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探索几何形体展开操作材料</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8FD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由长方体、圆锥体、正方体、圆柱体组成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DA4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D97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101E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DFC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20010</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6C2A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探索几何形体截面操作材料</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346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由正方体、圆柱体、圆锥体、长方体、圆球组成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F33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021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1E0E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3E4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20011</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2DA5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探索旋转形几何形体的形成操作材料</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6D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圆柱体、圆锥体等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0E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104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r>
      <w:tr w14:paraId="623A7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5C9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20012</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D46A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转盘</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E1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可更换盘面内容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751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FF4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7BE8F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9A3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20013</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291A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投针实验器</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AF51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Style w:val="42"/>
                <w:color w:val="auto"/>
                <w:lang w:val="en-US" w:eastAsia="zh-CN" w:bidi="ar"/>
              </w:rPr>
              <w:t>针长≥4cm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7E3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290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10334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293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20014</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0120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塑料球</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FE97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两种颜色，外径不小于15mm，配不透明袋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C17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7B7F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r>
      <w:tr w14:paraId="40148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235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30001</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7CD8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几何形体模型</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D7A7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长方体、 正方体、 四棱柱、四棱锥、圆柱体、圆锥体、球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EE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5E1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0ACB7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6D1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30002</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58B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组合几何体模型</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73FB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由正方体、圆柱体、空心圆柱、圆锥等组成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6D8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884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7DEDD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7CC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50001</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3572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中学数学数与代数教学挂图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C868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08D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A073B">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w:t>
            </w:r>
          </w:p>
        </w:tc>
      </w:tr>
      <w:tr w14:paraId="05EA3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8F0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50002</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04B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中学数学空间与图形教学挂图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617A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460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A6B7B">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w:t>
            </w:r>
          </w:p>
        </w:tc>
      </w:tr>
      <w:tr w14:paraId="65FE2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922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50003</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43E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中学数学统计与概率教学挂图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DAB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DD8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8B3C3">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w:t>
            </w:r>
          </w:p>
        </w:tc>
      </w:tr>
      <w:tr w14:paraId="461E2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3FC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50004</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DBD2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中学数学资料挂图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A59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F41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45812">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w:t>
            </w:r>
          </w:p>
        </w:tc>
      </w:tr>
      <w:tr w14:paraId="2A04A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9EB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50301</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077F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计算机数学教学软件</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9C0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符合新课标要求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246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049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852D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F81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50302</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A9EE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中学数学教学素材库</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55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符合新课标要求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D69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B94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07B9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01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81053</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6F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切纸刀</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1B5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Style w:val="42"/>
                <w:color w:val="auto"/>
                <w:lang w:val="en-US" w:eastAsia="zh-CN" w:bidi="ar"/>
              </w:rPr>
              <w:t>A4尺寸</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865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443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8AE2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0DD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83001</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060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白卡纸(带四方格)、投影书写胶片</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B899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符合新课标要求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2B1A4">
            <w:pPr>
              <w:jc w:val="center"/>
              <w:rPr>
                <w:rFonts w:hint="eastAsia" w:ascii="宋体" w:hAnsi="宋体" w:eastAsia="宋体" w:cs="宋体"/>
                <w:i w:val="0"/>
                <w:iCs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E96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bl>
    <w:p w14:paraId="779F15CC">
      <w:pPr>
        <w:numPr>
          <w:ilvl w:val="0"/>
          <w:numId w:val="0"/>
        </w:num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p>
    <w:tbl>
      <w:tblPr>
        <w:tblStyle w:val="24"/>
        <w:tblW w:w="80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2160"/>
        <w:gridCol w:w="2640"/>
        <w:gridCol w:w="1080"/>
        <w:gridCol w:w="1080"/>
      </w:tblGrid>
      <w:tr w14:paraId="7F036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040" w:type="dxa"/>
            <w:gridSpan w:val="5"/>
            <w:tcBorders>
              <w:top w:val="nil"/>
              <w:left w:val="nil"/>
              <w:bottom w:val="nil"/>
              <w:right w:val="nil"/>
            </w:tcBorders>
            <w:shd w:val="clear" w:color="auto" w:fill="auto"/>
            <w:vAlign w:val="center"/>
          </w:tcPr>
          <w:p w14:paraId="4448E669">
            <w:pPr>
              <w:keepNext w:val="0"/>
              <w:keepLines w:val="0"/>
              <w:widowControl/>
              <w:suppressLineNumbers w:val="0"/>
              <w:jc w:val="center"/>
              <w:textAlignment w:val="center"/>
              <w:rPr>
                <w:rFonts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初中物理教学仪器仪器设备需求、预算明细表</w:t>
            </w:r>
          </w:p>
        </w:tc>
      </w:tr>
      <w:tr w14:paraId="548FE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2D76">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编号</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8ECA8">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名</w:t>
            </w:r>
            <w:r>
              <w:rPr>
                <w:rStyle w:val="43"/>
                <w:rFonts w:eastAsia="黑体"/>
                <w:color w:val="auto"/>
                <w:lang w:val="en-US" w:eastAsia="zh-CN" w:bidi="ar"/>
              </w:rPr>
              <w:t xml:space="preserve">        </w:t>
            </w:r>
            <w:r>
              <w:rPr>
                <w:rFonts w:hint="eastAsia" w:ascii="黑体" w:hAnsi="宋体" w:eastAsia="黑体" w:cs="黑体"/>
                <w:i w:val="0"/>
                <w:iCs w:val="0"/>
                <w:color w:val="auto"/>
                <w:kern w:val="0"/>
                <w:sz w:val="24"/>
                <w:szCs w:val="24"/>
                <w:u w:val="none"/>
                <w:lang w:val="en-US" w:eastAsia="zh-CN" w:bidi="ar"/>
              </w:rPr>
              <w:t>称</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C913E">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规格 型号 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FB100">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72B36">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数量</w:t>
            </w:r>
          </w:p>
        </w:tc>
      </w:tr>
      <w:tr w14:paraId="37B4C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65F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41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计算器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EA9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函数型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811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150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524E5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9A7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FAD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钢制黑板</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5A2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900mm×600mm，双面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500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07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7419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E88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758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打孔器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B3A8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四件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D37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8E4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2914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E9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E0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手摇抽气机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2980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双缸式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8D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EF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B98B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615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1716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直联泵</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8BBE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单相</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8A7F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1EA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3302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823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10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旋片式真空泵</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7862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2XZ－0.5型，单相</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226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9FE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1C3B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5DF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045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两用气筒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7430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脚踏式或手持式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047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DF4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4F9F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B294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6E22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抽气筒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2B33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极限抽气压力≤6.7×103 Pa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DEF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347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EFCF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AE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F02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打气筒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00FA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气筒外径≥30mm，长≥500mm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2A9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F8E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FDBC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6C3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E9B2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抽气盘</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2579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直径不小于180mm，附罩</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C77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4F8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F2E4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79D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E5A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仪器车</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CB3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喷塑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F0D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9C9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2B24D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525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2022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503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水准器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1404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由水准泡及其主体组成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F51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DCC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2E0B1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CB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2023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B50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充磁器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FDB2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主要由螺线管、整流器、电源按钮开关、功能转换开关和外壳组成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441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BC8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F125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86F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2051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EBC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放大镜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8BC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手持式,有效通光孔径不小于30mm，5倍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277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FE7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5864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D2C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2060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9EF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望远镜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22CB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双筒，7×35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150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C90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53E1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728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2061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F2D1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天文望远镜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9C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折射式，主镜口径50-100mm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4A9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5A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FF83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F93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2075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E45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酒精喷灯</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576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坐式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FD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D8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FF27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4897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22C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听诊器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D258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医用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46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3D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6867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9C4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074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注射器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4A73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7AC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441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A74E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0F9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E9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透明盛液筒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FC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φ100mm×300mm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623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126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A4E4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CC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2116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B05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透明水槽(圆形或方形)</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ED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φ270mm×高140mm，           或300mm×300mm×高150mm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7D4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59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D15C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F9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2125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38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碘升华凝华管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285D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密封式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170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C8E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B923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8B9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E0E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物理支架</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EBC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组合式。由大A型1个，小A型底座1个。桌边夹1个，烧瓶夹1个，垂直夹2个，平行夹1个，万能夹1个，铁环1个，长立杆1根，短立根1根，吊杆1根，绝綠棒1根，吊钩，圆托盘等组成。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87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8F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19270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2F7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3002</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A34F1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方座支架</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0099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方座支架附烧瓶夹一只，大小铁环各一只，垂直夹二只，平行夹一只</w:t>
            </w:r>
            <w:r>
              <w:rPr>
                <w:rFonts w:hint="eastAsia" w:ascii="宋体" w:hAnsi="宋体" w:eastAsia="宋体" w:cs="宋体"/>
                <w:i w:val="0"/>
                <w:iCs w:val="0"/>
                <w:color w:val="auto"/>
                <w:kern w:val="0"/>
                <w:sz w:val="24"/>
                <w:szCs w:val="24"/>
                <w:u w:val="none"/>
                <w:lang w:val="en-US" w:eastAsia="zh-CN" w:bidi="ar"/>
              </w:rPr>
              <w:t xml:space="preserve"> 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6E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6E2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292D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F67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84E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多功能实验支架</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CC7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组合支架由支座、支块、滑道等组成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65B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B24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56469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407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7FD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升降台</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D10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升降范围不小于150mm，载重量不小于10kg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32D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37E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1160D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70E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3006</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300066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三脚架</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33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由铁环和3只脚组成。铁环内径≥74mm 外径≥90mm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FAD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EF7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CCF9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BAC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3007</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3E3D9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泥三角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EB6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由3个圆形泥石球组成。由3根铁线串接，呈三角形。 </w:t>
            </w:r>
            <w:r>
              <w:rPr>
                <w:rFonts w:hint="eastAsia" w:ascii="宋体" w:hAnsi="宋体" w:eastAsia="宋体" w:cs="宋体"/>
                <w:i w:val="0"/>
                <w:iCs w:val="0"/>
                <w:color w:val="auto"/>
                <w:kern w:val="0"/>
                <w:sz w:val="24"/>
                <w:szCs w:val="24"/>
                <w:u w:val="none"/>
                <w:lang w:val="en-US" w:eastAsia="zh-CN" w:bidi="ar"/>
              </w:rPr>
              <w:t xml:space="preserve"> 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5FC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A3F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1014E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23E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D2FD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旋转架</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FF5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可拼式，成对配置</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442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05D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AF90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E04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408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学生电源</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2DB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直流1.5V～9V，1.5A,每1.5V一档</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5C0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AE9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DBD6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0CF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0D72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教学电源</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DF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交流 2V～12V，5A,每2V一档 ；                         直流 1.5V～12V，2A，         分为1.5V、3V、4.5V、6V、9V、12V，共六档； 40A、8s自动关断</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053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B1D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02F4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0BB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6F7B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蓄电池</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6671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6V，15Ah，封闭免维护式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402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74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5E02D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DFC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118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调压变压器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B95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2kVA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D5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F59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295F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FF6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07B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充电器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4E30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供蓄电池充电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A353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792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A587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11F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A823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电池盒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7AF5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可串并联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716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C69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0E2A4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50C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847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感应圈</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465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电子开关式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B3E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F49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2365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5E6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022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演示直尺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D919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CE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004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0E80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A03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3A57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木直尺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11C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0E6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B5F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6A54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E6C4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8AE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钢直尺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DF9A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729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0CB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AACF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39E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B14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钢卷尺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BC5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5D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B40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36FA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801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76B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布卷尺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8A58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759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391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4CB6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0D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91F6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游标卡尺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07E2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125mm，0.05mm或0.02mm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548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87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C103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E0AB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D37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外径千分尺(螺旋测微器)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4063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25mm，0.01mm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8D2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80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DA87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60C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1F6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物理天平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D25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710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3BC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C2EB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12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BD3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学生天平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7581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200g，0.02g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0B3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40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37ED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2B0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3E4A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托盘天平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E7E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200g，0.2g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7899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106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50968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27D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603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托盘天平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2B5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500g，0.5g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E5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07E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6DF35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5D79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4CFA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电子天平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4A7C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100g，0.001g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795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AA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DFEB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311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9C49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单杠杆天平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0EA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100g，0.01g，链式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603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3A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1A61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33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11018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437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案秤</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76EF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10kg，10g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F35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326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6EA8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CFF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E2CC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弹簧度盘秤</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D577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8kg，8g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F96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B07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7DAE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86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BC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金属钩码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210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10g×1，20g×2，50g×2，200g×2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09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8EC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EED0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49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11022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B92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金属槽码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9036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10g×1，20g×2，50g×2，200g×1，另附10g金属槽码盘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A1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86F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BC07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4BFE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12001</w:t>
            </w:r>
          </w:p>
        </w:tc>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20392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机械停表</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4408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0.1s</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8766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6452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B900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34D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5260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机械停钟</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8B2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0.1s</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7EC4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23E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551A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D7A0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15C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电子停表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891E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0.1s</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CEF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270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AF03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7D7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2AF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电子停钟</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9A23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0.1s</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E09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EF7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5403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E96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A114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节拍器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202C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电子式或机械式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2EF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01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65CB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F0A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D30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沙漏</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693E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计时仪器，塑料或木制底座，透明玻璃体，内装细砂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EB6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D72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67FB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AF8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7CE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日晷</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406F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ABS工程塑料制作，由晷盘，晷针，游杆，支撑杆构成。晷盘直径≥250mm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E22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D06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2B21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B45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13001</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AB06D6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温度计红液</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D111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红液，0℃～100℃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1BD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277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30517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7EA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3AA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温度计水银</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85C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水银，0℃～200℃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C0B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3E4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02E9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F47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FF34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演示温度计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E85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E26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45F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DB3C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161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B692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热敏温度计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D12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-10℃～＋100℃，线性刻度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C2D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3BC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D1AD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266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F26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双金属片温度计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809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免电池，自动感应</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2DE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79F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6F00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EE9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CD9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体温计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D84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水银，35℃～42℃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B2F4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E28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9729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F1D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68E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电子体温计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D931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带警示功能，警示响应时间应不大于2S。</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3973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ACE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F6EC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03C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D4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寒暑表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EE7B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指针式。测量温度范围：－30～50℃，精度：±1℃。尺寸：Φ125×17（mm）。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1D2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5D7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1147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1ED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77A2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条形盒测力计10N</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B68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78A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F80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1F4D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6E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2A2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条形盒测力计5N</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14B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D81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442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F801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437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660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条形盒测力计2.5N</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04DD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83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0F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1318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F6C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FD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条形盒测力计1N</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78BF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1N，分度值0.02N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A87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368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13AC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A8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392D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圆筒测力计5N</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7E81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2A47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C3D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645C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7B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36D2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圆筒测力计1N</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47D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1N，分度值0.02N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2F3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ECE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25C2F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079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95A2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平板测力计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E68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84A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7BE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CC70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D5A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37F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圆盘测力计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F6C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0C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6541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BBFC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635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A47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演示测力计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E38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0N～2N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E7F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588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565E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05CE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8955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拉压测力计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438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拉压两用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21B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D69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5A3DB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7E1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C4F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双向测力计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BDD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测拉力和压力用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DE4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05D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EB81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3B1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CFA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握力计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847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分度值0.1kg/0.2lb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B94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3A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D27A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148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D8E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拉力计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9EC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数字式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61D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425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254C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4A4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4DF2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演示电表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094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直流电压、电流，检流；2.5级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711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DC5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5EAA9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87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B70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数字演示电表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3B0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直流电压、电流，检流；四位半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D1A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796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48A32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E3F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74C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电能表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A1EF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单相</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AD1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EA3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3F86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054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4CD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绝缘电阻表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DE08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500V</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648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124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C194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880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5D14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直流电流表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0574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2.5级，0.6A，3A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17A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A83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39</w:t>
            </w:r>
          </w:p>
        </w:tc>
      </w:tr>
      <w:tr w14:paraId="47B25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E28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C807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直流电压表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BBF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2.5级，3V，15V</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A5C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A41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39</w:t>
            </w:r>
          </w:p>
        </w:tc>
      </w:tr>
      <w:tr w14:paraId="63126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121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03B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灵敏电流计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E0C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±300μA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AD1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E6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EA33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ABC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EF51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多用电表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320E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不低于模拟式电表的交流5级，直流2.5级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2F5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330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9F95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B91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F542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投影电流表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8CC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2.5级，0.6A，3A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E05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A38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3399D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01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B7A4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投影电压表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1058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2.5级，3V，15V</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DF3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FC6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0BA1B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1FD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3EB5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投影检流计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152B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±300μA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08B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807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86C9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CC7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192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教学示波器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F13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01E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00B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BB6D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08B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F41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大屏幕示波器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AAA1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屏幕对角线不小于63cm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6CA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952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8397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A9A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54A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密度计密度＞1</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1066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密度＞1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DA3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245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6D88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AB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1235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密度计密度＜1</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AD11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密度＜1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1F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CAD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666E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4D6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F99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湿度计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8241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指针式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42D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454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1EC3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164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1B3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罗盘</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A1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边长≥7cm，厚度≥1.5cm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FC4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B22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B20A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83D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856F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空盒气压计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1065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多膜盒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CF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2E1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5846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F8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C66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圆柱体组</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D15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铜，铁，铝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E54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646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C28F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74B7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6D72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立方体组</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19C1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铜，铁，铝，木材，不小于60cm</w:t>
            </w:r>
            <w:r>
              <w:rPr>
                <w:rStyle w:val="44"/>
                <w:color w:val="auto"/>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37C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A986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633E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3D1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19CF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运动和力实验器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013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长、短斜面，小车，小球2个，硬盒，毛巾，布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421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724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4048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012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99D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惯性演示器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7C53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力学仪器, 供中学演示物体的惯性用。由主体、开关、弹簧、绳线、挡片、金属球等组成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0A3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D62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8773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3E6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636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摩擦计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ACC2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由木制磨擦板和磨擦块组成。磨擦板规格不小于500mm×47mm×8mm。磨擦块外形规格不小于100mm×35mm×25mm。上面有两个砝码孔，端面中心有挂钩。</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53F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08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633D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7F3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0971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螺旋弹簧组</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381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0.5N，1N，2N，3N，5N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675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66B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8DD9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DB0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F52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阿基米德原理实验器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3F0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由测力计、塑料吊桶、塑料圆柱体、溢液杯组成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939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A99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AAC1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2F34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231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阿基米德原理及其应用实验器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D9B3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1．塑料吊桶、塑料圆柱体、溢液杯组成。2．演示测力计左侧量程为：0-2N，最小分度值为0.1N、最大分度值为0.5N。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8937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309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6E22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55B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F5A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液体压强与深度关系实验器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9936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产品由小槽1只、大筒1只、小筒、小筒座、小压强计、附件等组成。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78C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2C0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85A1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041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8437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连通器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E20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 本产品由玻璃连通器和底座两部分组成。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 外形尺寸不小于：210×120×210mm。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 玻璃件选用钠钙玻璃或硼硅玻璃。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 玻璃件壁厚约1.0mm。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 玻璃件细管外径为12mm，粗管外径为30mm。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127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8BE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1C11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928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140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帕斯卡球</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DEA3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整体尺寸≥33cm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D41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7A6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8787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1D5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EE1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浮力原理演示器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9063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1、大水槽1个，用透明材料制成，表面0～300刻度，规格不小于Φ105×200（mm）,中间隔板将大水槽分隔一个小水槽。2、排气管2个，分别安装在水槽底部和侧面。3、浮体1个，规格不小于Φ49×50（mm）附配重物5个。4、附浮胶管1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147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F44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8E6E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C84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4AA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物体浮沉条件演示器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C06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　产品由下列器材组成：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(1).水槽1套； (2).立方体(大小不同)5个； (3).塑料球(大小相同)5个； (4).玻璃瓶1只； (5).浮标1支； (6).橡皮泥1块； (7).鹅卵石1块； (8).木块1块； (9).泡沫1块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　水槽外形尺寸：190mmX100mmX100mm。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　立方体质量50g，体积各不相同。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　塑料球直径约30mm，体积相等，质量不相同。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　全部塑料件表面光洁，无明显变形，金属件无毛刺，无锈斑。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6FE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06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AD41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A7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43D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潜水艇浮沉演示器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516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塑料制，长≥15cm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865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308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F5BD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5D0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529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液体内部压强实验器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FF09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J2113型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620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A20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B398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977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39E7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微小压强计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F60B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J2114型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319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94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4AF8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E70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1A3F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液体对器壁压强演示器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9D1C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产品由承压盒、胶膜、胶管、支杆、调节机构等组成。承压盒侧面处有滑轮，承压盒尺寸Φ40×24mm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363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14B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29B2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C88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009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气体浮力演示器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E29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大球内胆、大气球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FC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9152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895F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238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7FF1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马德堡半球</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EE97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产品由两个附有拉手的铸铁或橡胶半球或圆盘组成。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982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8A6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F3B3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40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1A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大气压系列实验器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6D2D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由透明杯，橡胶套圈，胶塞，方格盖板，带咀盖板，多孔球盖，小气球，弹簧夹和乳胶管等组成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2C7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A7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595B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2E7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E187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压力和压强演示器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CA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产品有压强小桌、海绵块组成。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630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76D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241C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806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21022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644A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流体流速与压强关系演示器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FA1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C5C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8D8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07FE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DC6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775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杠杆</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F16A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用木材制作，表面平整、挺直、均匀、无毛刺。木材质应无节疤、无裂纹、无伤痕，并经脱脂干燥处理，含水率≤18％。漆面光亮</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A3B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2D0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EAB1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DF0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11A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演示滑轮组</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ED6C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单2，三并2，三串2，可卡2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131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5B40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9174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61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6371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滑轮组</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44B8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单4，二并2，二串2，可卡2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004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5A5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408B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62B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ACCB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滚摆</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D32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产品主要由底座1个，滚摆1个，滚摆轴1根，支撑杆2根，吊线1根，摆梁1根组成。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ECE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3DF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15EF3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DF2E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943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离心轨道</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DFF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有捕球网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2E9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590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98C7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E90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5364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力学实验盒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059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便携式收纳箱</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596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B09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ACBB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B87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EB2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初中力学演示板</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76B9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手提式力学组合仪器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1712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FF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DB57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493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0226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飞机升力原理演示器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D779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产品由风机、飞机模型、透明罩、滑杆、滑杆压板、底座等组成。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8E1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DC47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A503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D7D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3F52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手摇离心转台</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99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产品由机座、主动轮（附摇柄）和从动轮等组成。外形尺寸：约550×240×150mm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4ED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34C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FE93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46C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E7BD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音叉256Hz</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62B1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256Hz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0F3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162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5A35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6F0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736D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音叉512Hz</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73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512Hz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7FA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C59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FC20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2C7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513E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发音齿轮</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DD3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产品由三片齿板、转动轴等组成。齿轮用钢材制成，外形尺寸约φ78×134mm。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2B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7CA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D750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7DC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1B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单摆</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F4D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一个摆球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65B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F12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E0DC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F60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A561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纵波演示器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6BD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仪器金属支架悬挂弹簧形式，全长110cm、Φ60mm螺旋弹簧自由悬挂在金属支架上，振源金属球可上下调节，整套仪器包括机架1个（螺旋弹簧1支、振源2只）；连接杆15个；反光白布1块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8DA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52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621B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876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74ED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声传播演示器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97AB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由面板、透明圆筒、发声系统、接收系统、抽气系统等组成。2、面板：外形尺寸不小于长400mm，宽300mm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529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C3A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77C3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200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80E9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超声应用演示器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CE39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≥长200mm宽170mm厚65mm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58CC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CDD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B31D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EBD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5B4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声速测量仪</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57E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≥长130mm宽90mm厚65mm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C7B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57DF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1DDB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AA9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4AD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量热器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6ED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铝制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E9C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E10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21DD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C60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672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内聚力演示器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F02F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有挤压扳动器和刮削器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2D8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50A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7944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5A03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5AE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空气压缩引火仪</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BD75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组合式，有手柄1个、连杆1个、端盖1个、耐油橡胶圈3个、5 M4螺母、垫圈1副、汽缸体1个 、底座1个组成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6A2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2B6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5EDF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499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F2D3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爆燃器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1D0F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酒精点火，透明盒，附电子点火器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257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6F2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DE4C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3A7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E576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机械能热能互变演示器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194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组合式，有手柄1个、连杆1个、端盖1个、耐油橡胶圈3个、5 M4螺母、垫圈1副、汽缸体1个 、底座1个组成。手柄为塑料制品</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D1E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42B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2FAF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969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7094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金属线膨胀演示器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3AD7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≥长260mm高270mm宽110mm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037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8D47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C96B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EA4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F01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固体缩力演示器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5AA0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≥长250mm宽70mm厚60mm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702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BD3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A69E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357B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7CF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热传导演示器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0BDA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由底座、支杆、蓄热块、导热杆呈辐射状分布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C6A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4A5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47C9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2B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6987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双金属片</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CDB6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铜片、铁片各一</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6C5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D4D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DC95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0D1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FE51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气体做功内能减少演示器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EC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玻璃管演示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B21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F2F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C696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2FB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C53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气体做功内能减少演示器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E42C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用热敏电阻演示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9BA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D4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A16D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791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203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声热实验盒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FD79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初中物理演示声现象和热现象实验。</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85D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333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09D4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7C0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740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纸盘扬声器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5655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直径不小于200mm，8Ω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5DF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33E9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93B7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AB3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2D9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手持式喇叭</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E5E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可充电、带录音功能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7B0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267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8758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2B7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EA7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玻棒(附丝绸)</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29B4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或有机玻棒(附丝绸)，教师用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20F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2C0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0DE4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867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81E1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玻棒(附丝绸)</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F30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或有机玻棒(附丝绸)，学生用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9656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C21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B757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686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66BE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胶棒(附毛皮)</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41A3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或聚碳酸酯棒(附毛皮)，教师用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D7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BEB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8F36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F32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2DD3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胶棒(附毛皮)</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A4C0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或聚碳酸酯棒(附毛皮)，学生用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596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438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6970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E84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647E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箔片验电器教师用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DF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教师用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048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8F7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95D2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37C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B3DA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箔片验电器学生用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6FA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2D7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031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C61D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F8E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90E9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指针验电器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6F89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由两只灵敏度相同的指针验电器组成。指针验电器由外壳、圆球或圆盘、导电杆、绝缘子、指针、指针架、接地线柱等构成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5BA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4AB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BBE1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DF6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FC6A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感应起电机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A42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起电盘直径275mm，厚3mm的有机玻璃板制成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5DD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365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BA21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961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F1E7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枕形导体</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6495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用于演示静电感应和感应起电。结构：二只金属制成的空心圆筒，一端为半球面，另一端为平口，将二只圆筒的平口对合起来，就成为一个枕形导体，每只导体均有绝缘支杆及底座。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4F7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4B2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2995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502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E0B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小灯座</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F575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底座：75mm×35mm×10mm,工作电压不大于36V,工作电流不大于2.5A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F99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7CA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w:t>
            </w:r>
          </w:p>
        </w:tc>
      </w:tr>
      <w:tr w14:paraId="5C4D6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DC1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823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单刀开关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BC3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1、由底座，接线柱，闸刀，刀座，刀承和绝缘手柄组成。2、底座：黑色塑料，75mm×35mm×10mm  闸刀，刀座磷铜片,工作电压不超过36V，工作电流不超过6A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CD4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353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w:t>
            </w:r>
          </w:p>
        </w:tc>
      </w:tr>
      <w:tr w14:paraId="46D36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684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23012</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C2E240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滑动变阻器20Ω</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0ED8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20Ω，2A或10Ω，2A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2A7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073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5367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CAA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5A27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滑动变阻器50Ω行标大</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EAB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50Ω，1.5A  行标大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CD9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1E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266B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5AD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1E94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滑动变阻器50Ω1.5A</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5E6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50Ω，1.5A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2D8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736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0B2D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622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23014</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7E0277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滑动变阻器5Ω</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A31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5Ω，3A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BB5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960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77B0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7B7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B3E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电阻圈</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3B6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5Ω，10Ω，15Ω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88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6ED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6BC2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657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A94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电阻定律演示器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88AD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冷轧板成形，喷塑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1CD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EEB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FEB9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120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5F4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电阻定律实验器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0968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冷轧板成形，喷塑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1A9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F84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4EF1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B8E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59E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演示电阻箱</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9964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测量范围：0-9999Ω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9FB1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DDB7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811D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838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23022</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53DAD32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教学电阻箱</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6E2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9999.9Ω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C5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648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3F50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13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23023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959B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简式电阻箱</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4D51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9999Ω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251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92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41F3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33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9F65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演示线路实验板</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BC6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初中演示组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650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58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0675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277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2BD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初中电学演示箱</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B2A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磁贴式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17F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A9F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CF83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13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1F9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学生线路实验板</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34D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初中学生组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F3F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217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546D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6E7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5889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单刀双掷开关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4BD3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底座、接线柱，闸刀，刀座，双刀承和绝缘手柄组成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682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4F9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0E3A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83B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36C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双刀双掷开关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D7AC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底座、接线柱，双闸刀，刀座，双刀承和绝缘手柄组成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8FC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E6A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A86B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BDC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0343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焦耳定律演示器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D772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板、密闭空气盒：圆柱形，上面由透明塑料盖封住，圆柱内壁和下底面匀贴有绝热材料，盒内装有螺旋形电阻丝，并都设有排气管及用于观察的塑料管，塑料管长不小于300mm,外径不小于3mm；板面上要有电路图及对照刻线；电源电压：直流稳压6V</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562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5AA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213B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85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2BB8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焦耳定律实验器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F8D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探究电流的热效应，全长约170mm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D58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A8A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EDAB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72E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DD41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保险丝作用演示器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FC80B">
            <w:pPr>
              <w:jc w:val="left"/>
              <w:rPr>
                <w:rFonts w:hint="eastAsia" w:ascii="宋体" w:hAnsi="宋体" w:eastAsia="宋体" w:cs="宋体"/>
                <w:i w:val="0"/>
                <w:iCs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62A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6A2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EDD5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412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B99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玩具电动机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CD9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带座和风扇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286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554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63B0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4DC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D4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电子门铃</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8F1E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带座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90A2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98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26CD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EF9F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639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条形磁铁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76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D-CG-LT-180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BEE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C9A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8D9E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595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830D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蹄形磁铁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0D1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D-CG-LU-80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9C9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0C4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25C8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321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C093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磁感线演示器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8DB3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条形、蹄形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A71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23E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C129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D48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B0E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立体磁感线演示器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7EF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永磁、电磁场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9C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A67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21F8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4BB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D4F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磁感线演示板</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F150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可投影</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B98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E08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9ED6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516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FC16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电流磁场演示器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53DC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由透明底座、方线圈、圆线圈、螺线管、投影磁针等组成，底座规格：178mm×138mm×38mm，方线圈（80mm×50mm),圆线圈（直径Φ45mm），螺线管（直径Φ45mm）铜线。</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BF9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93A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33B8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742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183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菱形小磁针</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893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11D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209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3CC4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88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A9E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翼形磁针</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CE0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1、磁学仪器，供演示磁体的指向性和磁极的相互作用。2、有垂直翼形针体和支座两部分。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E90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69A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44FB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5EC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BC0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演示原副线圈</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E042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演示电磁感应和验证楞次定律用,由演示原线圈:内径Φ0.59QZ型漆包线平绕400匝,演示付线圈:内径Φ35±1mm,外径49±1mmΦ0.27QZ型漆包线平绕1150匝、软铁芯三部分组成。外形规格：70xl06xll3mm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8C2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0C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431C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891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907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原副线圈</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D711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学生分组实验用.由原线圈、付线圈、软铁蕊组成,原副线圈:内径Φ11mm,外径Φ15mm,200匝.副线圈:内径Φ24mm,外径Φ30mm,370匝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633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84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1865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27A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5AAC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蹄形电磁铁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01CD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密绕细线，稀绕粗线</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DBA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B89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CAD6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9142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8EA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电磁铁实验器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76E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 由一个U形铁芯、圆柱形铁芯、线圈、衔铁、指南针等组成2. 线圈外面有绕向标志。3．工作电压直流6V，工作电流不大于1A。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C91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FAE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58F7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83C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A18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电铃</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2F9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立式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6E5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99B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4495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CCE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9D6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演示电磁继电器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13A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由电磁系统和触点系统两部分组成。电磁系统包括：电磁线圈、铁芯衔铁；触点系统包括：常开、常闭触点各一对。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887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85D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854E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E00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B6D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电磁继电器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68F9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立式或卧式，外形尺寸：立式85×50×70mm；卧式100×65×70mm。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33A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4AC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E62C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75A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9161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磁场对电流作用实验器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4C74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钕铁硼磁片的强磁体，导电管，可悬挂使用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E35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6779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49D9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032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596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左右手定则演示器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0228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为组合式，由底座、撑杆、接线板、方形线圈组成；2、底座用塑料制作，规格不小于180mm×120mm×4mm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685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708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9C57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BBE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D0AE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小型电动机实验器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CCE0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模型主要由机架、转子、转轴螺钉、磁钢、磁钢架、换向器、电刷、接线柱、一字螺丝刀、扳手、连接导线组成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571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C36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449A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DCF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EEF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手摇交直流发电机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EEF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塑料框架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65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576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0BB6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59C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09C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电机原理说明器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E0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电机原理说明器主要由转子、机座等组成。外形尺寸：约260x230x254(mm）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5A1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A32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755F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A41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9BF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阴极射线管(磁效应管)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8990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磁效应管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113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201E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B2FA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18F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B09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低频信号发生器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1D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20Hz～20kHz，有功率输出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2A1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994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AA3B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735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180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电学实验盒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B922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由电流表、电压表、电池盒、灯座、电阻、滑动变阻器等组成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6A1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BEC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4325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9DA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4F2A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能的转化演示器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B1A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机械能、化学能、电能、热能、光能的转化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BC3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036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41FD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5A4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E43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能的转化实验器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F8AF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势能→动能,机械能→电能→热能→光能；化学能→电能→机械能→热能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016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752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962B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9F5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A59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磁悬浮演示器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AF7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1．由带控制旋钮的通电螺线管、永久性强磁铁底壳、支撑杆组成；2.工作电压为12-18V，直流电流最大不超过1A。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D92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E6C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580B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A29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1844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光具盘</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A32D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磁吸附式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665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A1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EA58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190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89E1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凹面镜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8B6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凹面镜的直径为100mm±2mm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C33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630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CFEC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3F3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673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凸面镜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473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凸面镜的直径为100±2mm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DAF6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753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4273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47A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B756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玻璃砖</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001C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玻璃砖为非等腰梯形，两底角分别为60°和45°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E90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BB1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2BDF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772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6EB5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光具座</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B9E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直径≥16mm，双轨，由导轨（包括支架）、滑块、标尺、附件等组成。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B8E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B0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121D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85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122B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光具组</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50A3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1．由导轨、支架、透镜、透镜框、滑块、标尺、光源、光屏等组成；2.光源出口处照度不小于500ＬＸ，０.５ｍ处照度不小于出口照度的3／5。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FF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613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7BA4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17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A78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三棱镜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3EC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由三棱镜、托架、支柱、底座等组成。2． 三棱镜体外形为正三棱柱，边长25mm，相邻两角为60±0.5°，棱长80mm。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9A3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0D2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77A4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A4B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DB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白光的色散与合成演示器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59A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由三棱镜2个（一对）、光源、光屏及底座等组成。2． 两块棱镜应配对，其折射率之差不大于0.003，中部色散之差不大于0.0004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C69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865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8F76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F2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9B9A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透镜及其应用实验器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DDE7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由凸透镜1个、凹透镜1个、三棱镜1个、支杆2支、支架2个、底座2个组成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B0F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F7F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634B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7C3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8EA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平面镜成像实验器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7B4B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由平面镜、平面镜支架、直角尺、蜡烛组成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3A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123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82B3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EEC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994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光的传播、反射、折射实验器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8895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为组装式，主要由Z型玻璃棒，平面镜、水槽、圆形角度盘、激光笔、磁吸、激光笔套筒、支架组成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970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286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7C8E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00E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D08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激光笔</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C85A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由三个激光头，支架、钮扣电池组成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FBA1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797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28D7D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0687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1B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激光笔</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BC6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笔式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554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26B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16CC8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ED8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746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光的三原色合成实验器</w:t>
            </w:r>
          </w:p>
        </w:tc>
        <w:tc>
          <w:tcPr>
            <w:tcW w:w="2640" w:type="dxa"/>
            <w:tcBorders>
              <w:top w:val="nil"/>
              <w:left w:val="nil"/>
              <w:bottom w:val="nil"/>
              <w:right w:val="nil"/>
            </w:tcBorders>
            <w:shd w:val="clear" w:color="auto" w:fill="auto"/>
            <w:noWrap/>
            <w:vAlign w:val="center"/>
          </w:tcPr>
          <w:p w14:paraId="4FBB140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1、为组装式，主要由主体1套、集成线路板1套、导线2根、接线装置1套；2、主体用塑料制作，规格尺寸不小于120×100×30mm，光源凸距27mm。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904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E45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BA7D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F41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25101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3D79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紫外线作用演示器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B59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说明紫外线的荧光、感光、产生自氧等物性，尺寸约30cm*23cm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4CC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B87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71B3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6E5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25102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0090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红外线作用演示器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DED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由红外线控制器、光源、支架座等组成。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6EC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0D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0CFC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2CA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25103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529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手持直视分光镜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D17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长不少于95mm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5EC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4C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5703C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B75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25104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788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克罗克斯辐射计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59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尺寸约9cm*9cm*12cm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C27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BCB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9B30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08F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09CA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轮轴模型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D67B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J2120型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F5D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B84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0092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66F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AE3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轴承模型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EC79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滚动、滑动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2A5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0D9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2995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A04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D9D9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抽水机模型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6131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活塞式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0A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81A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26B2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D7D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B4F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离心水泵模型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143F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齿轮式或皮带式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9A9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C27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55C0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318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2CC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液压机模型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BAF4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产品由大缸体、小缸体、角式截止阀、底座和压力弹簧构成。2.外形尺寸340mmxl35mmx295mm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CCF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A82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B5DB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40C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1BB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水轮机模型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9233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混流式、轴流式、冲击式三种转轮可视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505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AE9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987A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602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4BEC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汽油机模型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EDC1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 工作电压：直流1.5V～2V。2． 模型应示汽油机的汽缸体、进汽阀、排汽阀、汽阀弹簧、进汽道、排汽道、活塞、活塞环、连杆、曲轴、飞轮、火花塞、凸轮、水套。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38D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498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C9B1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B50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4112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柴油机模型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FE2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 工作电压：直流1.5V～2V。2． 模型应示柴油机的汽缸体、进汽阀、排汽阀、汽阀弹簧、进汽道、排汽道、活塞、活塞环、连杆、曲轴、飞轮、火花塞、凸轮、水套。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22B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617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6C38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F2F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551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磁分子模型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1829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1． 磁分子模型主要由衬板、磁分子和吸转叶片及其支座组成。2 .磁分子每个磁极的平均磁感应强度不小于11mT。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1F3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082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6B2F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4FD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F828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电机模型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1C24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模型为立式，高300mm，宽215 mm，厚45 mm。工作电压：DC6～12V。输入功率：2.5W。</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F45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0BD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DA45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B1F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0F3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电话原理模型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BF2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由送话器、受话器和底板组成。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F5C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B72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E444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9DA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7E07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物质的形态和变化</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3FB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C59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DE4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334D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47DE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9405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物质的属性</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602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E2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2DB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A4A5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67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D8B7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物质的结构与物体的尺度</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83C4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8E9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1E8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8BD0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9CB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C79B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新材料及其应用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FE28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EA3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3A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43DA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E1C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BF95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多种多样的运动形式</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882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E57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74D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8A6B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8FD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7BF0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机械运动和力</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2FEC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DDC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290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EDE1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B89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D46E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声和光</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DCFD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8CF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F36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48F0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32D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22B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电和磁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AC8B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9F3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B34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B4B3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BE8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5E63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能量、能量的转化和转移</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960F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B9D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F4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3894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1EF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C6E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机械能</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7BB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040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957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93FD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7E6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E82B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内能</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B84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B9E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CBF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CF53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AE3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43C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电磁能</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F9C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D90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31A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C806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4C0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2CF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能量守恒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4B2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1AB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ECA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5A84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CA5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FD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能源与可持续发展</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05F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BB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F9BF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40C2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6FB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2795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量筒10mL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1C6D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266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DF5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6672F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472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D671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量筒50mL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FACE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724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077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2F25D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BE6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F4EE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量筒100mL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FC8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8F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3F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t>
            </w:r>
          </w:p>
        </w:tc>
      </w:tr>
      <w:tr w14:paraId="36713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5AD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AC2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量杯250mL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E2DD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A31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C1D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2FE84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8E6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26C8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试管φ15mm×150mm</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ED8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φ15mm×150mm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34C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C5A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t>
            </w:r>
          </w:p>
        </w:tc>
      </w:tr>
      <w:tr w14:paraId="57B0C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CF2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D386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试管φ30mm×200mm</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640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φ30mm×200mm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924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247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72364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DA0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4D75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烧杯250mL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FD08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86E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A2C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7B46C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6BD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7D9A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烧杯500mL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37C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59C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333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6CD7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620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61034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D6FC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烧瓶圆、长，500mL  </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B922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圆、长，500mL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CBB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086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2C662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D6C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61037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49B0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烧瓶平、长，250mL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D17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平、长，250mL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33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00F3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449A4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030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4F4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酒精灯</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57AC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B27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155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7BE1F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ABB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62032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7C7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漏斗</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D40A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BF5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B69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08C81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B500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631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平底管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9DB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φ12mm×150mm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F9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15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B051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910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E516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T形管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D1F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φ7mm～8mm、标准化学仪器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261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DAA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0C8B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D83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62096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27C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可密封长玻璃管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1C4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内径10mm×800mm，有胶塞，带刻度衬板</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ACC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8C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6478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8C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20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镊子</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507C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不锈钢，圆嘴  全长160±2mm， 厚1.5mm。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5F3C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4E7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E2D3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325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64032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E468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石棉网</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4A24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金属网尺寸不小于125mm×125mm，石棉材料涂敷面直径不小于80mm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8A7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C89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7F1F1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AB3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64052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D6D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35F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φ7mm～φ8mm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E4F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279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20731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A38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64063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E11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乳胶管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F71C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1．产品用乳胶制造。</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2．产品内径为5~6㎜，壁厚1㎜。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FEE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9D2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90E3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88B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64088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2A73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蒸发皿</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FEC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瓷，60mm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871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2B9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r>
      <w:tr w14:paraId="1A4B8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AE4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2031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铁粉</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F6A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F4C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E5D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151BC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67E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F1A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碘</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496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9A9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076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4E308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D8F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70088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B75B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硫酸铝钾(明矾)</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CA9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0DA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37D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79450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33A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70090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94C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硫代硫酸钠(海波)</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CAC2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41D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9169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22A8D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2E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70091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1C6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无水硫酸铜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31B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A60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毫升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B4C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2716A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0BA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72016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9A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甘油</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1C33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7AF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毫升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CF4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7BD58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305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405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新材料样品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0CF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纳米材料、超导材料、形状记忆合金、单晶和多晶、光导纤维、隐形材料</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AB7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F4D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A084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40EE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C28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家庭电路器材</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F292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空气开关、漏电保护器、螺丝口灯座、卡口灯座、三孔插座、三孔插头、插入式保险盒、拉线开关、按钮开关、声控开关、光控开关、导线等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B4E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860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CCC7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991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5C0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彩色透光片</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69A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红、绿、蓝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CE1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34B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998D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C67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603E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颜料的三原色</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3550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品红、黄、蓝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F2D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适量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F1B9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5F5F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CCA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8024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甲电池</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39E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1.5V</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780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2E4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281E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BC6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A6A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1号电池</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5F2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每组2至3个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63C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DFB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1512D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285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738F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电珠(小灯泡)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CE5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2.5V或3.8V</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475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978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w:t>
            </w:r>
          </w:p>
        </w:tc>
      </w:tr>
      <w:tr w14:paraId="2B9E2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2CA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6E91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洗洁精</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F52C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普通家用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D7C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毫升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522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1F488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428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3C6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蜂蜡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2D3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天然蜂蜡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422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CF8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0FB07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74D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EFE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测电笔</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339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测量范围：交流12V—220V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2F2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801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5F22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022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81002</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E84BBA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一字螺丝刀</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B3C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一字槽,总长度150mm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475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CCA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BBAB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F91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81003</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136737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十字螺丝刀</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DD4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十字槽,总长度150mm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01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4D2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5607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8BD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E31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尖咀钳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89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8寸尖咀钳200MM, 45#高碳钢锻造。</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17A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17F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2929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924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12A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电工刀</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EB85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不小于180mm,3CR-13硬质钢材料制造</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0EB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EB0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293DC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84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A90A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手摇钻</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E884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手摇式，不小于300mm,可装0-7mm钻头。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FEA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D4F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882E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2F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44D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木锉</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E39E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木锉在使用时都装有木柄。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35F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12C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BCC6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D9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AB7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木工锯</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3B23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材质：锰钢，长度不小于500mm，锯路宽4mm。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856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317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150D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E5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8988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木工锤</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278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钢锤木工锤</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183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D4B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9FC8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1B4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161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铇</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95DB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粗、细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65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60F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A81B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B7C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178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斧</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817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木把长度≥36cm,碳钢材质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94F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FBF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E695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88B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83F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钢手锯</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4146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锯弓12寸,ABS柄,方管锯,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160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11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8AA8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235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AAC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剥线钳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49A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材质：高碳钢，长度不小于170mm,压接范围：0.5、1、1.5、2.5、4平方毫米。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CFF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632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FAC9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36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4F9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钢丝钳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D55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材质：45#高碳钢锻造，规格：40mm×80mm。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924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EF0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DE63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909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E42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手锤</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904C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羊角锤锤头高碳钢锻造，表面经镜面抛光处理，锤头边缘钢材特殊淬火，规格：250G。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B7D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18F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546E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CFC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EEC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錾子</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F7D1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规格为20mmx12mmx200mm，全锋钢刀口，火头硬，可用作錾铁，钢筋，水泥等。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88B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8A3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1359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DF6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616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锉刀</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268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平面锉刀，规格为150mm长，单支装，沾塑手柄。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52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467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84D2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942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656B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三角锉刀</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454A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8寸三角钢锉，木工锯子开口专用挫刀，长度为200mm。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9AD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09D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7DF6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B049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021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什锦锉</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BF8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六件套什锦锉，规格：3MM×140MM，包含（半圆锉/平头扁锉/尖头扁锉/三角锉/方锉/圆锉）。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0DF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2A0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34AB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731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DE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活扳手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DD5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长250mm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C79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681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A5CE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A6C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E53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手剪</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0B7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材料：钢，铁皮剪刀——规格为10寸（250mm长），中间带弹簧，手柄为沾塑手柄，防滑性好。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934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9FC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8FDA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1D0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6D99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直角尺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7975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材料:不锈钢，规格:150mm×300mm，厚度不小于2mm，镜面抛光处理。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75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F21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EDCB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E81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66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高度游标卡尺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1D37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材质：不锈钢，规格：0-300mm。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584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707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D717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64A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0358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电烙铁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5DDF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60W，20W</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BA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C9D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7303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4A1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2F4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平口钳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E39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JB/T 54481-1999 高精度机用平口钳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AC6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0CA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9C92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93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4023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手电钻</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6D5A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φ1mm～φ13mm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D36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F51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9F76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FEA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337E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钻头</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8A1A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φ1mm～φ13mm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274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140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BACB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E78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511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台虎钳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062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AFF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2F2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36FA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7A8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81030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4240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砂轮片</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B8E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树脂切割片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455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710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7A674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6FF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81031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E62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砂轮机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BBC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单相，300W，3000vpm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45E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1E2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A35C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AF1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81033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CE1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钳工工作台</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E96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台面30mm实木板材加工，干燥处理；桌面铺设透明橡胶防护垫；桌身40×40方钢烤漆骨架，两侧各有工具抽屉，桌脚带固定垫。</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2FE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3E3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4A76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6AA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81034</w:t>
            </w:r>
          </w:p>
        </w:tc>
        <w:tc>
          <w:tcPr>
            <w:tcW w:w="2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DFA9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投影片绘制工具</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BD45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符合新课标要求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11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C73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C3FA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43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866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工作服</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F666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1、白色全棉。 2、型号：大号。3、长袖带纽扣。4、胸前有带纽扣的暗兜。</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8C4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10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B7EB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A047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F16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护目镜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BCE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用于实验教师防强光、眩光、紫外线、激光或是机械性伤害(机加工)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A41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024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E8D1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71F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76D7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手套</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2ECC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棉质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D7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E53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r>
      <w:tr w14:paraId="2FEAD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040" w:type="dxa"/>
            <w:gridSpan w:val="5"/>
            <w:tcBorders>
              <w:top w:val="nil"/>
              <w:left w:val="nil"/>
              <w:bottom w:val="nil"/>
              <w:right w:val="nil"/>
            </w:tcBorders>
            <w:shd w:val="clear" w:color="auto" w:fill="auto"/>
            <w:vAlign w:val="center"/>
          </w:tcPr>
          <w:p w14:paraId="4EDA974A">
            <w:pPr>
              <w:keepNext w:val="0"/>
              <w:keepLines w:val="0"/>
              <w:widowControl/>
              <w:suppressLineNumbers w:val="0"/>
              <w:jc w:val="center"/>
              <w:textAlignment w:val="center"/>
              <w:rPr>
                <w:rFonts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初中物理教学仪器仪器设备需求、预算明细表</w:t>
            </w:r>
          </w:p>
        </w:tc>
      </w:tr>
      <w:tr w14:paraId="6A472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FE079">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编号</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47495">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名</w:t>
            </w:r>
            <w:r>
              <w:rPr>
                <w:rFonts w:hint="default" w:ascii="Times New Roman" w:hAnsi="Times New Roman" w:eastAsia="黑体" w:cs="Times New Roman"/>
                <w:i w:val="0"/>
                <w:iCs w:val="0"/>
                <w:color w:val="auto"/>
                <w:kern w:val="0"/>
                <w:sz w:val="24"/>
                <w:szCs w:val="24"/>
                <w:u w:val="none"/>
                <w:lang w:val="en-US" w:eastAsia="zh-CN" w:bidi="ar"/>
              </w:rPr>
              <w:t xml:space="preserve">        </w:t>
            </w:r>
            <w:r>
              <w:rPr>
                <w:rFonts w:hint="eastAsia" w:ascii="黑体" w:hAnsi="宋体" w:eastAsia="黑体" w:cs="黑体"/>
                <w:i w:val="0"/>
                <w:iCs w:val="0"/>
                <w:color w:val="auto"/>
                <w:kern w:val="0"/>
                <w:sz w:val="24"/>
                <w:szCs w:val="24"/>
                <w:u w:val="none"/>
                <w:lang w:val="en-US" w:eastAsia="zh-CN" w:bidi="ar"/>
              </w:rPr>
              <w:t>称</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E9341">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规格 型号 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741C">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F7902">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数量</w:t>
            </w:r>
          </w:p>
        </w:tc>
      </w:tr>
      <w:tr w14:paraId="0E63D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F36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1FD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计算器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CE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函数型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C8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B3B4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68F70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A1B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8E7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钢制黑板</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23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900mm×600mm，双面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756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958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6D61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FCE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81C0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打孔器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5FC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四件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549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372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13F9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1E0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468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手摇抽气机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1D1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双缸式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260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F09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A0F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CAA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23E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直联泵</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802B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单相</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93B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7D83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6BCD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E61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82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旋片式真空泵</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4A4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2XZ－0.5型，单相</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5E3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04F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8C3A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37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AF62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两用气筒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B8DB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脚踏式或手持式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8FF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9D7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85BE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8F3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81F1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抽气筒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4343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极限抽气压力≤6.7×103 Pa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9C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926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B574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4D5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3A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打气筒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D9CC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气筒外径≥30mm，长≥500mm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1FC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D85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6332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2EF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2016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E014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抽气盘</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81D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直径不小于180mm，附罩</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853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22B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93D5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76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5620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仪器车</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9C39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喷塑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6B1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5B91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7552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D462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2022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7D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水准器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073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由水准泡及其主体组成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359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4B0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273B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B2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2023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0C1E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充磁器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721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主要由螺线管、整流器、电源按钮开关、功能转换开关和外壳组成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03E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C8C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D1F3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A43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2051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1769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放大镜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AF6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手持式,有效通光孔径不小于30mm，5倍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ED0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B50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4907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505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2060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2274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望远镜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3D5C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双筒，7×35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757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6B1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FEF4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A00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2061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749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天文望远镜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DBA0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折射式，主镜口径50-100mm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FB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CD1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73C0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49F2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2075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501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酒精喷灯</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701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坐式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20F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995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A670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95B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464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听诊器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6C63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医用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883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758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B7F0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DC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A23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注射器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D032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6A7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9A1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DDC0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FCB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887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透明盛液筒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6B4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φ100mm×300mm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EAF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238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494E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693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2116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7E0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透明水槽(圆形或方形)</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4E2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φ270mm×高140mm，           或300mm×300mm×高150mm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101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89F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1F6F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442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2125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4B3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碘升华凝华管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DAF3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密封式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CD5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5BC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62EF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8161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6761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物理支架</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A63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组合式。由大A型1个，小A型底座1个。桌边夹1个，烧瓶夹1个，垂直夹2个，平行夹1个，万能夹1个，铁环1个，长立杆1根，短立根1根，吊杆1根，绝綠棒1根，吊钩，圆托盘等组成。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0E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57A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2D4B3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88C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3002</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73D841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方座支架</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188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方座支架附烧瓶夹一只，大小铁环各一只，垂直夹二只，平行夹一只</w:t>
            </w:r>
            <w:r>
              <w:rPr>
                <w:rFonts w:hint="eastAsia" w:ascii="宋体" w:hAnsi="宋体" w:eastAsia="宋体" w:cs="宋体"/>
                <w:i w:val="0"/>
                <w:iCs w:val="0"/>
                <w:color w:val="auto"/>
                <w:kern w:val="0"/>
                <w:sz w:val="24"/>
                <w:szCs w:val="24"/>
                <w:u w:val="none"/>
                <w:lang w:val="en-US" w:eastAsia="zh-CN" w:bidi="ar"/>
              </w:rPr>
              <w:t xml:space="preserve"> 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896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63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462F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9C3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720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多功能实验支架</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8E12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组合支架由支座、支块、滑道等组成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89B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4A5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1B370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B71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D728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升降台</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2E8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升降范围不小于150mm，载重量不小于10kg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50E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378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68F6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11A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3006</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66B9E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三脚架</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412C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由铁环和3只脚组成。铁环内径≥74mm 外径≥90mm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BFA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1A9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3216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CC9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3007</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6C3120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泥三角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8A8F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由3个圆形泥石球组成。由3根铁线串接，呈三角形。 </w:t>
            </w:r>
            <w:r>
              <w:rPr>
                <w:rFonts w:hint="eastAsia" w:ascii="宋体" w:hAnsi="宋体" w:eastAsia="宋体" w:cs="宋体"/>
                <w:i w:val="0"/>
                <w:iCs w:val="0"/>
                <w:color w:val="auto"/>
                <w:kern w:val="0"/>
                <w:sz w:val="24"/>
                <w:szCs w:val="24"/>
                <w:u w:val="none"/>
                <w:lang w:val="en-US" w:eastAsia="zh-CN" w:bidi="ar"/>
              </w:rPr>
              <w:t xml:space="preserve"> 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9C2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36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36313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EFB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2AE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旋转架</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AC91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可拼式，成对配置</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B21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B1F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56D0E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A16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B1E0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学生电源</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28B8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直流1.5V～9V，1.5A,每1.5V一档</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A10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79F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3412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B21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78A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教学电源</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7B6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交流 2V～12V，5A,每2V一档 ；                         直流 1.5V～12V，2A，         分为1.5V、3V、4.5V、6V、9V、12V，共六档； 40A、8s自动关断</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6AC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668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2A45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6BA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5E84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蓄电池</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5BD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6V，15Ah，封闭免维护式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C87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D5D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23C4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C1F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223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调压变压器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DB6F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2kVA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735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735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8CA2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5E0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8A90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充电器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ED19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供蓄电池充电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958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DE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19E0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CED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7E7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电池盒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66B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可串并联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658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0D7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63B4D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D9E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05EC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感应圈</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53EA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电子开关式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92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35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EEF8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912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44A8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演示直尺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209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F06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37E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350D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2DB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483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木直尺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C6E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739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DB4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869E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592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178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钢直尺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A4C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83E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BED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8596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2C1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A38A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钢卷尺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71E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906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B17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838F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EA5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EFA6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布卷尺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7B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3FD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BF6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2488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151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318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游标卡尺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3607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125mm，0.05mm或0.02mm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79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0DB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E0F2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1C1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8B5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外径千分尺(螺旋测微器)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A939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25mm，0.01mm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EC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F0A4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8E8F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AA3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BBB1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物理天平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EA03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0F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6B0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4F18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659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93FC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学生天平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300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200g，0.02g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3A5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7ED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1115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6309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0BF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托盘天平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44A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200g，0.2g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2D3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6D8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45C5F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236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81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托盘天平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1C4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500g，0.5g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E46A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CD5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0C876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A2F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CC5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电子天平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A30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100g，0.001g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527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86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2395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E69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0BC7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单杠杆天平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B67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100g，0.01g，链式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C5E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F58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B369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97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11018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88FB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案秤</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54DF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10kg，10g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52D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396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0CA7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EC2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0FBA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弹簧度盘秤</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C11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8kg，8g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F8D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8BE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E1A2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29F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C3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金属钩码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2A8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10g×1，20g×2，50g×2，200g×2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46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349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1BAF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E03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11022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DC8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金属槽码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A9CA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10g×1，20g×2，50g×2，200g×1，另附10g金属槽码盘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89F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BBB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9BEB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06C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12001</w:t>
            </w:r>
          </w:p>
        </w:tc>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F914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机械停表</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1EBB1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0.1s</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E555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9487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C6D3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1CF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771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机械停钟</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E72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0.1s</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63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BB9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57D3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D49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4AB4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电子停表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C09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0.1s</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49D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A68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B88E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4C0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4780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电子停钟</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0C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0.1s</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CE6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8C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5343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C72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1C8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节拍器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E2E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电子式或机械式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595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C2C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64EC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BAD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B21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沙漏</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4F82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计时仪器，塑料或木制底座，透明玻璃体，内装细砂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216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E61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F3A4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F1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8BD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日晷</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2169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ABS工程塑料制作，由晷盘，晷针，游杆，支撑杆构成。晷盘直径≥250mm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C1F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AFF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65C4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0E4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13001</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AC74E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温度计红液</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21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红液，0℃～100℃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7E0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431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3F9CF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9AD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B15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温度计水银</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AAF0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水银，0℃～200℃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F09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F37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B27C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AE6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364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演示温度计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F9DD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21D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79E0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087F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32C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FD8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热敏温度计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6DB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-10℃～＋100℃，线性刻度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408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92C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D26F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8CE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4AC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双金属片温度计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06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免电池，自动感应</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C72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870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5BFF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379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853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体温计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F7B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水银，35℃～42℃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C9F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20C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656B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674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647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电子体温计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217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带警示功能，警示响应时间应不大于2S。</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DA3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919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D1C7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A27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73A3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寒暑表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5C8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指针式。测量温度范围：－30～50℃，精度：±1℃。尺寸：Φ125×17（mm）。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19F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7F5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F3DB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D50B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9348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条形盒测力计10N</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188E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5E4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B6F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ED46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F10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21C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条形盒测力计5N</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7EC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2F3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17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F1CE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9CB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04A6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条形盒测力计2.5N</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ECE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4D6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793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E384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1B2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FD7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条形盒测力计1N</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37E6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1N，分度值0.02N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3B7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D11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DDBC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BDA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5B73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圆筒测力计5N</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E48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6B9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AA74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0D7B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BE6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40E4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圆筒测力计1N</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BC05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1N，分度值0.02N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0CB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CBC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187F7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5FD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741B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平板测力计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4EA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4AD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FA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4E20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F8D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9303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圆盘测力计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72FB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B25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3B9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5DB0D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5AE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B8A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演示测力计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DB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0N～2N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C7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C94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E701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3C9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EE16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拉压测力计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F586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拉压两用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BCB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A18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48BD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36A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CB67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双向测力计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1B1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测拉力和压力用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7F4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AED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14521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DBE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14D4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握力计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5677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分度值0.1kg/0.2lb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3C9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6E3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72DB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9E3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18A8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拉力计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4223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数字式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FC0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B02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9D77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D4A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509B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演示电表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49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直流电压、电流，检流；2.5级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6D1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CA3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28BE3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716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2B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数字演示电表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A05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直流电压、电流，检流；四位半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1FC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208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6E080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FD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DA1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电能表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4A8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单相</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13B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8D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2F12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550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5AE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绝缘电阻表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93BB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500V</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A97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E0D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AEAD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8CA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119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直流电流表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376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2.5级，0.6A，3A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241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AB9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39</w:t>
            </w:r>
          </w:p>
        </w:tc>
      </w:tr>
      <w:tr w14:paraId="0237C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D58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FE52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直流电压表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CE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2.5级，3V，15V</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C89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658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39</w:t>
            </w:r>
          </w:p>
        </w:tc>
      </w:tr>
      <w:tr w14:paraId="11361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9D6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0DF8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灵敏电流计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CD5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±300μA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732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CF8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B24E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8A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DD1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多用电表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00B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不低于模拟式电表的交流5级，直流2.5级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AB6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36A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7321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6E9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520B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投影电流表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050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2.5级，0.6A，3A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C42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1AD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419E2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8D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9E9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投影电压表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F0C3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2.5级，3V，15V</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EA6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798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79493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C5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BDC1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投影检流计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91F3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±300μA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18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372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FA8E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6FC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9187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教学示波器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D59B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C8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555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F2BD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064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0C2E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大屏幕示波器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A814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屏幕对角线不小于63cm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0FC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2C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56BC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E0A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9713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密度计密度＞1</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499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密度＞1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8C2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A3FB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7225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7BB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30C2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密度计密度＜1</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EF4D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密度＜1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95C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214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9815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F8F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963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湿度计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CCE4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指针式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92D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BF52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1ABE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E58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EB65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罗盘</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A28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边长≥7cm，厚度≥1.5cm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B83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6E6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B246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022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3BBC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空盒气压计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56B3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多膜盒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9CD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060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6F81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89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BB34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圆柱体组</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149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铜，铁，铝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2DB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210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0284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2A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14C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立方体组</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C47B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铜，铁，铝，木材，不小于60cm</w:t>
            </w:r>
            <w:r>
              <w:rPr>
                <w:rFonts w:hint="eastAsia" w:ascii="宋体" w:hAnsi="宋体" w:eastAsia="宋体" w:cs="宋体"/>
                <w:i w:val="0"/>
                <w:iCs w:val="0"/>
                <w:color w:val="auto"/>
                <w:kern w:val="0"/>
                <w:sz w:val="24"/>
                <w:szCs w:val="24"/>
                <w:u w:val="none"/>
                <w:vertAlign w:val="superscript"/>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BB1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957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7FBD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ADA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1708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运动和力实验器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0FBD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长、短斜面，小车，小球2个，硬盒，毛巾，布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6AB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C94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C6E0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2A2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BC9D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惯性演示器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53E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力学仪器, 供中学演示物体的惯性用。由主体、开关、弹簧、绳线、挡片、金属球等组成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E69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352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5752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869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BD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摩擦计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A43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由木制磨擦板和磨擦块组成。磨擦板规格不小于500mm×47mm×8mm。磨擦块外形规格不小于100mm×35mm×25mm。上面有两个砝码孔，端面中心有挂钩。</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A95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5A8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82D9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94C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2A3C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螺旋弹簧组</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DE9E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0.5N，1N，2N，3N，5N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DB5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362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A7B9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56E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784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阿基米德原理实验器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CE1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由测力计、塑料吊桶、塑料圆柱体、溢液杯组成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4D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B6EB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CAC0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627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A4A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阿基米德原理及其应用实验器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D2E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1．塑料吊桶、塑料圆柱体、溢液杯组成。2．演示测力计左侧量程为：0-2N，最小分度值为0.1N、最大分度值为0.5N。</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CB2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6F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40D7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B40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59AB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液体压强与深度关系实验器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7DBC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产品由小槽1只、大筒1只、小筒、小筒座、小压强计、附件等组成。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3C4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643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C16E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FC8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04B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连通器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54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 本产品由玻璃连通器和底座两部分组成。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 外形尺寸不小于：210×120×210mm。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 玻璃件选用钠钙玻璃或硼硅玻璃。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 玻璃件壁厚约1.0mm。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 玻璃件细管外径为12mm，粗管外径为30mm。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B4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117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D069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C0F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F7C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帕斯卡球</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F0B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整体尺寸≥33cm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804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792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6AA4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09A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4823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浮力原理演示器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3EC5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1、大水槽1个，用透明材料制成，表面0～300刻度，规格不小于Φ105×200（mm）,中间隔板将大水槽分隔一个小水槽。2、排气管2个，分别安装在水槽底部和侧面。3、浮体1个，规格不小于Φ49×50（mm）附配重物5个。4、附浮胶管1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F97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2B2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4549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AB4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5CD0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物体浮沉条件演示器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77BA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　产品由下列器材组成：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(1).水槽1套； (2).立方体(大小不同)5个； (3).塑料球(大小相同)5个； (4).玻璃瓶1只； (5).浮标1支； (6).橡皮泥1块； (7).鹅卵石1块； (8).木块1块； (9).泡沫1块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　水槽外形尺寸：190mmX100mmX100mm。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　立方体质量50g，体积各不相同。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　塑料球直径约30mm，体积相等，质量不相同。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　全部塑料件表面光洁，无明显变形，金属件无毛刺，无锈斑。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6F8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844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394F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754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D2CE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潜水艇浮沉演示器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1F52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塑料制，长≥15cm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B98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2DC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B178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57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24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液体内部压强实验器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D8F4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J2113型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1F7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18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1B5F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4AD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6B30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微小压强计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1C3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J2114型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F9B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F3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6669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0B6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EED5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液体对器壁压强演示器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21D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产品由承压盒、胶膜、胶管、支杆、调节机构等组成。承压盒侧面处有滑轮，承压盒尺寸Φ40×24mm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CD2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FE1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74E4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CD6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23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气体浮力演示器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C818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大球内胆、大气球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C7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EFB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F7A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A58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BF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马德堡半球</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809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产品由两个附有拉手的铸铁或橡胶半球或圆盘组成。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914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130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FBE9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C94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D1B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大气压系列实验器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76A9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由透明杯，橡胶套圈，胶塞，方格盖板，带咀盖板，多孔球盖，小气球，弹簧夹和乳胶管等组成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254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F55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645E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33E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33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压力和压强演示器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470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产品有压强小桌、海绵块组成。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3B7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503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7051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3B8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21022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ABAB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流体流速与压强关系演示器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9040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9D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5F56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60D4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F6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AF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杠杆</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F4C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用木材制作，表面平整、挺直、均匀、无毛刺。木材质应无节疤、无裂纹、无伤痕，并经脱脂干燥处理，含水率≤18％。漆面光亮</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BDA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CDE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B893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B14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74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演示滑轮组</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83D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单2，三并2，三串2，可卡2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5F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14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684A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F59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E733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滑轮组</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78E5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单4，二并2，二串2，可卡2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0C3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7A9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1473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F34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CEC7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滚摆</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CB0C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产品主要由底座1个，滚摆1个，滚摆轴1根，支撑杆2根，吊线1根，摆梁1根组成。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E0B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486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7F3F6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77AB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AC6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离心轨道</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FDC8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有捕球网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540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5AD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A44D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256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3119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力学实验盒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480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便携式收纳箱</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457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FFB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FAE2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2C6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435A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初中力学演示板</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D4A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手提式力学组合仪器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F3D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B0E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F21E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454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5578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飞机升力原理演示器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F35A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产品由风机、飞机模型、透明罩、滑杆、滑杆压板、底座等组成。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B45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D99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7701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ECE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21038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401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手摇离心转台</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A51C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产品由机座、主动轮（附摇柄）和从动轮等组成。外形尺寸：约550×240×150mm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883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C6D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0E1C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FFA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187E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音叉256Hz</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22C2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256Hz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BE0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178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C20E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95F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837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音叉512Hz</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0730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512Hz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B86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CCD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3A55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D52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1723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发音齿轮</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6773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产品由三片齿板、转动轴等组成。齿轮用钢材制成，外形尺寸约φ78×134mm。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E363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361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CE4C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380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C4B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单摆</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8BE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一个摆球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BFE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577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D71D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0A7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B80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纵波演示器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0929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仪器金属支架悬挂弹簧形式，全长110cm、Φ60mm螺旋弹簧自由悬挂在金属支架上，振源金属球可上下调节，整套仪器包括机架1个（螺旋弹簧1支、振源2只）；连接杆15个；反光白布1块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085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53A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0C77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7D1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B04E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声传播演示器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E7A7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由面板、透明圆筒、发声系统、接收系统、抽气系统等组成。2、面板：外形尺寸不小于长400mm，宽300mm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F63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89C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6866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1E4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5F9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超声应用演示器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8C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≥长200mm宽170mm厚65mm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095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07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A995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196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9F0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声速测量仪</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8413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≥长130mm宽90mm厚65mm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40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FC3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F653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65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BBD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量热器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D18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铝制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729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8D5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A076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8F0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7D08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内聚力演示器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A180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有挤压扳动器和刮削器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475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07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10DD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963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09A3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空气压缩引火仪</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154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组合式，有手柄1个、连杆1个、端盖1个、耐油橡胶圈3个、5 M4螺母、垫圈1副、汽缸体1个 、底座1个组成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9E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21D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34CA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919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6B27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爆燃器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9DCC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酒精点火，透明盒，附电子点火器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B1C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70B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035A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30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42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机械能热能互变演示器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CD1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组合式，有手柄1个、连杆1个、端盖1个、耐油橡胶圈3个、5 M4螺母、垫圈1副、汽缸体1个 、底座1个组成。手柄为塑料制品</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065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283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82DA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34A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4FA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金属线膨胀演示器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8DF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≥长260mm高270mm宽110mm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B13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F43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C03A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9A6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86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固体缩力演示器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74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≥长250mm宽70mm厚60mm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5E2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ACD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48EA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60F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31F5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热传导演示器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0BD0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由底座、支杆、蓄热块、导热杆呈辐射状分布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45B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9B1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E4FF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761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0F1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双金属片</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49C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铜片、铁片各一</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E6B2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B3E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6164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E2E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A6CE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气体做功内能减少演示器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9C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玻璃管演示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AD0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AF6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6BE0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A8E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0F4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气体做功内能减少演示器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3C8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用热敏电阻演示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535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B42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49F9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DF13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7110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声热实验盒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935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初中物理演示声现象和热现象实验。</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6CB1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16A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D3E5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4EE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461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纸盘扬声器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FE1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直径不小于200mm，8Ω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83A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4E8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233F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321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22214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D3E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手持式喇叭</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A57C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可充电、带录音功能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118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533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C0E7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44A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D236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玻棒(附丝绸)</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C39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或有机玻棒(附丝绸)，教师用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C06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2AA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2154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0F3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9BB3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玻棒(附丝绸)</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7263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或有机玻棒(附丝绸)，学生用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1FE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83C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D378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8DD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14F4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胶棒(附毛皮)</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6895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或聚碳酸酯棒(附毛皮)，教师用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07B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FC6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BE10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40D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957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胶棒(附毛皮)</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A69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或聚碳酸酯棒(附毛皮)，学生用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D890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A44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713F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B517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E508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箔片验电器教师用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765B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教师用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DBE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A17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C8C4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3F1A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742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箔片验电器学生用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523B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492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4C4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D909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BCD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DF1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指针验电器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17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由两只灵敏度相同的指针验电器组成。指针验电器由外壳、圆球或圆盘、导电杆、绝缘子、指针、指针架、接地线柱等构成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5DB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F8E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4D86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A3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694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感应起电机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7E5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起电盘直径275mm，厚3mm的有机玻璃板制成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625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900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4916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8B8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5A35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枕形导体</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52E8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用于演示静电感应和感应起电。结构：二只金属制成的空心圆筒，一端为半球面，另一端为平口，将二只圆筒的平口对合起来，就成为一个枕形导体，每只导体均有绝缘支杆及底座。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F74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9E4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ABF7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B7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B773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小灯座</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7AE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底座：75mm×35mm×10mm,工作电压不大于36V,工作电流不大于2.5A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FDA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0C4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w:t>
            </w:r>
          </w:p>
        </w:tc>
      </w:tr>
      <w:tr w14:paraId="5CFFF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038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15C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单刀开关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AFC1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1、由底座，接线柱，闸刀，刀座，刀承和绝缘手柄组成。2、底座：黑色塑料，75mm×35mm×10mm  闸刀，刀座磷铜片,工作电压不超过36V，工作电流不超过6A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19B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A9B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w:t>
            </w:r>
          </w:p>
        </w:tc>
      </w:tr>
      <w:tr w14:paraId="34D7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369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23012</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0F846EF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滑动变阻器20Ω</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5018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20Ω，2A或10Ω，2A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B2F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CB2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55C4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5AC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A706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滑动变阻器50Ω行标大</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69B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50Ω，1.5A  行标大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DBCC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06E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77B1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B00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6B3A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滑动变阻器50Ω1.5A</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8B42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50Ω，1.5A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0AD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075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C7BD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5B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23014</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9AB9A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滑动变阻器5Ω</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170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5Ω，3A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03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58E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54BE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132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CC3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电阻圈</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CFB5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5Ω，10Ω，15Ω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8DA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3AB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74E1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C7A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23019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CBD2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电阻定律演示器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EAD5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冷轧板成形，喷塑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FF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CDD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8E28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DB9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8669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电阻定律实验器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86B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冷轧板成形，喷塑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CC0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C3FF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5F84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9F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8378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演示电阻箱</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67A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测量范围：0-9999Ω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C1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C50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F399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AAF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23022</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194668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教学电阻箱</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C09E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9999.9Ω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02D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AC3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A303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4567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23023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7388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简式电阻箱</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5564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9999Ω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09B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85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99AF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9E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EF3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演示线路实验板</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15F0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初中演示组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011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88C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9A25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F3F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4CA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初中电学演示箱</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EDD2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磁贴式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89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634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2000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4569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CD0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学生线路实验板</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3AA3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初中学生组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04F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322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E77A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167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8064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单刀双掷开关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363C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底座、接线柱，闸刀，刀座，双刀承和绝缘手柄组成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873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97C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F1D2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111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160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双刀双掷开关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362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底座、接线柱，双闸刀，刀座，双刀承和绝缘手柄组成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04E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2C4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7993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853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AE5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焦耳定律演示器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01FA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板、密闭空气盒：圆柱形，上面由透明塑料盖封住，圆柱内壁和下底面匀贴有绝热材料，盒内装有螺旋形电阻丝，并都设有排气管及用于观察的塑料管，塑料管长不小于300mm,外径不小于3mm；板面上要有电路图及对照刻线；电源电压：直流稳压6V</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493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B67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9EB2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FDEC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7FCE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焦耳定律实验器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AC1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探究电流的热效应，全长约170mm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61AC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64A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44E8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B26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5E3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保险丝作用演示器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026F">
            <w:pPr>
              <w:jc w:val="left"/>
              <w:rPr>
                <w:rFonts w:hint="eastAsia" w:ascii="宋体" w:hAnsi="宋体" w:eastAsia="宋体" w:cs="宋体"/>
                <w:i w:val="0"/>
                <w:iCs w:val="0"/>
                <w:color w:val="auto"/>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996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F3D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1C97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F49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9CB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玩具电动机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8B9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带座和风扇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923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A9F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329B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F2B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23039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0A7E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电子门铃</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16E1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带座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F1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E68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B024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2E8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717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条形磁铁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EA1D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D-CG-LT-180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509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24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3C84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276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7FD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蹄形磁铁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F422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D-CG-LU-80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D70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75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8818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20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B42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磁感线演示器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D1AF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条形、蹄形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5E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A6E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8F4E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06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4D3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立体磁感线演示器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4E75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永磁、电磁场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7AE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A54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54A4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D67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AE2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磁感线演示板</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D7B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可投影</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79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A74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3600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D442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6E01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电流磁场演示器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270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由透明底座、方线圈、圆线圈、螺线管、投影磁针等组成，底座规格：178mm×138mm×38mm，方线圈（80mm×50mm),圆线圈（直径Φ45mm），螺线管（直径Φ45mm）铜线。</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743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B32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9A73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DF6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59C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菱形小磁针</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DF85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CC9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AA9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CE1A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1A8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2D43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翼形磁针</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690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1、磁学仪器，供演示磁体的指向性和磁极的相互作用。2、有垂直翼形针体和支座两部分。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818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CA1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9D8F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B15B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1C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演示原副线圈</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799A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演示电磁感应和验证楞次定律用,由演示原线圈:内径Φ0.59QZ型漆包线平绕400匝,演示付线圈:内径Φ35±1mm,外径49±1mmΦ0.27QZ型漆包线平绕1150匝、软铁芯三部分组成。外形规格：70xl06xll3mm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15B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0DA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9F26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F47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09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原副线圈</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083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学生分组实验用.由原线圈、付线圈、软铁蕊组成,原副线圈:内径Φ11mm,外径Φ15mm,200匝.副线圈:内径Φ24mm,外径Φ30mm,370匝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F88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247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2DCB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965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CAB7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蹄形电磁铁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F873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密绕细线，稀绕粗线</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698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57E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6BE1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F9A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3F11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电磁铁实验器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22E6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 由一个U形铁芯、圆柱形铁芯、线圈、衔铁、指南针等组成2. 线圈外面有绕向标志。3．工作电压直流6V，工作电流不大于1A。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022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A78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38D8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F2B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C17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电铃</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DB87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立式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E0C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647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88BA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30F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EE07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演示电磁继电器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1F3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由电磁系统和触点系统两部分组成。电磁系统包括：电磁线圈、铁芯衔铁；触点系统包括：常开、常闭触点各一对。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DEA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DDB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AF18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BBF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98BA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电磁继电器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1A64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立式或卧式，外形尺寸：立式85×50×70mm；卧式100×65×70mm。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EFE7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F80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84D6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1681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2CF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磁场对电流作用实验器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E49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钕铁硼磁片的强磁体，导电管，可悬挂使用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4B9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AD6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AE42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E442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9319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左右手定则演示器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C173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为组合式，由底座、撑杆、接线板、方形线圈组成；2、底座用塑料制作，规格不小于180mm×120mm×4mm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3ED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EF7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56F9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C0B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81D0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小型电动机实验器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FBB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模型主要由机架、转子、转轴螺钉、磁钢、磁钢架、换向器、电刷、接线柱、一字螺丝刀、扳手、连接导线组成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F6A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B56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1B4B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67B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24019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6E9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手摇交直流发电机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862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塑料框架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D0E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F75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CEDF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F88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D41A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电机原理说明器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8A30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电机原理说明器主要由转子、机座等组成。外形尺寸：约260x230x254(mm）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688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B0D0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BA4E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29A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CE63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阴极射线管(磁效应管)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708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磁效应管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E4C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340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3756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E6E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8A4A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低频信号发生器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F4A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20Hz～20kHz，有功率输出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CDC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34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0797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C0F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D4BE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电学实验盒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425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由电流表、电压表、电池盒、灯座、电阻、滑动变阻器等组成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688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B1A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1DC8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567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303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能的转化演示器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B9B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机械能、化学能、电能、热能、光能的转化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D90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309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3B35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A7C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9378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能的转化实验器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95A1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势能→动能,机械能→电能→热能→光能；化学能→电能→机械能→热能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180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688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CA46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81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24026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271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磁悬浮演示器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9B3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1．由带控制旋钮的通电螺线管、永久性强磁铁底壳、支撑杆组成；2.工作电压为12-18V，直流电流最大不超过1A。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09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A79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4A45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A82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0F3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光具盘</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B3B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磁吸附式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E03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68C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DFFB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381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6FC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凹面镜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92D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凹面镜的直径为100mm±2mm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75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0BC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B5D0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F9D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E88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凸面镜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E2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凸面镜的直径为100±2mm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99C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628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945B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A91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91B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玻璃砖</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EDC3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玻璃砖为非等腰梯形，两底角分别为60°和45°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2D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A4F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9037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F4F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559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光具座</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B3B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直径≥16mm，双轨，由导轨（包括支架）、滑块、标尺、附件等组成。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450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747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140E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12D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47F3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光具组</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6D3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1．由导轨、支架、透镜、透镜框、滑块、标尺、光源、光屏等组成；2.光源出口处照度不小于500ＬＸ，０.５ｍ处照度不小于出口照度的3／5。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C84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253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0140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F3A1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A633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三棱镜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CDC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由三棱镜、托架、支柱、底座等组成。2． 三棱镜体外形为正三棱柱，边长25mm，相邻两角为60±0.5°，棱长80mm。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FAE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7B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417C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D2A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2E5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白光的色散与合成演示器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630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由三棱镜2个（一对）、光源、光屏及底座等组成。2． 两块棱镜应配对，其折射率之差不大于0.003，中部色散之差不大于0.0004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C7E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8002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302F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14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F72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透镜及其应用实验器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F13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由凸透镜1个、凹透镜1个、三棱镜1个、支杆2支、支架2个、底座2个组成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14C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7D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EF8C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515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0D51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平面镜成像实验器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1D3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由平面镜、平面镜支架、直角尺、蜡烛组成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810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14B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31AA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C68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43D4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光的传播、反射、折射实验器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611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为组装式，主要由Z型玻璃棒，平面镜、水槽、圆形角度盘、激光笔、磁吸、激光笔套筒、支架组成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7A4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950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3986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0B9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CA8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激光笔</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FC1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由三个激光头，支架、钮扣电池组成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CF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70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3AC1E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E6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8D43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激光笔</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083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笔式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C1E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A0C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5C09C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A3A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B22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光的三原色合成实验器</w:t>
            </w:r>
          </w:p>
        </w:tc>
        <w:tc>
          <w:tcPr>
            <w:tcW w:w="2640" w:type="dxa"/>
            <w:tcBorders>
              <w:top w:val="nil"/>
              <w:left w:val="nil"/>
              <w:bottom w:val="nil"/>
              <w:right w:val="nil"/>
            </w:tcBorders>
            <w:shd w:val="clear" w:color="auto" w:fill="auto"/>
            <w:noWrap/>
            <w:vAlign w:val="center"/>
          </w:tcPr>
          <w:p w14:paraId="023314D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1、为组装式，主要由主体1套、集成线路板1套、导线2根、接线装置1套；2、主体用塑料制作，规格尺寸不小于120×100×30mm，光源凸距27mm。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17B2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A1E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82AB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4C7A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25101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2BC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紫外线作用演示器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5A4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说明紫外线的荧光、感光、产生自氧等物性，尺寸约30cm*23cm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4DD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737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1EEE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53B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25102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B7B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红外线作用演示器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78B3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由红外线控制器、光源、支架座等组成。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DDB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0CF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2023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F2E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25103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344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手持直视分光镜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C79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长不少于95mm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639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CD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75B3B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E21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25104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A2B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克罗克斯辐射计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0C87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尺寸约9cm*9cm*12cm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469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F85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993E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0D5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B93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轮轴模型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734F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J2120型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D0C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E3A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B314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EC1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B95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轴承模型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66AB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滚动、滑动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69E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DA1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EEE6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172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8A60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抽水机模型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5C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活塞式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E07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40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0E09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9B6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2121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离心水泵模型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634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齿轮式或皮带式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F5E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ECC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EA65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9F1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C4E3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液压机模型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CE9B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产品由大缸体、小缸体、角式截止阀、底座和压力弹簧构成。2.外形尺寸340mmxl35mmx295mm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6CD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925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B4FB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057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9C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水轮机模型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A83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混流式、轴流式、冲击式三种转轮可视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36A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9D7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6032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089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61D4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汽油机模型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CE51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 工作电压：直流1.5V～2V。2． 模型应示汽油机的汽缸体、进汽阀、排汽阀、汽阀弹簧、进汽道、排汽道、活塞、活塞环、连杆、曲轴、飞轮、火花塞、凸轮、水套。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E01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C67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8862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D1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288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柴油机模型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F1E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 工作电压：直流1.5V～2V。2． 模型应示柴油机的汽缸体、进汽阀、排汽阀、汽阀弹簧、进汽道、排汽道、活塞、活塞环、连杆、曲轴、飞轮、火花塞、凸轮、水套。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62C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0F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203F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FA0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8873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磁分子模型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91D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1． 磁分子模型主要由衬板、磁分子和吸转叶片及其支座组成。2 .磁分子每个磁极的平均磁感应强度不小于11mT。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230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0ED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1694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498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44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电机模型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CFF8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模型为立式，高300mm，宽215 mm，厚45 mm。工作电压：DC6～12V。输入功率：2.5W。</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8F4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A11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D3C6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C48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AFE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电话原理模型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593D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由送话器、受话器和底板组成。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B3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800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28D9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08C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70B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物质的形态和变化</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5AC9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1FB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6E5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6EF1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68E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85A1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物质的属性</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64AA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C25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A2F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867D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F1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B48E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物质的结构与物体的尺度</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CBFB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D09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992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1BB5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5AA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1051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新材料及其应用</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7B5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202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486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91D6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6F9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835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多种多样的运动形式</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4866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F22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DEB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2D6A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201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29E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机械运动和力</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1A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A70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0B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F3A4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534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80C3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声和光</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24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952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E32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4D9E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6C3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7597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电和磁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FE59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7C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472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A9B4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3ED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2CF0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能量、能量的转化和转移</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E9C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DAA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E1B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1512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D9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EC9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机械能</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DB0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DE3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5D5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2C80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618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983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内能</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B4A8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B48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21F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A4DF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D4A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B670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电磁能</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4B4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E11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E98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2875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9037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C581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能量守恒</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BF87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F36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314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43F9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819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51014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F72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能源与可持续发展</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DC8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711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C0E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8196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890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097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量筒10mL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FEC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D5E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2F9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17BA9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AFF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AFF1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量筒50mL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6EF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F05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256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7DE39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AD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1492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量筒100mL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B3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495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FDA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t>
            </w:r>
          </w:p>
        </w:tc>
      </w:tr>
      <w:tr w14:paraId="3292E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E42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8F73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量杯250mL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696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41E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66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1A306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A26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86CF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试管φ15mm×150mm</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5F06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φ15mm×150mm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B30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0D8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t>
            </w:r>
          </w:p>
        </w:tc>
      </w:tr>
      <w:tr w14:paraId="79FDE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EE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E98D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试管φ30mm×200mm</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F3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φ30mm×200mm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4C0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744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1C0B1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5D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3B7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烧杯250mL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8B2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91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A6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6A0CB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B0CE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9858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烧杯500mL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38E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E2B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696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4D82E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47B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61034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89F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烧瓶圆、长，500mL  </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A7F1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圆、长，500mL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B9D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378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59F08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3F7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61037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A202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烧瓶平、长，250mL</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986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平、长，250mL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959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881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6F73E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F08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9B1C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酒精灯</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16D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150mL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F3F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91A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16FCF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394B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62032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8F71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漏斗</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079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75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AB4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13712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2D8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ED47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平底管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6F34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φ12mm×150mm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E8B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876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C454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533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2075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T形管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1569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φ7mm～8mm、标准化学仪器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BC9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28B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65D36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676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62096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CA63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可密封长玻璃管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847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内径10mm×800mm，有胶塞，带刻度衬板</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9F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A4D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C704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4F2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10DA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镊子</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C32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不锈钢，圆嘴  全长160±2mm， 厚1.5mm。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843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FF4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CE3A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3AC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64032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75E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石棉网</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5102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金属网尺寸不小于125mm×125mm，石棉材料涂敷面直径不小于80mm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F1E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896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58850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33B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64052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840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A61E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φ7mm～φ8mm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C86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CE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1076A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3DE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64063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4C5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乳胶管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B87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1．产品用乳胶制造。</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2．产品内径为5~6㎜，壁厚1㎜。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591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829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8C56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3C1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64088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538B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蒸发皿</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B3C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瓷，60mm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8AF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D7D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r>
      <w:tr w14:paraId="1B34F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F4E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A511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铁粉</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A9C6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9CD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B4E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10CA1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036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AF31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碘</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DEB3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06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FE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3A2CF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8D52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70088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7037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硫酸铝钾(明矾)</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8CB4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052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D170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0C3B4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6F5B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70090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A7A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硫代硫酸钠(海波)</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285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07F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5E7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21D23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31D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70091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1E55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无水硫酸铜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602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DAF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毫升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F150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2662C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259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72016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B6D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甘油</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ED45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09E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毫升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448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56337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D11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80103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1E74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新材料样品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44C3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纳米材料、超导材料、形状记忆合金、单晶和多晶、光导纤维、隐形材料</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E1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94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5682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2E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EA11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家庭电路器材</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DD1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空气开关、漏电保护器、螺丝口灯座、卡口灯座、三孔插座、三孔插头、插入式保险盒、拉线开关、按钮开关、声控开关、光控开关、导线等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C80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85B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8725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E78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2640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彩色透光片</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674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红、绿、蓝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C4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D1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646A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444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A859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颜料的三原色</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63C1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品红、黄、蓝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F94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适量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6F3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CC26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20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9899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甲电池</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E0A6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1.5V</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64E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229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0F23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A82F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912D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1号电池</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203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每组2至3个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BF2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FE2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13200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3BD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11F7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电珠(小灯泡)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80E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2.5V或3.8V</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66E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0C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w:t>
            </w:r>
          </w:p>
        </w:tc>
      </w:tr>
      <w:tr w14:paraId="00D6A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15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19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洗洁精</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9196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普通家用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924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毫升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809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37947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B3C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80112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0ED2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蜂蜡</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271D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天然蜂蜡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67A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56CE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753DF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5F8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A8A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测电笔</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B464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测量范围：交流12V—220V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099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867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C8C7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D44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81002</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24FCDD2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一字螺丝刀</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2E9A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一字槽,总长度150mm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593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5A70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B9C7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39F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81003</w:t>
            </w:r>
          </w:p>
        </w:tc>
        <w:tc>
          <w:tcPr>
            <w:tcW w:w="2160"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4A3A104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十字螺丝刀</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969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十字槽,总长度150mm </w:t>
            </w:r>
            <w:r>
              <w:rPr>
                <w:rFonts w:hint="eastAsia" w:ascii="宋体" w:hAnsi="宋体" w:eastAsia="宋体" w:cs="宋体"/>
                <w:i w:val="0"/>
                <w:iCs w:val="0"/>
                <w:color w:val="auto"/>
                <w:kern w:val="0"/>
                <w:sz w:val="24"/>
                <w:szCs w:val="24"/>
                <w:u w:val="none"/>
                <w:lang w:val="en-US" w:eastAsia="zh-CN" w:bidi="ar"/>
              </w:rPr>
              <w:t>需符合JY 0001-2003《教学仪器设备产品的一般质量要求》,提供检测报告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189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4A5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E4C9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DBA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461C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尖咀钳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18A0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8寸尖咀钳200MM, 45#高碳钢锻造。</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C6F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03F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AEFD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0AC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E200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电工刀</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A25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不小于180mm,3CR-13硬质钢材料制造</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0C9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D27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05FE0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53E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AB3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手摇钻</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766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手摇式，不小于300mm,可装0-7mm钻头。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E96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B85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FFE7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D05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2329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木锉</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92C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木锉在使用时都装有木柄。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97C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9B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AEF9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54A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34F1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木工锯</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8A3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材质：锰钢，长度不小于500mm，锯路宽4mm。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8E2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69E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F739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B2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BDD2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木工锤</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B37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钢锤木工锤</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4B2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0AD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2658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9AB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0C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铇</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0B4F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粗、细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93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7D2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017D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50D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3B62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斧</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A5FE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木把长度≥36cm,碳钢材质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06A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406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07A3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63D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A21F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钢手锯</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117A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锯弓12寸,ABS柄,方管锯,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62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2AC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714A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D84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072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剥线钳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8B80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材质：高碳钢，长度不小于170mm,压接范围：0.5、1、1.5、2.5、4平方毫米。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B3A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57A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82F3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F56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6118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钢丝钳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3A9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材质：45#高碳钢锻造，规格：40mm×80mm。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0AB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9F6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1FCF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AF6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D6E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手锤</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275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羊角锤锤头高碳钢锻造，表面经镜面抛光处理，锤头边缘钢材特殊淬火，规格：250G。</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BF2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901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47C2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9CCE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C70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錾子</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D2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规格为20mmx12mmx200mm，全锋钢刀口，火头硬，可用作錾铁，钢筋，水泥等。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1BD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3FF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8B45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11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2935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锉刀</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A403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平面锉刀，规格为150mm长，单支装，沾塑手柄。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491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A36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83B9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324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5A7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三角锉刀</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C00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8寸三角钢锉，木工锯子开口专用挫刀，长度为200mm。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4C8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E1F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8A0F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23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078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什锦锉</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305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六件套什锦锉，规格：3MM×140MM，包含（半圆锉/平头扁锉/尖头扁锉/三角锉/方锉/圆锉）。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593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3FA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ECDC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4AD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B49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活扳手</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9E63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长250mm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6B5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97F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629A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E22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0DC9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手剪</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6183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材料：钢，铁皮剪刀——规格为10寸（250mm长），中间带弹簧，手柄为沾塑手柄，防滑性好。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A9B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8F7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BA9F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B8E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C30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直角尺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B80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材料:不锈钢，规格:150mm×300mm，厚度不小于2mm，镜面抛光处理。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4A4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41F7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863A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DB5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FD3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高度游标卡尺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5D6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材质：不锈钢，规格：0-300mm。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6D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EA7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9505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5C7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81024</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D5E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电烙铁</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27E6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60W，20W</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79C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C99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9656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82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81025</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FE3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平口钳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0CC5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JB/T 54481-1999 高精度机用平口钳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095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618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ED5B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B25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81027</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74D3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手电钻</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B57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φ1mm～φ13mm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DD6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004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CE5D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B24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81028</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058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钻头</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4B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φ1mm～φ13mm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777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145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EAA1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DDF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81029</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6203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台虎钳</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44F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232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015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F481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E4A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81030</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2AF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砂轮片</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E8F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树脂切割片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268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EC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214F5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9F8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81031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604F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砂轮机</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0A8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单相，300W，3000vpm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B65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BCE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1883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2CC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81033</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0E6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钳工工作台</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3257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台面30mm实木板材加工，干燥处理；桌面铺设透明橡胶防护垫；桌身40×40方钢烤漆骨架，两侧各有工具抽屉，桌脚带固定垫。</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254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8D7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6CBE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F40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81034</w:t>
            </w:r>
          </w:p>
        </w:tc>
        <w:tc>
          <w:tcPr>
            <w:tcW w:w="21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088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投影片绘制工具</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510B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符合新课标要求</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743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AC0C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17B2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EA4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82001</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9246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工作服</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D9E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1、白色全棉。 2、型号：大号。3、长袖带纽扣。4、胸前有带纽扣的暗兜。</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AF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474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BA5E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194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82002</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217C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护目镜</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6347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用于实验教师防强光、眩光、紫外线、激光或是机械性伤害(机加工)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1E8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CF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C8FD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F83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82006</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2AC3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手套</w:t>
            </w:r>
          </w:p>
        </w:tc>
        <w:tc>
          <w:tcPr>
            <w:tcW w:w="2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BE0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棉质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2AE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B88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r>
    </w:tbl>
    <w:p w14:paraId="313B42A3">
      <w:pPr>
        <w:numPr>
          <w:ilvl w:val="0"/>
          <w:numId w:val="0"/>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7CE0B6D1">
      <w:pPr>
        <w:numPr>
          <w:ilvl w:val="0"/>
          <w:numId w:val="0"/>
        </w:num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bl>
      <w:tblPr>
        <w:tblStyle w:val="24"/>
        <w:tblW w:w="90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9"/>
        <w:gridCol w:w="2216"/>
        <w:gridCol w:w="4476"/>
        <w:gridCol w:w="623"/>
        <w:gridCol w:w="696"/>
      </w:tblGrid>
      <w:tr w14:paraId="1166B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9060" w:type="dxa"/>
            <w:gridSpan w:val="5"/>
            <w:tcBorders>
              <w:top w:val="nil"/>
              <w:left w:val="nil"/>
              <w:bottom w:val="nil"/>
              <w:right w:val="nil"/>
            </w:tcBorders>
            <w:shd w:val="clear" w:color="auto" w:fill="auto"/>
            <w:vAlign w:val="center"/>
          </w:tcPr>
          <w:p w14:paraId="03D89552">
            <w:pPr>
              <w:keepNext w:val="0"/>
              <w:keepLines w:val="0"/>
              <w:widowControl/>
              <w:suppressLineNumbers w:val="0"/>
              <w:jc w:val="center"/>
              <w:textAlignment w:val="center"/>
              <w:rPr>
                <w:rFonts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初中化学教学仪器仪器设备需求、预算明细表</w:t>
            </w:r>
          </w:p>
        </w:tc>
      </w:tr>
      <w:tr w14:paraId="74A13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80" w:type="dxa"/>
            <w:tcBorders>
              <w:top w:val="nil"/>
              <w:left w:val="single" w:color="000000" w:sz="4" w:space="0"/>
              <w:bottom w:val="single" w:color="000000" w:sz="4" w:space="0"/>
              <w:right w:val="single" w:color="000000" w:sz="4" w:space="0"/>
            </w:tcBorders>
            <w:shd w:val="clear" w:color="auto" w:fill="auto"/>
            <w:vAlign w:val="center"/>
          </w:tcPr>
          <w:p w14:paraId="230921FE">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编号</w:t>
            </w:r>
          </w:p>
        </w:tc>
        <w:tc>
          <w:tcPr>
            <w:tcW w:w="2415" w:type="dxa"/>
            <w:tcBorders>
              <w:top w:val="nil"/>
              <w:left w:val="single" w:color="000000" w:sz="4" w:space="0"/>
              <w:bottom w:val="single" w:color="000000" w:sz="4" w:space="0"/>
              <w:right w:val="single" w:color="000000" w:sz="4" w:space="0"/>
            </w:tcBorders>
            <w:shd w:val="clear" w:color="auto" w:fill="auto"/>
            <w:vAlign w:val="center"/>
          </w:tcPr>
          <w:p w14:paraId="7B51B274">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名</w:t>
            </w:r>
            <w:r>
              <w:rPr>
                <w:rFonts w:hint="default" w:ascii="Times New Roman" w:hAnsi="Times New Roman" w:eastAsia="黑体" w:cs="Times New Roman"/>
                <w:i w:val="0"/>
                <w:iCs w:val="0"/>
                <w:color w:val="auto"/>
                <w:kern w:val="0"/>
                <w:sz w:val="24"/>
                <w:szCs w:val="24"/>
                <w:u w:val="none"/>
                <w:lang w:val="en-US" w:eastAsia="zh-CN" w:bidi="ar"/>
              </w:rPr>
              <w:t xml:space="preserve">        </w:t>
            </w:r>
            <w:r>
              <w:rPr>
                <w:rFonts w:hint="eastAsia" w:ascii="黑体" w:hAnsi="宋体" w:eastAsia="黑体" w:cs="黑体"/>
                <w:i w:val="0"/>
                <w:iCs w:val="0"/>
                <w:color w:val="auto"/>
                <w:kern w:val="0"/>
                <w:sz w:val="24"/>
                <w:szCs w:val="24"/>
                <w:u w:val="none"/>
                <w:lang w:val="en-US" w:eastAsia="zh-CN" w:bidi="ar"/>
              </w:rPr>
              <w:t>称</w:t>
            </w:r>
          </w:p>
        </w:tc>
        <w:tc>
          <w:tcPr>
            <w:tcW w:w="4335" w:type="dxa"/>
            <w:tcBorders>
              <w:top w:val="nil"/>
              <w:left w:val="single" w:color="000000" w:sz="4" w:space="0"/>
              <w:bottom w:val="single" w:color="000000" w:sz="4" w:space="0"/>
              <w:right w:val="single" w:color="000000" w:sz="4" w:space="0"/>
            </w:tcBorders>
            <w:shd w:val="clear" w:color="auto" w:fill="auto"/>
            <w:vAlign w:val="center"/>
          </w:tcPr>
          <w:p w14:paraId="79383D52">
            <w:pPr>
              <w:keepNext w:val="0"/>
              <w:keepLines w:val="0"/>
              <w:widowControl/>
              <w:suppressLineNumbers w:val="0"/>
              <w:jc w:val="left"/>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规格 型号 功能</w:t>
            </w:r>
          </w:p>
        </w:tc>
        <w:tc>
          <w:tcPr>
            <w:tcW w:w="645" w:type="dxa"/>
            <w:tcBorders>
              <w:top w:val="nil"/>
              <w:left w:val="single" w:color="000000" w:sz="4" w:space="0"/>
              <w:bottom w:val="single" w:color="000000" w:sz="4" w:space="0"/>
              <w:right w:val="single" w:color="000000" w:sz="4" w:space="0"/>
            </w:tcBorders>
            <w:shd w:val="clear" w:color="auto" w:fill="auto"/>
            <w:vAlign w:val="center"/>
          </w:tcPr>
          <w:p w14:paraId="1D216C25">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单位</w:t>
            </w:r>
          </w:p>
        </w:tc>
        <w:tc>
          <w:tcPr>
            <w:tcW w:w="585" w:type="dxa"/>
            <w:tcBorders>
              <w:top w:val="nil"/>
              <w:left w:val="single" w:color="000000" w:sz="4" w:space="0"/>
              <w:bottom w:val="single" w:color="000000" w:sz="4" w:space="0"/>
              <w:right w:val="single" w:color="000000" w:sz="4" w:space="0"/>
            </w:tcBorders>
            <w:shd w:val="clear" w:color="auto" w:fill="auto"/>
            <w:vAlign w:val="center"/>
          </w:tcPr>
          <w:p w14:paraId="0C0DC3CF">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数量</w:t>
            </w:r>
          </w:p>
        </w:tc>
      </w:tr>
      <w:tr w14:paraId="7F286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89A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8F57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钢制黑板</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F0C9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900mm×600mm，双面</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6E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12D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317A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91F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A00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打孔器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978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四件</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647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8C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56A2B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433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C77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打孔夹板</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C26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 由上夹板、下夹板、螺钉及紧固蝴蝶螺母等组成。2．长不小于175mm，宽不小于40mm。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30A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CCC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9CF1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9C7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379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打孔器刮刀</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34AC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1．由刀架、刀片、刀片定位销钉、刀片张角定位螺钉和手柄组成。2． 刀架金属材料制成，表面作防锈处理。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74E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5A0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F69F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E37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0F91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手摇钻孔器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9C98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1．由手柄轴、衬套筒、螺母、连接板、螺钉、螺杆、钻头、夹板、底座等组成。2． 底座用铸铁制造，表面要求平整，无缩孔、裂缺现象。表面烤漆。3． 底座可平放或竖放。</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BCB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FE7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776B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B15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87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电动钻孔器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F6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台式</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B34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951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6BD6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7F2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2020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5E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仪器车</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D9C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手推式。</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E9D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B32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4F55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190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2070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5A0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电动离心机</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FE85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 r/min～4000 r/min，10mL×8，无刷电机，带电锁</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BA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8C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92A1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C26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2071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73F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离心沉淀器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B59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手摇式</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E1E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524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EEB3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49C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2073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74ED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磁力加热搅拌器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09AA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容量：20mL～3000mL，转速：0 r/min～1200 r/min，无级调速</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22B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8BA0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15DE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A8F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2075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61E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酒精喷灯</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1C1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坐式</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5E1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10B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0E7E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6D7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2077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A7B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电加热器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D7F6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密封式</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768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1E0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3119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6D5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2081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18E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蒸馏水器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13741">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2L~3L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61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7CD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1092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3BB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2083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1E3D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列管式烘干器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2F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主要由上盖、下底、列管、加热器、风扇、电源线组成。</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9F3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469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16B3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902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2084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5DB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烘干箱</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9E19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加热功率： AC220V/50Hz。工作室尺寸：300mm×300mm×360mm 温度：室温+5℃～150℃/恒温波动度 1℃/均匀度 ±1%。隔板数：2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F25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987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779A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326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20EC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注射器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7F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10mL，塑料</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FF4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C2E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3C9E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F2C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2121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872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塑料洗瓶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DC0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08E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DC0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9E37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E4C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2122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3ED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试剂瓶托盘</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A446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ABS塑料成型，不易破碎。2.能耐酸、耐碱、耐腐蚀</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61F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996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ABE7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705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2123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A3AA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实验用品提篮</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6C33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中号，ABS塑料成型。</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13C7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98F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7F08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755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2124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4AF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塑料水槽</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7CA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250mm×180mm×100mm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A9F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5D7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DC98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E9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2125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903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碘升华凝华管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F49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密封式</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F86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92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16B6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B2F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43C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方座支架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9924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底座、立杆及附件组成。方座支架的底座尺寸不小于210mm×135mm，立杆直径不小于φ11mm；立杆长610mm，直径11.3mm，表面镀铬，立杆与方座组装后应垂直。</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06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B86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D0E3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0D2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1B0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万能夹</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5DA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由夹杆、夹头组成。夹头分三爪，铝合金压铸成夹叉形，夹口为张紧螺丝张口，双向紧固，每一夹叉上均粘接软木底垫</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A80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410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08113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9D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408E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三脚架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40C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由铁环和3只脚组成。2． 铁环内径：74mm 外径：90mm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2E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6C5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C2C7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287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39A1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泥三角</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8DF0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由3个圆形泥石球组成。由3根铁线串接，呈三角形。</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CAA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CC0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7048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2D6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DD84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170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12孔，12柱，与φ15mm×150mm试管匹配</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7F1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043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C952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1C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3009</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4ED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漏斗架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05E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由底座、立杆、架板组成，仪器由木制成。呈“工”字形。</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38A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883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54EF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99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1811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滴定台</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2E0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台板、支杆组成。台板用花岗岩制作，底部附四个橡胶脚，中心孔Φ12mm，花岗岩规格300mm×150mm×18mm，立杆Φ12mm×550mm，经防锈处理，表面镀铬。</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723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B5D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5C95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C90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3011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AFC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滴定夹</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0A0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铝合金制，外型为蝶形夹持，每侧的两夹夹持中心同轴，用螺丝或弹簧控制，可同时在左、右夹持一支滴定管，夹持质量为1KG。</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D31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70F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83A6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28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3012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A751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多用滴管架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DAF5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选用聚丙烯全新塑料注塑而成，无毒、环保、性能好。多用滴管架由支架2个，横杆3根组成</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E25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107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8D4B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2AC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B050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学生电源</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1344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直流</w:t>
            </w:r>
            <w:r>
              <w:rPr>
                <w:rFonts w:hint="default" w:ascii="Times New Roman" w:hAnsi="Times New Roman" w:eastAsia="宋体" w:cs="Times New Roman"/>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1.5V～9V，1.5A，每1.5V一档</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BD8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887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D970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612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8E7B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教学电源</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7B79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交流 2V～12V，5A，每2V一档；                      直流 1.5V～12V，2A，分为1.5V、3V、4.5V、6V、9V、12V，共六档</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6E2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1892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A660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502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F98B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托盘天平</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BB0E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100g，0.1g</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603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86E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0A53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938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06F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托盘天平</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32B2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500g，0.5g</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6F3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43D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5EF1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073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EA3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电子天平</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CD4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100g，0.001g</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26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A8E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5539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686A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11011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C10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电子天平</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5B2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400g，0.1g</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C210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F01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1346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120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130F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温度计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C76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红液，0℃～100℃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9C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629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10AC5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BDC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21E7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温度计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23E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水银，0℃～200℃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B0D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F6D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0C6F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809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ED3E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数字测温计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626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-30℃～+200℃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40A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D0A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9072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30E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15011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25CB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多用电表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8FA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不低于模拟式电表的交流5级，直流2.5级</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4356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D93E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DFB3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D61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8C2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密度计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745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密度＞1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170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9CE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0DBB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F83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034A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密度计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BA6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密度＜1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319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326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CC22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9CC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4BBE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酸度计(pH计)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DD10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笔式，测量范围pH0.0～14.0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E1F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E4B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5387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1FD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E21A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水电解演示器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88E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30mL，铂电极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A5B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235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2698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6DB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8425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水电解实验器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BE8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支架、底座、H形电解管、胶塞、铂合金电极、导线、连接胶管等组成</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05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B54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B3CE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A65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6CEA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原电池实验器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D68B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主要塑料容器1个、电极板3块、容器盖1个、接线柱2个组成。塑料容器为透明材料制作</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E1E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707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F8E7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249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B65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贮气装置</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CEF5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为组合式，主要由出水管、注水室、导气阀、贮气室、底座、乳胶管组成</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3C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4F6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84FB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CFD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26008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015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初中微型化学实验箱</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6795D">
            <w:pPr>
              <w:rPr>
                <w:rFonts w:hint="eastAsia" w:ascii="宋体" w:hAnsi="宋体" w:eastAsia="宋体" w:cs="宋体"/>
                <w:i w:val="0"/>
                <w:iCs w:val="0"/>
                <w:color w:val="auto"/>
                <w:sz w:val="24"/>
                <w:szCs w:val="24"/>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7E4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DE2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2537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F47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26009</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129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分子间隔实验器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BA2A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容器容积不小于100ml，容量变化范围大于5ml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264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FD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F901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5FC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26010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C91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溶液导电演示器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FCCC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由示教版、电极电线、容器、灵敏电流计等组成。示教电路版用塑料制成，尺寸为390mm×265mm×25mm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878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60B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DCA8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014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26011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9ED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微型溶液导电实验器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B5518">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仪器由盒体、溶液盒盖、输入插孔、微调、导电指示灯等组成。</w:t>
            </w:r>
            <w:r>
              <w:rPr>
                <w:rFonts w:hint="eastAsia" w:ascii="宋体" w:hAnsi="宋体" w:eastAsia="宋体" w:cs="宋体"/>
                <w:i w:val="0"/>
                <w:iCs w:val="0"/>
                <w:color w:val="auto"/>
                <w:kern w:val="0"/>
                <w:sz w:val="24"/>
                <w:szCs w:val="24"/>
                <w:u w:val="none"/>
                <w:lang w:val="en-US" w:eastAsia="zh-CN" w:bidi="ar"/>
              </w:rPr>
              <w:br w:type="textWrapping"/>
            </w:r>
            <w:r>
              <w:rPr>
                <w:rFonts w:hint="default" w:ascii="Times New Roman" w:hAnsi="Times New Roman" w:eastAsia="宋体" w:cs="Times New Roman"/>
                <w:i w:val="0"/>
                <w:iCs w:val="0"/>
                <w:color w:val="auto"/>
                <w:kern w:val="0"/>
                <w:sz w:val="24"/>
                <w:szCs w:val="24"/>
                <w:u w:val="none"/>
                <w:lang w:val="en-US" w:eastAsia="zh-CN" w:bidi="ar"/>
              </w:rPr>
              <w:t>2</w:t>
            </w:r>
            <w:r>
              <w:rPr>
                <w:rFonts w:hint="eastAsia" w:ascii="宋体" w:hAnsi="宋体" w:eastAsia="宋体" w:cs="宋体"/>
                <w:i w:val="0"/>
                <w:iCs w:val="0"/>
                <w:color w:val="auto"/>
                <w:kern w:val="0"/>
                <w:sz w:val="24"/>
                <w:szCs w:val="24"/>
                <w:u w:val="none"/>
                <w:lang w:val="en-US" w:eastAsia="zh-CN" w:bidi="ar"/>
              </w:rPr>
              <w:t>、外形尺寸不小于</w:t>
            </w:r>
            <w:r>
              <w:rPr>
                <w:rFonts w:hint="default" w:ascii="Times New Roman" w:hAnsi="Times New Roman" w:eastAsia="宋体" w:cs="Times New Roman"/>
                <w:i w:val="0"/>
                <w:iCs w:val="0"/>
                <w:color w:val="auto"/>
                <w:kern w:val="0"/>
                <w:sz w:val="24"/>
                <w:szCs w:val="24"/>
                <w:u w:val="none"/>
                <w:lang w:val="en-US" w:eastAsia="zh-CN" w:bidi="ar"/>
              </w:rPr>
              <w:t>75mm×75mm×53mm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A72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29D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0929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9F1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26015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606A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化学实验装置磁性教具</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8FB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磁性橡胶</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365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C87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087F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695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26017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FC5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化学实验废水处理装置</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22F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实验教学和废水处理兼用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214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608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7BBF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359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26018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A4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元素学习卡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CC0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学习元素名称、符号用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B7F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0DE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4B33C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F3E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8C7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炼铁高炉模型</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0C12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6ED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03E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FFEA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B09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B8B3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分子结构模型</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C81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FC5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09B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0C96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BEB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32004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5A68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金刚石结构模型</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887A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38E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42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DB37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2A3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287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石墨结构模型</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9E0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AF9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A1E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84F0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D9D1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32006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2DA5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碳-60结构模型</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D13F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F13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8A3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9E21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0C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32007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02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氯化钠晶体结构模型</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0EC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506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52E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E972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6AF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32008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0F48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碳的同素异形体结构模型</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1103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包括金刚石、石墨、碳-60三种结构模型；小型，球管式，可拆卸</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EE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F0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EB2B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DBC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42001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B0D0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金属矿物、金属及合金标本</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B789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各类不少于5种</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0B7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8A2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414D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0B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42003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472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合成有机高分子材料标本</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BB7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不少于10种</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FF1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66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F562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9C1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42004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FA26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新型无机非金属材料标本</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9B87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氧化铝陶瓷、氮化硅陶瓷、光导纤维等</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F9C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334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EA86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10F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52001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5EE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走进化学实验室</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59C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0B9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D3A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5C87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8E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52002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1B6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身边的化学物质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3B90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BF3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FD7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0405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5BE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52003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1B8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物质构成的奥秘</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80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56A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353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5BF1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F40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52005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5E5D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化学与社会发展</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3C11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AE9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129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34F6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CC5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52041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A1E7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元素周期表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F37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带轴</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60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F56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75B2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0CB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52141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E4C3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中学化学投影拼板</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CFA7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893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C49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0718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396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52301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689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初中化学多媒体教学软件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214D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9FC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7C57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207E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59E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52401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5B19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初中化学实验教学指导书</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CF63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975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80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74EC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1A0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52402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021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初中化学实验仪器手册</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810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B14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B92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8647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EDF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BFF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EF2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C84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3B2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8E52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8AA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DBD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3CA3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A9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DAB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193A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AAA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931B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788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584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5F59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7C81C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7E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4D9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87D3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EDE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F4C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19DB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71F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60012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C4B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量杯</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763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5F2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D4A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CF13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94B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60023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8A2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容量瓶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907E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61A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D99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D028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212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60024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24A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容量瓶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394A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554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E3F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ED42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2E8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60041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5E15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滴定管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E57C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酸式，25mL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FE0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D99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8645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419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60043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D4EA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滴定管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0BB2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碱式，25mL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712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2F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2A5E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85D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3268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E821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φ12mm×70mm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310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4371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7C920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F76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984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97B5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φ15mm×150mm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126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C6C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0D062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44B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24C2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2BB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φ18mm×180mm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985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E65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75</w:t>
            </w:r>
          </w:p>
        </w:tc>
      </w:tr>
      <w:tr w14:paraId="3AB18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D2B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DD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466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φ20mm×200mm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84E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FD5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75</w:t>
            </w:r>
          </w:p>
        </w:tc>
      </w:tr>
      <w:tr w14:paraId="0D8B8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635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DAA1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536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φ32mm×200mm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51E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DB3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4F2DD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26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AB64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具支试管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D1C1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φ20mm×200mm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5E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AC5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28D26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D6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61009</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4A42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硬质玻璃管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0F1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φ15mm×150mm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D61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0C3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1A494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981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FA9D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硬质玻璃管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9AE1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φ20mm×250mm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586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8C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688AC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EA5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2308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03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DB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246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75</w:t>
            </w:r>
          </w:p>
        </w:tc>
      </w:tr>
      <w:tr w14:paraId="023DD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AB1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8E3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B54C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B6A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926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75</w:t>
            </w:r>
          </w:p>
        </w:tc>
      </w:tr>
      <w:tr w14:paraId="3EF05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E3B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FF3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1484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7F4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15C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75</w:t>
            </w:r>
          </w:p>
        </w:tc>
      </w:tr>
      <w:tr w14:paraId="1424B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7E7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0654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E31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A0E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BA2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16080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0C3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60A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C2D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07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F01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1660D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60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5ED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A52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056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085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0A5F3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0CE3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61033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B9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ED62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圆、长，250mL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EB6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E76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BE7C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F30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61037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C16D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DB59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平、长，250mL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485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F5E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4B085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CD2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61041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327F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锥形瓶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366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CF3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EFB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3346D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E00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61042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E2C3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锥形瓶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0DF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EF6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078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20A17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F87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61051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2A87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蒸馏烧瓶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6DAF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2A8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1CC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2B1CF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C18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D9E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酒精灯</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9A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AC6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CF5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0DB9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7CF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62004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0D12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抽滤瓶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BB4B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3CD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FC1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613E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318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8C93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抽气管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F465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玻璃质，改进式</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2ED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B45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6C86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6F1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62006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7EE5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干燥器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89C0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2AC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4C8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14D73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46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62007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342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气体发生器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6E61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85A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361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74033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3FB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62021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F58A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冷凝器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2FFF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直固，300mm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5BC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1A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4ABA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7E4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62023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F32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牛角管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0E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弯形，φ18mm×150mm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C6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48D4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3485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ADC0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62031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36B5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漏斗</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8D1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755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914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69CA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B6B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62032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F354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漏斗</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5C5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37A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3AB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3B731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032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62033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9812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安全漏斗</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A86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直形</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66E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ADA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52C25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B73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62034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173D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安全漏斗</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98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双球</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E6B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652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EAF6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318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62035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ACC0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分液漏斗</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362D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锥形，100mL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493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54C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4499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9EB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62036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D053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分液漏斗</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600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梨形，50mL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98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F8B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564A7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C5A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62039</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5666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布氏漏斗</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83FB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瓷，80mm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2DF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47E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1502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D89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B47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T形管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592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φ7mm～8mm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5B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3FB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2728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AEB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76C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Y形管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A92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φ7mm～8mm玻璃</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60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44C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4E71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E9A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997D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9CCC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透明，1毫升</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490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55B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5F4A2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CD6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658A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离心管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E2E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D81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E63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765F8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716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D63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干燥管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8F8D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单球，150mm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109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096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0798D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B4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DE27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干燥管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190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U型，φ15mm×150mm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010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B5C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3CB8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83D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62079</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B6D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活塞</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EBF9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直形</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2F0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319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C0FB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1617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62091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AC92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圆水槽</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A54F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φ200mm×100mm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C1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CF9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2B666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20F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62092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D13D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圆水槽</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873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φ270mm×140mm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485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1AD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0829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BE2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62093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B2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玻璃钟罩</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ACF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φ150mm×280mm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7D8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E6E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04BD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FA7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2B7A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集气瓶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487D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125mL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4EC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2E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09044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2D9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BC6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集气瓶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00C0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245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B35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r>
      <w:tr w14:paraId="0C2F4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E2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438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液封除毒气集气瓶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9CD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859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95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71E77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CE0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63011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9E7C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广口瓶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D1C3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7B6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E3C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170</w:t>
            </w:r>
          </w:p>
        </w:tc>
      </w:tr>
      <w:tr w14:paraId="349F8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EBA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63012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B161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广口瓶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3B57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125mL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BC5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98F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r>
      <w:tr w14:paraId="7C92A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28B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63013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C1A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广口瓶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41F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63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709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r>
      <w:tr w14:paraId="5C2CA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C83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63014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8C1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广口瓶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D37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B8A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1BB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4D26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CF8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63015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B45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广口瓶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EF0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茶，60mL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BC6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023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58DEA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D49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63016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9E4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广口瓶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E73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茶，125mL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5837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4B3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25461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4C4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63017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9B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广口瓶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104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AFB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C5B3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4D977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D45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63021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5203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96B1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D23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E9D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6DF88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C68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63022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5C97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278C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125mL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DD5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CD8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w:t>
            </w:r>
          </w:p>
        </w:tc>
      </w:tr>
      <w:tr w14:paraId="1C07D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96C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63023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DBB1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AF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181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016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2EEA8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9FA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63024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87BF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D519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9DA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B87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59374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B88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63025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E799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B7A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5E4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94B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7359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2B7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63026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982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E55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3762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589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45FC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4E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63027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BF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EF3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茶，60mL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D69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BC4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46419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F76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63028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E73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01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茶，125mL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720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5540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r>
      <w:tr w14:paraId="28501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5E4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63029</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1C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8D3F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茶，250mL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7A3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208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0419A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9B6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63030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A103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EDBA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茶，500mL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287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17E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5182F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ECE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63031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1632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CEAB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茶，1000mL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005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CE2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6068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CF4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63041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F60E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0CD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A1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496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0A01B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6DE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63042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1FB2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B052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ACA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01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w:t>
            </w:r>
          </w:p>
        </w:tc>
      </w:tr>
      <w:tr w14:paraId="0D813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E15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63043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3D84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C811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茶，30mL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495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319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69F8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8C5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63044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BB82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滴瓶</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9CE0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茶，60mL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8613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9D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r>
      <w:tr w14:paraId="2EFB3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6D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71D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坩埚</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B9DE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瓷，30mL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20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5E3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69706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8C8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F3B9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坩埚钳</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ACB7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2F5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07BE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64B8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1AD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A62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烧杯夹</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709E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夹杆直径为10mm±2mm，夹头内侧有软质垫衬</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664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C51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38C92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B36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AAE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镊子</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202D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直头，平口，不锈钢材质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D40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71F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FE54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CF2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64006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36F4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试管夹</w:t>
            </w:r>
          </w:p>
        </w:tc>
        <w:tc>
          <w:tcPr>
            <w:tcW w:w="0" w:type="auto"/>
            <w:tcBorders>
              <w:top w:val="nil"/>
              <w:left w:val="nil"/>
              <w:bottom w:val="nil"/>
              <w:right w:val="nil"/>
            </w:tcBorders>
            <w:shd w:val="clear" w:color="auto" w:fill="auto"/>
            <w:noWrap/>
            <w:vAlign w:val="center"/>
          </w:tcPr>
          <w:p w14:paraId="782938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木质或竹质材料制成。夹长不小于100mm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23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8562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4F3CC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0B4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64007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75F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水止皮管夹</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DFD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不锈钢60号弹簧钢丝。</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8B4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7B2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2A98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353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64008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A1C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螺旋皮管夹</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69A4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不锈钢制品。</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9A0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097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37073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098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64032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BC20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石棉网</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208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金属网尺寸不小于125mm×125mm，石棉材料涂敷面直径不小于80mm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B81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364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FB1B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3C7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64041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CA9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燃烧匙</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DBB7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燃烧勺用紫铜制成，手柄杆长度不小于200mm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B7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FC6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r>
      <w:tr w14:paraId="06B0D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3CA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64042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FA4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药匙</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D6E9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为塑料或骨质材料制成。两端分别为大小匙勺，全长不小于150mm。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C2D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EE9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C5D2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5AA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64051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F2B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2718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φ5mm～φ6mm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C89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FE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0B5AC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DEC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64052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059E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4E54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φ7mm～φ8mm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DC9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D7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22097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F8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64053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AFE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玻璃棒</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8654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φ3mm～φ4mm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AD5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58B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50443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937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64054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D5D2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玻璃棒</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F15D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φ5mm～φ6mm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EBE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C56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1001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2A03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64061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FA72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软胶塞</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84D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0号～12号</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1A3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61B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CD07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6CC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64062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65B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橡胶管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0F2D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天然橡胶制造、内径为7～8mm，壁厚1mm。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BA7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043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3A618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EC1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64063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CDD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乳胶管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59B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乳胶制造。产品内径为5~6㎜，壁厚1㎜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04E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米</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38C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r>
      <w:tr w14:paraId="307E7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B09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64071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C14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试管刷</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47A3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金属丝和胶合在其上的猪鬃毛制成、金属丝用Φ3mm左右的镀锌铁丝2根绞合，总长度不小于250mm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09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3E6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A665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209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64072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8C07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烧瓶刷</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00EA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猪棕毛制,毛刷小头Φ12mm×18mm，大头Φ34mm×50mm,小头Φ31mm×50mm，大头Φ60mm×90mm。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4BB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5CE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r>
      <w:tr w14:paraId="67FB3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DDD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64080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1F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结晶皿</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AC6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4F0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3FB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5ED0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A28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64081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7584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表面皿</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FD81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4B8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073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FCBD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EEB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64082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3EF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表面皿</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0495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401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61C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18E9F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D87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64086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6D24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研钵</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1BC1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瓷，60mm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542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2BC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r>
      <w:tr w14:paraId="036E7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955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64087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5E08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研钵</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8D5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瓷，90mm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D50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B2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2C7F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828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64088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57E4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蒸发皿</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443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瓷，60mm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FDF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65F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08481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F81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64089</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2717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蒸发皿</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447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瓷，100mm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AA7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34D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6791B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5E5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64091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5B2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反应板</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CF7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至少6穴</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D4B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8AD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8A87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9D5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64092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3696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井穴板</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C43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9孔，0.7mL×9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CB40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BB7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20597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F38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64093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CC4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井穴板</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F23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6孔，5mL×6，附带双导气管的井穴塞</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DE8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6A6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48F0C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F90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64094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195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塑料多用滴管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D80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4mL</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D11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995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w:t>
            </w:r>
          </w:p>
        </w:tc>
      </w:tr>
      <w:tr w14:paraId="1075E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45E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E260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铝片</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B44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26D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07C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48053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996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6E5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铝箔</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8143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62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A4E0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26000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939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BCB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铝丝</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2B5F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F1F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D87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29C5C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D49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70004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13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锌粒</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F175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F7B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87B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6B38A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E5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461C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还原铁粉</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E643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13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946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0C0BE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5DF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70006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8D16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铁丝</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39D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2A8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D6D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0BB43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1C27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70008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3C3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锡粒</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193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F97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63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4C1BA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620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70009</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CD48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铅粒</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24A5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418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0E8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6655F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292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472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紫铜片</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C9A8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29C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0CF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63499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13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70011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A351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铜丝</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1CDF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CA0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07D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5C893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FF1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70021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48A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碘</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3DA1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74A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C3E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3DACD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62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70022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D28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活性炭</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C6EA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420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731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61E3B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3E5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70032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F9E4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二氧化锰</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EC9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E89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5BA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32894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102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70033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1550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三氧化二铁</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A2D5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04A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124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0DE8B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829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70034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6C9C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氧化铜</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BDB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535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63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4271F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056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70041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B9CB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氯化钾</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7DA4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A67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A1D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03839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8DA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70042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00B8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氯化钠</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DF07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A9A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CF2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54389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BE9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70043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739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氯化钠</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6EE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323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55C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59C1C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A5C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70044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518D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氯化钙</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A682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CDA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872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401D7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912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70045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89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无水氯化钙</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9D0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FA1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9D4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7EED5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488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70046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BB0A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氯化镁</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C6A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1389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5FF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1F96A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9EE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70049</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7A0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氯化铵</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3CBB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E3C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25E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522A3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D23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70065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0E3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碘化钾</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3915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4BB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43C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46018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B22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70070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7F5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硫酸钾</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3A0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071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176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4A787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C5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70083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CD3E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硫酸铝</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88C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033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19F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4F7EE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D83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70086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C9E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硫酸铜(蓝矾、胆矾)</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4998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7D1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04E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1E028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4B5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70087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8A13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硫酸铵</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84E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B6C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13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6CA68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413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70088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9D74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硫酸铝钾(明矾)</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D944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A8B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4A23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5B729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7DE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70091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214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无水硫酸铜</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A223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715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FDA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3F06C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2BE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8673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碳酸钾</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76AE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558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E60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472B7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0ED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F991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碳酸钠</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DE77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2C2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92E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63F74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783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5DB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碳酸氢钠</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09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68B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472F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6790D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59B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71004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412D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大理石</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1020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74B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147E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w:t>
            </w:r>
          </w:p>
        </w:tc>
      </w:tr>
      <w:tr w14:paraId="26DEF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0A3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F23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碳酸氢铵</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3C4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D37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428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57432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809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71006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D5E7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碱式碳酸铜</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B9DD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D74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1E1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0C91A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E8F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71030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4BD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乙酸铅</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7819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05E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085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5F689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6ED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71041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B66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氢氧化钡</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536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AD6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A40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3BC9D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96D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71043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477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氧化钙(生石灰)</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3BD6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化学纯</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7C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0F9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01D44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100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71044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525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氢氧化钙(熟石灰)</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A158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化学纯</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F31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C11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w:t>
            </w:r>
          </w:p>
        </w:tc>
      </w:tr>
      <w:tr w14:paraId="64423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AF8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71045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EBD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碱石灰</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1C8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化学纯</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162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4FC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018B9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E7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052F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无水乙酸钠</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5608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638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59B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16091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26B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B654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柠檬酸钠</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D5B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631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B1E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28E8F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6D7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72021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95B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葡萄糖</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A91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化学纯</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9BE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4F0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2A1C7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B6A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72022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EA07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蔗糖</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B25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化学纯</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B48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871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1A85A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25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72051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E64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石蕊</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273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指示剂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E6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57B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17864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9EB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72052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625A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酚酞</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E10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指示剂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634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FFF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4C8B3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7F4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72054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54A2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品红</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3DB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染料</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792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F6E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4A4EA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190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72061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00A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pH广范围试纸</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5AB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C83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本</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A0A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5560A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F97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72062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C2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蓝石蕊试纸</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652A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试纸</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47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本</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1BA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0E6D3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B3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72063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ABE5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红石蕊试纸</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2894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试纸</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390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本</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1846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0E644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7626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72091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E4DD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定性滤纸</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6AE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9cm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BA1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11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701A4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0F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76001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E84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草酸</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992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F1B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4DB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4EB81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826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77031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7BF3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氢氧化钾</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106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F50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548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12265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5BF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77032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7196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氢氧化钠</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6A00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D84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DCF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w:t>
            </w:r>
          </w:p>
        </w:tc>
      </w:tr>
      <w:tr w14:paraId="0D91C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A92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77033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E44D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氢氧化钠</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807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工业</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21A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084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w:t>
            </w:r>
          </w:p>
        </w:tc>
      </w:tr>
      <w:tr w14:paraId="2438F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AF59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80201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289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初中化学实验材料</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2ACF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黄铜片、</w:t>
            </w:r>
            <w:r>
              <w:rPr>
                <w:rFonts w:hint="default" w:ascii="Times New Roman" w:hAnsi="Times New Roman" w:eastAsia="宋体" w:cs="Times New Roman"/>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火柴、</w:t>
            </w:r>
            <w:r>
              <w:rPr>
                <w:rFonts w:hint="default" w:ascii="Times New Roman" w:hAnsi="Times New Roman" w:eastAsia="宋体" w:cs="Times New Roman"/>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蜡烛、</w:t>
            </w:r>
            <w:r>
              <w:rPr>
                <w:rFonts w:hint="default" w:ascii="Times New Roman" w:hAnsi="Times New Roman" w:eastAsia="宋体" w:cs="Times New Roman"/>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剪刀、</w:t>
            </w:r>
            <w:r>
              <w:rPr>
                <w:rFonts w:hint="default" w:ascii="Times New Roman" w:hAnsi="Times New Roman" w:eastAsia="宋体" w:cs="Times New Roman"/>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焊锡、炭棒、导线、电灯泡、木板、电池、电珠、砂纸等</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813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份</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EBA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6C3CA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416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E02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一字螺丝刀</w:t>
            </w:r>
          </w:p>
        </w:tc>
        <w:tc>
          <w:tcPr>
            <w:tcW w:w="0" w:type="auto"/>
            <w:tcBorders>
              <w:top w:val="nil"/>
              <w:left w:val="nil"/>
              <w:bottom w:val="nil"/>
              <w:right w:val="nil"/>
            </w:tcBorders>
            <w:shd w:val="clear" w:color="auto" w:fill="auto"/>
            <w:noWrap/>
            <w:vAlign w:val="center"/>
          </w:tcPr>
          <w:p w14:paraId="7A8A4CA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一字槽,总长度150mm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0B8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D25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8A6F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495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DE4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十字螺丝刀</w:t>
            </w:r>
          </w:p>
        </w:tc>
        <w:tc>
          <w:tcPr>
            <w:tcW w:w="0" w:type="auto"/>
            <w:tcBorders>
              <w:top w:val="nil"/>
              <w:left w:val="nil"/>
              <w:bottom w:val="nil"/>
              <w:right w:val="nil"/>
            </w:tcBorders>
            <w:shd w:val="clear" w:color="auto" w:fill="auto"/>
            <w:noWrap/>
            <w:vAlign w:val="center"/>
          </w:tcPr>
          <w:p w14:paraId="16E426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十字槽,总长度150mm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844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A93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CBD2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AA8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B0C5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钢丝钳</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BE2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材质：45#高碳钢锻造，规格：40mm×81mm。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03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ACA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B1A3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1C9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5F4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手锤</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F63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羊角锤锤头高碳钢锻造，表面经镜面抛光处理，锤头边缘钢材特殊淬火</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B51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9AE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9DF2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896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F65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锉刀</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F12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8寸三角钢锉，木工锯子开口专用挫刀，长度为200mm。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484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4D2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EA1A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748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81032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28B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剪刀</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5A4C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表面处理为电镀剪。剪刀刃口硬度不低于HRC52，两片刃口对应点硬度差不大于HRC4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E0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A7E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2F3C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26A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81051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556A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玻璃瓶盖开启器</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60E7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金属制品</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705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0C3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7685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52E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81052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7098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玻璃管切割器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E498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金属制品，电镀</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BD2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E7D7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0DF0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AC2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54C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工作服</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7E9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白大褂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C69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248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A9CA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94F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A09C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护目镜</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4D2C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侧面完全遮挡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40E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9A0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45</w:t>
            </w:r>
          </w:p>
        </w:tc>
      </w:tr>
      <w:tr w14:paraId="475A6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A5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2FF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防护面罩</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038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产品为帽式面罩，用高强度、无毒、无刺激性气味的材料制成。视窗尺寸：50mm×100mm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BBA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58C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172E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6BE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370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防毒口罩</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2EE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1．直接式防毒口罩。2．由主体、滤毒盒、滤毒材料、呼气阀和系带组成。3．口罩能完全罩住口、鼻不漏气。4． 系带可调节松紧。5．防毒时间不小于1小时。</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CDA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5E6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F31B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39F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C29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耐酸手套</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C7B6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表面应具有较好的耐酸、耐碱及其他化学试剂腐蚀的性能。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BF5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E8D0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8ACC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3A50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82010</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8D95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简易急救箱</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A5D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规格：长宽高：约35cm ×19cm× 21cm双层。</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1B3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01C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EDDC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E7B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82011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74BB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实验防护屏</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5611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化学实验室用具。由中档板和左右两侧档板和底脚组成，由有机玻璃制成，左右两侧档板用挂钩与中档板联接。</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9F29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9D6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2CAB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FA6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82012</w:t>
            </w:r>
          </w:p>
        </w:tc>
        <w:tc>
          <w:tcPr>
            <w:tcW w:w="241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19C35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易燃品储存柜</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909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Style w:val="45"/>
                <w:color w:val="auto"/>
                <w:lang w:val="en-US" w:eastAsia="zh-CN" w:bidi="ar"/>
              </w:rPr>
              <w:t>*</w:t>
            </w:r>
            <w:r>
              <w:rPr>
                <w:rFonts w:hint="eastAsia" w:ascii="宋体" w:hAnsi="宋体" w:eastAsia="宋体" w:cs="宋体"/>
                <w:i w:val="0"/>
                <w:iCs w:val="0"/>
                <w:color w:val="auto"/>
                <w:kern w:val="0"/>
                <w:sz w:val="24"/>
                <w:szCs w:val="24"/>
                <w:u w:val="none"/>
                <w:lang w:val="en-US" w:eastAsia="zh-CN" w:bidi="ar"/>
              </w:rPr>
              <w:t xml:space="preserve">防火、防盗、防腐蚀 </w:t>
            </w:r>
            <w:r>
              <w:rPr>
                <w:rStyle w:val="45"/>
                <w:color w:val="auto"/>
                <w:lang w:val="en-US" w:eastAsia="zh-CN" w:bidi="ar"/>
              </w:rPr>
              <w:t>需符合B24820-2009《实验室家具通用技术条件》提供检测报告</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5E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417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9AFA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EC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82013</w:t>
            </w:r>
          </w:p>
        </w:tc>
        <w:tc>
          <w:tcPr>
            <w:tcW w:w="2415" w:type="dxa"/>
            <w:tcBorders>
              <w:top w:val="single" w:color="000000" w:sz="4" w:space="0"/>
              <w:left w:val="single" w:color="000000" w:sz="4" w:space="0"/>
              <w:bottom w:val="single" w:color="000000" w:sz="4" w:space="0"/>
              <w:right w:val="single" w:color="000000" w:sz="4" w:space="0"/>
            </w:tcBorders>
            <w:shd w:val="clear" w:color="auto" w:fill="FFFF00"/>
            <w:vAlign w:val="center"/>
          </w:tcPr>
          <w:p w14:paraId="78CD507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毒害品储存柜</w:t>
            </w:r>
          </w:p>
        </w:tc>
        <w:tc>
          <w:tcPr>
            <w:tcW w:w="4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746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Style w:val="45"/>
                <w:color w:val="auto"/>
                <w:lang w:val="en-US" w:eastAsia="zh-CN" w:bidi="ar"/>
              </w:rPr>
              <w:t>*</w:t>
            </w:r>
            <w:r>
              <w:rPr>
                <w:rStyle w:val="46"/>
                <w:color w:val="auto"/>
                <w:lang w:val="en-US" w:eastAsia="zh-CN" w:bidi="ar"/>
              </w:rPr>
              <w:t xml:space="preserve">防火、防盗、防腐蚀 </w:t>
            </w:r>
            <w:r>
              <w:rPr>
                <w:rStyle w:val="45"/>
                <w:color w:val="auto"/>
                <w:lang w:val="en-US" w:eastAsia="zh-CN" w:bidi="ar"/>
              </w:rPr>
              <w:t>需符合B24820-2009《实验室家具通用技术条件》提供检测报告</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A81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B51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bl>
    <w:p w14:paraId="654F4877">
      <w:pPr>
        <w:numPr>
          <w:ilvl w:val="0"/>
          <w:numId w:val="0"/>
        </w:num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p>
    <w:tbl>
      <w:tblPr>
        <w:tblStyle w:val="24"/>
        <w:tblW w:w="7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6"/>
        <w:gridCol w:w="2142"/>
        <w:gridCol w:w="3060"/>
        <w:gridCol w:w="853"/>
        <w:gridCol w:w="854"/>
      </w:tblGrid>
      <w:tr w14:paraId="4390E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725" w:type="dxa"/>
            <w:gridSpan w:val="5"/>
            <w:tcBorders>
              <w:top w:val="nil"/>
              <w:left w:val="nil"/>
              <w:bottom w:val="nil"/>
              <w:right w:val="nil"/>
            </w:tcBorders>
            <w:shd w:val="clear" w:color="auto" w:fill="auto"/>
            <w:vAlign w:val="center"/>
          </w:tcPr>
          <w:p w14:paraId="17C4EFDC">
            <w:pPr>
              <w:keepNext w:val="0"/>
              <w:keepLines w:val="0"/>
              <w:widowControl/>
              <w:suppressLineNumbers w:val="0"/>
              <w:jc w:val="center"/>
              <w:textAlignment w:val="center"/>
              <w:rPr>
                <w:rFonts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初中生物教学仪器仪器设备需求、预算明细表</w:t>
            </w:r>
          </w:p>
        </w:tc>
      </w:tr>
      <w:tr w14:paraId="7013E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10" w:type="dxa"/>
            <w:tcBorders>
              <w:top w:val="nil"/>
              <w:left w:val="single" w:color="000000" w:sz="4" w:space="0"/>
              <w:bottom w:val="single" w:color="000000" w:sz="4" w:space="0"/>
              <w:right w:val="single" w:color="000000" w:sz="4" w:space="0"/>
            </w:tcBorders>
            <w:shd w:val="clear" w:color="auto" w:fill="auto"/>
            <w:vAlign w:val="center"/>
          </w:tcPr>
          <w:p w14:paraId="019ADB92">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编号</w:t>
            </w:r>
          </w:p>
        </w:tc>
        <w:tc>
          <w:tcPr>
            <w:tcW w:w="2145" w:type="dxa"/>
            <w:tcBorders>
              <w:top w:val="nil"/>
              <w:left w:val="single" w:color="000000" w:sz="4" w:space="0"/>
              <w:bottom w:val="single" w:color="000000" w:sz="4" w:space="0"/>
              <w:right w:val="single" w:color="000000" w:sz="4" w:space="0"/>
            </w:tcBorders>
            <w:shd w:val="clear" w:color="auto" w:fill="auto"/>
            <w:vAlign w:val="center"/>
          </w:tcPr>
          <w:p w14:paraId="4B790CB0">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名</w:t>
            </w:r>
            <w:r>
              <w:rPr>
                <w:rFonts w:hint="default" w:ascii="Times New Roman" w:hAnsi="Times New Roman" w:eastAsia="黑体" w:cs="Times New Roman"/>
                <w:i w:val="0"/>
                <w:iCs w:val="0"/>
                <w:color w:val="auto"/>
                <w:kern w:val="0"/>
                <w:sz w:val="24"/>
                <w:szCs w:val="24"/>
                <w:u w:val="none"/>
                <w:lang w:val="en-US" w:eastAsia="zh-CN" w:bidi="ar"/>
              </w:rPr>
              <w:t xml:space="preserve">        </w:t>
            </w:r>
            <w:r>
              <w:rPr>
                <w:rFonts w:hint="eastAsia" w:ascii="黑体" w:hAnsi="宋体" w:eastAsia="黑体" w:cs="黑体"/>
                <w:i w:val="0"/>
                <w:iCs w:val="0"/>
                <w:color w:val="auto"/>
                <w:kern w:val="0"/>
                <w:sz w:val="24"/>
                <w:szCs w:val="24"/>
                <w:u w:val="none"/>
                <w:lang w:val="en-US" w:eastAsia="zh-CN" w:bidi="ar"/>
              </w:rPr>
              <w:t>称</w:t>
            </w:r>
          </w:p>
        </w:tc>
        <w:tc>
          <w:tcPr>
            <w:tcW w:w="3060" w:type="dxa"/>
            <w:tcBorders>
              <w:top w:val="nil"/>
              <w:left w:val="single" w:color="000000" w:sz="4" w:space="0"/>
              <w:bottom w:val="single" w:color="000000" w:sz="4" w:space="0"/>
              <w:right w:val="single" w:color="000000" w:sz="4" w:space="0"/>
            </w:tcBorders>
            <w:shd w:val="clear" w:color="auto" w:fill="auto"/>
            <w:vAlign w:val="center"/>
          </w:tcPr>
          <w:p w14:paraId="49E467D0">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规格 型号 功能</w:t>
            </w:r>
          </w:p>
        </w:tc>
        <w:tc>
          <w:tcPr>
            <w:tcW w:w="855" w:type="dxa"/>
            <w:tcBorders>
              <w:top w:val="nil"/>
              <w:left w:val="single" w:color="000000" w:sz="4" w:space="0"/>
              <w:bottom w:val="single" w:color="000000" w:sz="4" w:space="0"/>
              <w:right w:val="single" w:color="000000" w:sz="4" w:space="0"/>
            </w:tcBorders>
            <w:shd w:val="clear" w:color="auto" w:fill="auto"/>
            <w:vAlign w:val="center"/>
          </w:tcPr>
          <w:p w14:paraId="5C497140">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单位</w:t>
            </w:r>
          </w:p>
        </w:tc>
        <w:tc>
          <w:tcPr>
            <w:tcW w:w="855" w:type="dxa"/>
            <w:tcBorders>
              <w:top w:val="nil"/>
              <w:left w:val="single" w:color="000000" w:sz="4" w:space="0"/>
              <w:bottom w:val="single" w:color="000000" w:sz="4" w:space="0"/>
              <w:right w:val="single" w:color="000000" w:sz="4" w:space="0"/>
            </w:tcBorders>
            <w:shd w:val="clear" w:color="auto" w:fill="auto"/>
            <w:vAlign w:val="center"/>
          </w:tcPr>
          <w:p w14:paraId="2A895C68">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数量</w:t>
            </w:r>
          </w:p>
        </w:tc>
      </w:tr>
      <w:tr w14:paraId="09EC9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79B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7777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打孔器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623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四件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1A3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CA4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31EC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51E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2020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F65B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仪器车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325E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喷塑</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59F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52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C604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1CE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2040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050C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生物显微镜</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CA9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959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2FE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F984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7BE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2041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2BB5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生物显微镜</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D771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D3B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EF8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4431A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140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2042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6AB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数码显微镜</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DC6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≥80万像素，                               USB接口，相关图像处理软件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641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477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92EC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5C2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2043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FAF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生物显微演示装置</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1F0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彩色，分辨率450TV线以上，放大倍数40倍～1500倍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662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41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B6D1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5E8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2044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633C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双目立体显微镜</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D40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D87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CB1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r>
      <w:tr w14:paraId="60594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B5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2051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F07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放大镜</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A11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手持式，有效通光孔径不小于</w:t>
            </w:r>
            <w:r>
              <w:rPr>
                <w:rFonts w:hint="default" w:ascii="Times New Roman" w:hAnsi="Times New Roman" w:eastAsia="宋体" w:cs="Times New Roman"/>
                <w:i w:val="0"/>
                <w:iCs w:val="0"/>
                <w:color w:val="auto"/>
                <w:kern w:val="0"/>
                <w:sz w:val="24"/>
                <w:szCs w:val="24"/>
                <w:u w:val="none"/>
                <w:lang w:val="en-US" w:eastAsia="zh-CN" w:bidi="ar"/>
              </w:rPr>
              <w:t>3</w:t>
            </w:r>
            <w:r>
              <w:rPr>
                <w:rFonts w:hint="eastAsia" w:ascii="宋体" w:hAnsi="宋体" w:eastAsia="宋体" w:cs="宋体"/>
                <w:i w:val="0"/>
                <w:iCs w:val="0"/>
                <w:color w:val="auto"/>
                <w:kern w:val="0"/>
                <w:sz w:val="24"/>
                <w:szCs w:val="24"/>
                <w:u w:val="none"/>
                <w:lang w:val="en-US" w:eastAsia="zh-CN" w:bidi="ar"/>
              </w:rPr>
              <w:t>0mm，5倍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4B6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26F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1B2E1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629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2060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874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望远镜</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8E3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双筒，7×35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0FC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26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3A6CC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C34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2070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6742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电动离心机</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3A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0r/min～3000r/min，10mL×6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1C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F8B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FD63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321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2071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45B1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离心沉淀器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04B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手摇式</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9B3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96A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9ECB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2F2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2073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FD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磁力加热搅拌器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918C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容量：20mL～3000mL，转速：0 r/min～1200 r/min，无级调速</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56B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EAD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3DBA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4F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2075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7A6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酒精喷灯</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7753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坐式</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7FB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4B5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4422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872E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2076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B8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电炉</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D02E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密封式</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771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292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77D8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85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2080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03BE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高压灭菌锅</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24C61">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手提式，</w:t>
            </w:r>
            <w:r>
              <w:rPr>
                <w:rFonts w:hint="default" w:ascii="Times New Roman" w:hAnsi="Times New Roman" w:eastAsia="宋体" w:cs="Times New Roman"/>
                <w:i w:val="0"/>
                <w:iCs w:val="0"/>
                <w:color w:val="auto"/>
                <w:kern w:val="0"/>
                <w:sz w:val="24"/>
                <w:szCs w:val="24"/>
                <w:u w:val="none"/>
                <w:lang w:val="en-US" w:eastAsia="zh-CN" w:bidi="ar"/>
              </w:rPr>
              <w:t>18L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5BA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099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D9DA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E93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2081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0101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蒸馏水器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61E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2L-3L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0F2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2D8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9B9F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AD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2082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653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恒温水浴锅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9D74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单孔</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E39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925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812E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06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2084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85E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烘干箱</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4C4A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7A2F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82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B5DE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011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2087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E01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恒温培养箱</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0B1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室温～60℃，</w:t>
            </w:r>
            <w:r>
              <w:rPr>
                <w:rFonts w:hint="default" w:ascii="Times New Roman" w:hAnsi="Times New Roman" w:eastAsia="宋体" w:cs="Times New Roman"/>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083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AA5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ECE7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A52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2088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EFB1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光照培养箱</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2AF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实用多层，安装方便，插孔暗式布线，独立开关，光照强度3000Lux-5000Lux-7000Lux三档可调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4DD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116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40D0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ED1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2089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E213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超净工作台</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C51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外形尺寸≥600mm*500mm*800mm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E50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E9A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1633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F2E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2090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F248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移液器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23E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0.5mL～5mL，快速可调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6FA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B7C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63553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744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1D45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听诊器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DF67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医用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427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258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3B1E5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035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2119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AA5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整理箱</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10B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矮型，储存及分发药品用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E5B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531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06DA6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CD9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2120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7086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保温桶</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91E8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1L～2L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10D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A1B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8676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E94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2126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489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水族箱</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826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BD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749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25D8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7BB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FE51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方座支架</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0CB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底座、立杆及附件组成。方座支架的底座尺寸不小于210×135mm，立杆直径不小于φ11mm；立杆长610mm，直径11.3mm，表面镀铬，立杆与方座组装后应垂直。附件由大、小铁圈各一只，平行夹一只，十字夹二只，试管夹一只构成。</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DC7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AB2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6C5D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365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12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三脚架</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5892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由铁环和3只脚组成。铁环内径：74mm 外径：90mm </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20A2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80F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74AAA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D7E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4479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试管架</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8C0B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6孔</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BC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51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7B11C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22B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A948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软尺</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F701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5F5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DF5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190BC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BA8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10015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E86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测微尺</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5CC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显微镜用，台式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9BC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7A5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69EED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FA1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A75C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托盘天平</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FAF2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200g，0.2g</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4D3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D0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475E7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266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11010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E1BA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电子天平</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74E4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100g，0.001g</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1B2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E72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56C2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779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0C0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电子停表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D53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0.1s</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FA0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4D9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3C81A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7BA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DCB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温度计</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AC7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红液，0℃～100℃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335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F28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6F6D7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83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F5F7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温度计</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E526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水银，0℃～200℃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E86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774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247DE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93D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13023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769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干湿球温度计</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4BE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-36℃～+46℃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309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付</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876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16847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78E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16015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BC2E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血压计</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170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汞柱式</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3A4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11B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8AC7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139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16016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E172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肺活量计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6F74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不锈钢</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7E5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342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69FF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7D9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16041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4B3E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计数器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714A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手持式</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3F0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519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622A1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F8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27001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DC87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解剖器7件</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1A54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不锈钢材料，7件(大、小剪刀,大、小镊子，解剖刀，解剖针，弯头镊)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D38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B49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AEA4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2B2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27002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E93C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解剖器4件</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EE8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不锈钢材料，4件(大剪刀，解剖刀，解剖针，弯头镊)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A9D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7D2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70C78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49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27003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2E6F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解剖盘</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41C4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蜡盘，140mm×250mm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914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620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r>
      <w:tr w14:paraId="53440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E6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27004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57D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骨剪</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5C0C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130mm，不锈钢</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FF0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AA7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2B9B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64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27005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3BB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接种箱</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761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带紫外灯</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C8D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8AA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7439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438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27006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9C32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接种环</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4B4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金属手柄，合金金属丝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5BC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595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3E1C5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B46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27008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2E8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植物光合作用、呼吸作用、蒸腾作用演示器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5CCB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由透明容器、集气盖、试管、试管架、漏斗、盖板和双色布袋等部件组成。透明容器为透明塑料注塑成型，容积为15cm×15cm×25cm。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EE7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43D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762A6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8E0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27009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19E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徒手切片器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A48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规格及主要指标：分度值0.02mm，升降范围0～10mm，精度0.01～0.10mm，外形尺寸应不小于73～80mm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84D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D2D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5BB7F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FDA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27010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42A2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孵化器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23E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(4～6)个蛋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92B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CDB2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4530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1F3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27011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1046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研磨过滤器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1138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容量20mL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5B8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133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24A20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F88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27012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711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光照培养架</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D2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实用多层，安装方便，插孔暗式布线，独立开关，光照强度3000Lux-5000Lux-7000Lux三档可调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439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0B31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D0C6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53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33001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B0B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植物细胞模型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F3E6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为洋葱表皮细胞显微结构的立体模型，长约33cm，宽为18～20cm，厚约5cm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360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D91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522C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2DF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33002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31A7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根纵剖模型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E94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为根尖纵、横剖面模型，放于支架上，可水平移动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64A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E6C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6939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9137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33003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983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导管、筛管结构模型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0D12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为显微结构的立体放大模型。包括环纹导管、螺纹导管、网纹导管、孔纹导管及筛管。各种导管及筛管的外直径依次不小于40mm、40mm、50mm、60mm、40mm。长度不小于250mm，两端开口</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117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291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F176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EF6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33004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E6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单子叶植物茎模型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D5C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是单子叶植物茎纵、横切面的模型，为横切面的1/10（去掉中央部分），高不小于12cm，长约40cm，跨径约40cm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592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C46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36B1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8EB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33005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B0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双子叶草本植物茎模型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B5B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是双子叶草本植物茎的纵、横切面的模型，为横切面约为茎的2/3，高15~18cm，直径32~35cm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F6B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80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46B6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19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33006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0D08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叶构造模型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29B9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为双子叶植物叶构造模型。长约45cm，宽约15cm，叶主脉处高18~20cm。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5D2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E513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EC57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983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33007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CE28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桃花模型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26D5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为放大的桃花模型，直径约35cm，示盛开形态。</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9AB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F77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F314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B8F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33008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21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小麦花模型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F39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为放大的小麦花模型，高约30cm，附以小穗为单位（至少8个）的复穗状花序模型，放于支架上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663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26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4B4B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009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33101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5381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蝗虫解剖模型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1893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约为60CM长的蝗虫解剖模型，固定上支架上，各部的形态结构、位置、比例应正确</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84D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F13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743D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13B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33102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1233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蛙胚胎发育模型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539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比例正确，着色自然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F3F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C1E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3C39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15D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33103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AB3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草履虫模型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0F48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为草履虫纵剖面模型。长约370mm，中宽约80mm，用支架固定于底版上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130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CDC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2A44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7A1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33104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F2AD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蚯蚓解剖模型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3A2A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为环毛蚯蚓前34节的解剖放大模型，硬塑料或复合材料制成。外形尺寸长不小于600mm、剖面宽不小于230mm、中部断面直径不小于100mm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F4F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7FBA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D407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831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33105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F856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血吸虫模型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91FC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雌雄合抱，可拆装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586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6BD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468D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E22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223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头、颈、躯干模型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DC3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850mm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BB6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890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59B0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275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5D4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人体骨骼模型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04C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850mm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B33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979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D188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1E5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33205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5EF2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眼球解剖模型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6C2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6倍自然大</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75A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3C6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25149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BB4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80BD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眼球仪</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19D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晶状体曲率可变</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B299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31881">
            <w:pPr>
              <w:keepNext w:val="0"/>
              <w:keepLines w:val="0"/>
              <w:widowControl/>
              <w:suppressLineNumbers w:val="0"/>
              <w:jc w:val="center"/>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1</w:t>
            </w:r>
          </w:p>
        </w:tc>
      </w:tr>
      <w:tr w14:paraId="6B527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809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33207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DE7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心脏解剖模型3倍自然大</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B285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3倍自然大</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52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E1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AA7D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FEC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83F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心脏解剖模型自然大</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A0CC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自然大</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568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4EA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2398E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2DB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33209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3E58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喉解剖模型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1E9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长10cm，高25cm，可拆卸</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8FF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5EA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EB3E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C58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40A7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肺泡模型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8128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高约40cm，固定于底座上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B40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FCF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7735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1A5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33211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B637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脑解剖模型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2129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自然大</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F9A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28B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6057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BB8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33212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FBEA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耳解剖模型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F6B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6倍自然大</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650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46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32B8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EDA7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33213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F9CA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男性泌尿生殖系统模型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8E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自然大</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BB6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7A7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C470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00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33214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78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女性泌尿生殖系统模型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D25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自然大</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0F3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75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03CD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F46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33215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9779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皮肤结构模型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FB3A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用硬塑料或复合材料制成，外形尺寸不小于180mm×100mm×330mm，置于硬质底座上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DEF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306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4158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80A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33216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FD1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肝、十二指肠、胰脏模型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BB0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自然大</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E4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90F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60F9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8FB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33217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3C23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肾单位、肾小体模型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BB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满足生物教学需求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FAD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F62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0D32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B6C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33218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88F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心搏与血液循环模型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D6D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示心动周期及大小循环，心壁可收缩及瓣膜可启闭</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A4C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3E9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3777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F19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33219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B784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人体肌肉模型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5136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850mm全身，示浅层肌及部分深层肌</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27D2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6B3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2C48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130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33220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E6F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肘关节活动模型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F86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附肩胛骨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188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8EF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71DC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835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33221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2D6F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牙列及磨牙解剖模型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08F1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1、由成人恒牙部分牙列和第二磨牙解剖模型组成，分别置于底座上，可水平转动或取下，模型PVC制作。</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54D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DDB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D42B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1F51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33222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C78E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胃解剖模型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97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自然大</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1A7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80B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2919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221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33223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AD04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尿的形成动态模型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13D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电动式</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A51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0BA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B564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68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33224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3E40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人体呼吸运动模型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EC0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电动式</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553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313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5A9C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BFF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33225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49C0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膈肌运动模拟器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80CCF">
            <w:pPr>
              <w:jc w:val="left"/>
              <w:rPr>
                <w:rFonts w:hint="eastAsia" w:ascii="宋体" w:hAnsi="宋体" w:eastAsia="宋体" w:cs="宋体"/>
                <w:i w:val="0"/>
                <w:iCs w:val="0"/>
                <w:color w:val="auto"/>
                <w:sz w:val="24"/>
                <w:szCs w:val="24"/>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5B6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79A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40E5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373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33226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9C57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护理人模型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2C3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1700mm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514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B20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81A4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368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33301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A76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始祖鸟化石及复原模型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7A1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始祖鸟化石模型根据柏林博物馆保存的始祖鸟化石的复制品而制作。外形尺寸不小于390mm×490mm。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0FB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3A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3EA0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15A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5ED8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鱼解剖浸制标本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0A8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外形尺寸不小于180mm×80mm。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0D6F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E24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3FF5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F49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2F3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蛙解剖浸制标本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CAE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外形尺寸不小于180mm×81mm。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7CC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7ED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1378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EA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1D84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蜥蜴解剖浸制标本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AD94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外形尺寸不小于180mm×82mm。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C3F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AD9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A683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A41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B691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鸽解剖浸制标本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DC83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外形尺寸不小于180mm×83mm。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7C3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7BE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7E2E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017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43005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3CC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兔解剖浸制标本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450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外形尺寸不小于180mm×84mm。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7CE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21A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1323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175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5C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蛙发育顺序标本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AF68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外形尺寸不小于180mm×85mm。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2E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C4C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B0F6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196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CE99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蛔虫标本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E847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雌、雄各一条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B9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6F9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80EE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F8B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43009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3A94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花序类型保色浸制标本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FF0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不少于七种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789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C2D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8678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F25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54BA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花冠类型保色浸制标本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0989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十字花科，豆科，菊科等七种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AE3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CF1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9FD2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78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43011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10C2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褐藻类植物保色浸制标本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3537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海带等四种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461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049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B34D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EEA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43012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8D8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红藻类植物保色浸制标本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E5EF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紫菜等四种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9E7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DEE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40D7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04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43013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9CB7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海葵标本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C11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41D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587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D6FC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FAE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43014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BC0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海蛰标本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51A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B85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2F0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E65F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ED1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43015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6438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寄居蟹标本 </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826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73E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FE6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450C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CC5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43016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76C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寄居蟹与其他生物共生标本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EF73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7A2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4C2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E057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3ED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43017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0666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寄生绦虫囊尾蚴猪肉浸制标本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F4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DBC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59CF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95AC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CCF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43021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AB02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珍贵植物保色浸制标本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2A7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0F5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465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D0AE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477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43022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99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葫芦藓生活史标本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A366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4E6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0EA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C455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1F5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43023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C76A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蕨生活史标本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D5A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2BE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3CF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5633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31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1C3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蝗虫生活史标本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DE9E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AD7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EEB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8734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3AF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3F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蜜蜂生活史标本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1B25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5C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CF6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5931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DB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3EB1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竹节虫拟态标本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CD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A90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07D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48A4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5AC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C67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家蚕生活史标本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AFB4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199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4CB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04D3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81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43105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FE8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菜粉蝶生活史标本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ADF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12cm*7cm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93D0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7EE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9F94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69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D37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兔骨骼标本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97D8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亚克力包装，外包装尺寸≥21cm*10cm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134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55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6FAE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0EB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43107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C70F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鱼骨骼标本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2317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亚克力包装，外包装尺寸≥21cm*11cm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D01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4A0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8F6B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3E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8E1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蛙骨骼标本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EE36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亚克力包装，外包装尺寸≥21cm*12cm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35F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B309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5A5E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C52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43109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E869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鸽骨骼标本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026C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亚克力包装，外包装尺寸≥21cm*13cm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679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4AC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AC3D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B3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974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验证基因分离规律玉米标本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8B6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玉米穗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573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A28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164F0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DDC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43113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5CF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褐藻类植物原色覆膜标本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4FE0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海带等四种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7E5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FD8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F7B3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317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43114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E223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红藻类植物原色覆膜标本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DF76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紫菜等四种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AC3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CE6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2FD4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459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43115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48E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珊瑚标本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612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15cm*8cm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47C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D3F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0B9A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3F6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43116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373B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化石标本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FC3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外包装尺寸≥</w:t>
            </w:r>
            <w:r>
              <w:rPr>
                <w:rFonts w:hint="eastAsia" w:ascii="宋体" w:hAnsi="宋体" w:eastAsia="宋体" w:cs="宋体"/>
                <w:i w:val="0"/>
                <w:iCs w:val="0"/>
                <w:color w:val="auto"/>
                <w:kern w:val="0"/>
                <w:sz w:val="27"/>
                <w:szCs w:val="27"/>
                <w:u w:val="none"/>
                <w:lang w:val="en-US" w:eastAsia="zh-CN" w:bidi="ar"/>
              </w:rPr>
              <w:t>15cm*9cm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431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5A0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892E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240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43118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F3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节肢动物标本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3462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常见六种以上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ED17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4F2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2E17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F0B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43119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D0B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昆虫标本</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1F8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常见六种以上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00B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BE3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FCD5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8DE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A8C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植物根尖纵切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0A6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在80x和200x学生显微镜下观察根尖的结构 能看清根冠、分生区、伸长区、根毛区和原形成层等</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630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021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3555F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78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A00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顶芽纵切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AEE6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在100x和400X生物显微镜下观察顶芽纵断面的结构。能看清生长锥、叶原基、幼叶、腋芽原基和芽轴等。</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AC2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BA9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355EF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7AA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CF8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南瓜茎纵切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63D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57B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69C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06CCE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A11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947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单子叶植物茎横切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E009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在80x和200x学生显微镜下观察单子叶植物茎横断面的结构。能看清表皮、散生维管束、薄壁组织。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B7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870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EA1B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49F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43205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86E3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双子叶植物茎横切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BEF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在500X的显微镜下能清楚的看到其细胞结构。</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C8D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227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16166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35D9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2B74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木本双子叶植物茎横切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78E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在80x和200x学生显微镜下观察木本植物茎横断面的结构。能看清表皮（有脱落现象，有时可见皮孔）、木栓层、厚角组织、皮层、韧皮部、形成层、本质部、髓部、髓射线等。</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3D7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C8F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30C8A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E83C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121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蚕豆叶下表皮装片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0F6E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在80x和200x学生显微镜下观察叶下表皮形态和气孔结构。能看清不规则形的下表皮细胞，及其胞核和分散在下表皮细胞间的气孔。</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DD1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99F6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147BA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6EC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43209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5F8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植物细胞有丝分裂</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FDA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洋葱根尖纵切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B1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048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07614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B61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222E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松叶横切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F493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在80×和200×学生显微镜下，观察松叶横断面</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7DA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7B3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7A07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839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43211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C6F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胞间连丝切片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1D16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9ED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CB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4FB2B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E8A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43212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2DE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地衣切片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5B7A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材料面积不小于4mm×5mm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EB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5F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FF8F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D9E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43213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A997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蕨叶切片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3AE1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材料面积不小于4mm×6mm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13C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E7B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01325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A37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43214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D96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蕨原叶体装片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81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材料面积不小于4mm×7mm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9EC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B9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43FA7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E0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43215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D03B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蕨原叶体幼孢子体装片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8482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材料面积不小于4mm×8mm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1D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F7E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6274C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8D5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43216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9C57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花粉萌发装片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DF20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材料面积不小于4mm×9mm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F98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685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508A2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44E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43217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80C5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百合子房切片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F9A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材料面积不小于4mm×10mm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1E9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4FA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1731A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E3F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43218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CA4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百合花药切片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81FB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材料面积不小于4mm×11mm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74E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6EE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1D099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E2C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43219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71D7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荠菜幼胚切片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F076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材料面积不小于4mm×12mm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B6A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D22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49FD6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9B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43220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29B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荠菜老胚切片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806C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材料面积不小于4mm×13mm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1C9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327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5C38D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4C8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43221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1928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迎春叶横切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9BF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在80×和200×学生显微镜下观察鳞片叶表皮形态和结构。能看清鳞片叶表皮的长方形细胞，并具细胞核</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0CF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47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44E33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F6F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43222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4FF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玉米种子纵切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E26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6A7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DEB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733F1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B18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43223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E92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洋葱鳞片叶表皮装片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212D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在80×和200×学生显微镜下观察鳞片叶表皮形态和结构。能看清鳞片叶表皮的长方形细胞，并具细胞核。</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303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1C0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147A9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8B8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43301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A9E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青霉装片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5CB8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在200x学生显微镜下观察青霉的形态。在400X镜下能看清帚状枝的梗基和小梗及小梗上呈链状的分生孢子。</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BC9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7E5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5B017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8D2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43303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8EA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衣藻装片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8EB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97E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F73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779B9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9DA6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43304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126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细菌三型涂片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264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在500x生物显微镜下观察细菌的三种基本形态。清晰地看出球菌、杆菌、螺旋菌的形态，不要求显示鞭毛。</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5F6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00B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431E8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AD3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43305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D943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酵母菌装片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188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在100x和400x生物显微镜下观察酵母菌的形态。 酵母菌为单细胞卵圆形。</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209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662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1F62E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C5A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43306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5D9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水绵接合生殖装片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32C1F">
            <w:pPr>
              <w:jc w:val="left"/>
              <w:rPr>
                <w:rFonts w:hint="eastAsia" w:ascii="宋体" w:hAnsi="宋体" w:eastAsia="宋体" w:cs="宋体"/>
                <w:i w:val="0"/>
                <w:iCs w:val="0"/>
                <w:color w:val="auto"/>
                <w:sz w:val="24"/>
                <w:szCs w:val="24"/>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7FF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BA9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58CC7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637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43307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1EC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水绵装片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7E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在80×和200×学生显微镜下观察水绵营养时期的结构。2． 能看清丝状体内圆柱形的营养细胞，位于中央的胞核，呈星芒状的原生质、平立的细胞横壁，作螺旋盘绕的叶绿体呈带状，以及纵列于叶绿体上的蛋白核等</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ABE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6D4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1FC19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A45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43308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66D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团藻装片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67F17">
            <w:pPr>
              <w:jc w:val="left"/>
              <w:rPr>
                <w:rFonts w:hint="eastAsia" w:ascii="宋体" w:hAnsi="宋体" w:eastAsia="宋体" w:cs="宋体"/>
                <w:i w:val="0"/>
                <w:iCs w:val="0"/>
                <w:color w:val="auto"/>
                <w:sz w:val="24"/>
                <w:szCs w:val="24"/>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A3D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FEC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6930A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739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43309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BFD0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曲霉装片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F14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在100×和400×生物显微镜下，观察曲霉的形态。能看清营养菌丝，及其上的分生孢子梗、顶囊和顶端的分生孢子。</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A6A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9520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3DBAF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5704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43310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D72D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伞蕈切片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3AF2F">
            <w:pPr>
              <w:jc w:val="left"/>
              <w:rPr>
                <w:rFonts w:hint="eastAsia" w:ascii="宋体" w:hAnsi="宋体" w:eastAsia="宋体" w:cs="宋体"/>
                <w:i w:val="0"/>
                <w:iCs w:val="0"/>
                <w:color w:val="auto"/>
                <w:sz w:val="24"/>
                <w:szCs w:val="24"/>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E95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5C1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51A12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C66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43311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FC8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黑根霉装片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C0A7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能看清黑根霉的营养菌丝、匍匐菌丝、假根、孢子梗、孢子囊的形态结构。</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8BFF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683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765BC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326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BC1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水螅纵切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726F">
            <w:pPr>
              <w:jc w:val="left"/>
              <w:rPr>
                <w:rFonts w:hint="eastAsia" w:ascii="宋体" w:hAnsi="宋体" w:eastAsia="宋体" w:cs="宋体"/>
                <w:i w:val="0"/>
                <w:iCs w:val="0"/>
                <w:color w:val="auto"/>
                <w:sz w:val="24"/>
                <w:szCs w:val="24"/>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96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E2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5C1E6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579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BAF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蚯蚓横切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DC7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在80x和200x学生显微镜下观察蚯蚓横断面的结构。能看清表皮、肌层（环肌、纵肌）、体腔、背血管、腹血管、腹神经索、神经下血管、肠、盲道、不完整的肾管、肠及背血管周围的黄色细胞等。</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6A3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F41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04A8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EAE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CCAA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动物细胞有丝分裂(马蛔虫受精卵切片)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3E49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在100x和400x生物显微镜下观察动物细胞有丝分裂的各期形态。能看清细胞分裂过程中的三个时期：前期、中期和后期或中期、后期和末期。</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785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21F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1E945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0D1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1AA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草履虫接合生殖装片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003A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E0F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888F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8FB9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846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43405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9031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草履虫分裂生殖装片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668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材料面积不小于4mm×5mm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548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8C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6FE79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8C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819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囊虫装片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516C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材料面积不小于4mm×6mm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D29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F2F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218D6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0A6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43407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7C3E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血吸虫雌雄合抱装片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1CB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材料面积不小于4mm×7mm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E4E3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2EA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1E197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38F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11B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血吸虫雄虫装片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DC8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材料面积不小于4mm×8mm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D67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9B4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5B73A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F08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43409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5554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血吸虫雌虫装片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B92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材料面积不小于4mm×9mm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2D4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1CD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0E731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04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9B20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家蚊(雌)口器装片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3D5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材料面积不小于4mm×10mm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742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FB8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0BA4D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990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43411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C3DE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水螅带芽整体装片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4BD7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材料面积不小于4mm×11mm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E1C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D473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56F52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4BF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43412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46DB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水螅过精巢横切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A008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材料面积不小于4mm×12mm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279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78B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5E187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32F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43413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06EA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水螅过卵巢横切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B02D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材料面积不小于4mm×13mm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F25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706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7FC66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4C4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294F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单层扁平上皮装片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9BF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在80x和200x学生显微镜下观察单层扁平上皮的结构。 能看清由一些边缘不规则而呈锯齿状的扁平细胞组成的单层上皮，胞核在细胞中央，呈扁圆形。</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C52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A71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2A9A7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429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576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复层扁平上皮装片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501C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在500X的显微镜下能清楚的看到其细胞结构。</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7A5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40E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6CE75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91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8925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人皮过毛囊切片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7F5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在80x和200x学生显微镜下观察皮肤过毛囊的结构。能看清表皮、真皮和皮下组织。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64B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7D4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4822A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F59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7FFA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人皮过汗腺切片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180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在80x和200x学生显微镜下观察皮肤过汗腺的结构。能看清表皮、真皮和皮下组织。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991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335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5D8F8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7E2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43505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8F59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纤维结缔组织切片(腱纵切)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9FA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标本在400x生物显微镜下观察膛纵断面的结构。能看清乎行排列的胶原纤维束和呈不规则四边形的腱细胞，但在标本上由于腱细胞的切面方向不同，也可呈长条形。</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038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72D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15BA8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2E2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ABB7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疏松结缔组织装片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8EAE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在80x和200x学生显微镜下观察疏松结缔组织的结构。能看清纵横交错的胶原纤维和弹力纤维以及大量的成纤维细胞，胞核较大呈卵圆形。</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FB9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AA5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2B7B0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BF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43507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05D8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人血涂片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A78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取材为人的新鲜血液，能看清红血细胞和白血细胞。血细胞变形者不宜使用。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98A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6BC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7626F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2DF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AD7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骨骼肌纵横切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5273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取材于哺乳动物的膈肌，应能看清肌外膜、肌束膜、肌纤维膜、肌纤维及其细胞核和小血管等</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5A9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7F7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450A5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B0D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43509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6F3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平滑肌分离装片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C09B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取材于两栖动物或哺乳动物消化管的基层，应能看清大部分被分离成单个的长梭形平滑肌细胞</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D7C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68C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0CD3E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4CE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55BC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心肌切片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1F5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取材为哺乳动物的心脏。 2.切片厚度在8μm以内，材料面积不小于4mm×4mm。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AEF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EBE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4C4D3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751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43511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2CB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运动神经元装片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9C8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取材为脊髓灰质前角中的运动神经元，能看清运动神经元的细胞体和突起、细胞体内的细胞核、少量的神经纤维和神经胶质的细胞的细胞核，作涂片或分离装片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B97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D22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0EF88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146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43512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FFF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脊髓横切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A01C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在80x和200x学生显微镜下观察脊髓横断面的结构。在完整的脊髓横断面上能看清被膜、灰质和白质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45D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ED8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21C84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7853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43513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0194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运动神经末梢装片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DEB5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5F4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58B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15320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4A0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43514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15CF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胃壁切片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1E1A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A59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B07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A073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B20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43515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D7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肾脏纵切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68B8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A64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DF4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7A2F0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42F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43516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D1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动静脉血管横切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4D3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取材为哺乳动物的腹主动脉和下腔静脉，取材时不应过多保留血管外围的其他组织。材料应能看清动静脉的结构</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965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2127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2A9F3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FB50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43517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CA18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小肠切片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271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取材为哺乳动物的空肠或回肠</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A7FB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26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0C673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804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43518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9108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肺血管注射切片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F69E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2FB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13F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44015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FA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43519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7D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肾血管注射切片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4E7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材料面积不小于4mm×5mm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CB5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D1F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7FB03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EB6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43520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0FB8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精巢切片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B0E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材料面积不小于4mm×6mm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F18A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5A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02C8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CFE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43521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8AC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卵巢切片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2E2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材料面积不小于4mm×7mm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2C5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562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04326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534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43522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F6F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精虫涂片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12F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材料面积不小于4mm×8mm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3B3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6C6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6F583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120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43523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7DFE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口腔上皮细胞装片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7BB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在100×和400×生物显微镜下，观察口腔上皮装片结构。应能认出细胞膜、细胞质、细胞核的结构。</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DBB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E690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41A8A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6DF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43524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5437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蛔虫卵装片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BB4D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BCD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B3D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C728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BB1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43601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322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字母“e”装片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2404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256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B1D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1D2C7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ED4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43603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2E58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正常人染色体装片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EBE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材料面积不小于4mm×4mm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451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934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77970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32F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53001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1175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生物体的结构层次</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DA26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1CF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FB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283B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2797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53002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1AD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生物与环境</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AD8D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754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808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DAC6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F02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53003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B89B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生物圈中的绿色植物</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00BC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490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02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9469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D0B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53004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B56E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生物圈中的人</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EF4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5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50F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EBD3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7F0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53005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4832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动物的运动和行为</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54C0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987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DEE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F2A8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187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53006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3397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生物的生殖、发育和遗传</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67FB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260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35C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9CD8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7C2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53007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4C3A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生物多样性</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A661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283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E2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34AB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AEB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53008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792B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生物技术</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40F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1BA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300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8D7A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615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53009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63F8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健康地生活</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904A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25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BE40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E46F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5E6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53010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B44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青春期教育挂图</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19DB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E6E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711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6837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6068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53011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FE5E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中学生物显微图谱</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F583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9A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本</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3D1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0C53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46D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53302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50CB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生物教学图库</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FD10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彩色印刷。图形逼真，色彩鲜明，线条清晰。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B67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760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DC4A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CB4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53303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262F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生物教学数据库</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EF8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符合教学要求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6547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C8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0F9E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A82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53401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2790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初中生物实验教学指导书</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3B3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对开、铜版纸印刷</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86F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235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9DFE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DC9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53402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1DB7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初中生物实验仪器手册</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C721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对开、铜版纸印刷</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4B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C04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B937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91C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24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量筒10mL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DF22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D74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F93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50D52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85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7B4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量筒100mL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792E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087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51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25883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C4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60004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A752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量筒500mL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7B4A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436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3E9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192BB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E90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0AC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试管φ12mm×70mm</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56D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φ12mm×70mm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8BA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CA0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2E8F4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17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68A9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试管φ15mm×150mm</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14E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φ15mm×150mm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A1A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B3F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t>
            </w:r>
          </w:p>
        </w:tc>
      </w:tr>
      <w:tr w14:paraId="685AB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004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321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烧杯50mL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3AEB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7F4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9B61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3FB35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ECC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B551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烧杯100mL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79B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73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6B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6F6AB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DB5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4274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烧杯250mL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C302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456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853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196F1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713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61024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B39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烧杯500mL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6A31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389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70E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7DC52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D47A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61041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C0A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锥形瓶100mL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B000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836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36C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4ACDB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5A3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61042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C6E2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锥形瓶250mL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C961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EA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FE6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r>
      <w:tr w14:paraId="46A73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EC20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CDE5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酒精灯</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89B6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5EF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3649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04146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F00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30D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干燥器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BD1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6E0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0F6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29A3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5A2C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62031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B35A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漏斗</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D51B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9C5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43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2705D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DE9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CA453">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Y</w:t>
            </w:r>
            <w:r>
              <w:rPr>
                <w:rFonts w:hint="eastAsia" w:ascii="宋体" w:hAnsi="宋体" w:eastAsia="宋体" w:cs="宋体"/>
                <w:i w:val="0"/>
                <w:iCs w:val="0"/>
                <w:color w:val="auto"/>
                <w:kern w:val="0"/>
                <w:sz w:val="24"/>
                <w:szCs w:val="24"/>
                <w:u w:val="none"/>
                <w:lang w:val="en-US" w:eastAsia="zh-CN" w:bidi="ar"/>
              </w:rPr>
              <w:t>形管</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AE52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φ7mm～8mm玻璃、标准化学仪器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7E8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76A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1FDCF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386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2E31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滴管</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5BC8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透明，1毫升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BCD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5E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w:t>
            </w:r>
          </w:p>
        </w:tc>
      </w:tr>
      <w:tr w14:paraId="03B50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C0B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62074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C3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离心管</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D70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AB6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FF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0DB97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74D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62093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FB6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玻璃钟罩</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A077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φ150mm×280mm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7C9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9AC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536DC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2E7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62097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9C8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玻璃弯管</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1E8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φ150mm×280mm玻璃、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852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42F9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7015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5B3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62098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FCD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U形管</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D185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教学用玻璃仪器三通连接管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BFA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A06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2D6CD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8B1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63012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9C92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广口瓶125mL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4B3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125mL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D94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448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t>
            </w:r>
          </w:p>
        </w:tc>
      </w:tr>
      <w:tr w14:paraId="177DB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89C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63014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2F6A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广口瓶500mL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9D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56F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4A5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t>
            </w:r>
          </w:p>
        </w:tc>
      </w:tr>
      <w:tr w14:paraId="1A560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C7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63023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C03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细口瓶250mL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528A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D74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57C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0A8DD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20B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63024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9D62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细口瓶500mL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8C12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B04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F843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04532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613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63041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5444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滴瓶30mL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F868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8FB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D551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75</w:t>
            </w:r>
          </w:p>
        </w:tc>
      </w:tr>
      <w:tr w14:paraId="1B34A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57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63043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3367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滴瓶茶，30mL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0AC0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茶，30mL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74B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F23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75</w:t>
            </w:r>
          </w:p>
        </w:tc>
      </w:tr>
      <w:tr w14:paraId="68718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C92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63044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4C5D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滴瓶茶，60mL</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8268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茶，60mL</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524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F3A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75</w:t>
            </w:r>
          </w:p>
        </w:tc>
      </w:tr>
      <w:tr w14:paraId="0507A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B8DF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D1FC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试管夹</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E7D9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为木质或竹质材料制成。夹长不小于100mm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C2A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532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3858E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BD9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64007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9B9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水止皮管夹</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A3C4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不锈钢60号弹簧钢丝。</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F9F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86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6513F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408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64032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012A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石棉网</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24A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金属网尺寸不小于125mm×125mm，石棉材料涂敷面直径不小于80mm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567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C03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4DE26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F14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64042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7D60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药匙</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0454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为塑料或骨质材料制成。两端分别为大小匙勺，全长不小于150mm。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BD5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75A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41AF7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02F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64051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67E8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玻璃管</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4C11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φ5mm～φ6mm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3DE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EEE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9299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9D2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64053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A5AA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玻璃棒</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D6E1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φ3mm～φ4mm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3F9E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ADA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10DF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8A1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64061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5709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软胶塞</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9357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0-10#,11种规格按中学配备包装。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B48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BC7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F198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220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64062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F7DA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橡胶管</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D323F">
            <w:pPr>
              <w:keepNext w:val="0"/>
              <w:keepLines w:val="0"/>
              <w:widowControl/>
              <w:suppressLineNumbers w:val="0"/>
              <w:jc w:val="left"/>
              <w:textAlignment w:val="center"/>
              <w:rPr>
                <w:rFonts w:hint="default" w:ascii="Times New Roman" w:hAnsi="Times New Roman" w:eastAsia="宋体" w:cs="Times New Roman"/>
                <w:i w:val="0"/>
                <w:iCs w:val="0"/>
                <w:color w:val="auto"/>
                <w:sz w:val="24"/>
                <w:szCs w:val="24"/>
                <w:u w:val="none"/>
              </w:rPr>
            </w:pPr>
            <w:r>
              <w:rPr>
                <w:rFonts w:hint="default" w:ascii="Times New Roman" w:hAnsi="Times New Roman" w:eastAsia="宋体" w:cs="Times New Roman"/>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天然橡胶制造、内径为</w:t>
            </w:r>
            <w:r>
              <w:rPr>
                <w:rFonts w:hint="default" w:ascii="Times New Roman" w:hAnsi="Times New Roman" w:eastAsia="宋体" w:cs="Times New Roman"/>
                <w:i w:val="0"/>
                <w:iCs w:val="0"/>
                <w:color w:val="auto"/>
                <w:kern w:val="0"/>
                <w:sz w:val="24"/>
                <w:szCs w:val="24"/>
                <w:u w:val="none"/>
                <w:lang w:val="en-US" w:eastAsia="zh-CN" w:bidi="ar"/>
              </w:rPr>
              <w:t>7</w:t>
            </w:r>
            <w:r>
              <w:rPr>
                <w:rFonts w:hint="eastAsia" w:ascii="宋体" w:hAnsi="宋体" w:eastAsia="宋体" w:cs="宋体"/>
                <w:i w:val="0"/>
                <w:iCs w:val="0"/>
                <w:color w:val="auto"/>
                <w:kern w:val="0"/>
                <w:sz w:val="24"/>
                <w:szCs w:val="24"/>
                <w:u w:val="none"/>
                <w:lang w:val="en-US" w:eastAsia="zh-CN" w:bidi="ar"/>
              </w:rPr>
              <w:t>～</w:t>
            </w:r>
            <w:r>
              <w:rPr>
                <w:rFonts w:hint="default" w:ascii="Times New Roman" w:hAnsi="Times New Roman" w:eastAsia="宋体" w:cs="Times New Roman"/>
                <w:i w:val="0"/>
                <w:iCs w:val="0"/>
                <w:color w:val="auto"/>
                <w:kern w:val="0"/>
                <w:sz w:val="24"/>
                <w:szCs w:val="24"/>
                <w:u w:val="none"/>
                <w:lang w:val="en-US" w:eastAsia="zh-CN" w:bidi="ar"/>
              </w:rPr>
              <w:t>8mm</w:t>
            </w:r>
            <w:r>
              <w:rPr>
                <w:rFonts w:hint="eastAsia" w:ascii="宋体" w:hAnsi="宋体" w:eastAsia="宋体" w:cs="宋体"/>
                <w:i w:val="0"/>
                <w:iCs w:val="0"/>
                <w:color w:val="auto"/>
                <w:kern w:val="0"/>
                <w:sz w:val="24"/>
                <w:szCs w:val="24"/>
                <w:u w:val="none"/>
                <w:lang w:val="en-US" w:eastAsia="zh-CN" w:bidi="ar"/>
              </w:rPr>
              <w:t>，壁厚</w:t>
            </w:r>
            <w:r>
              <w:rPr>
                <w:rFonts w:hint="default" w:ascii="Times New Roman" w:hAnsi="Times New Roman" w:eastAsia="宋体" w:cs="Times New Roman"/>
                <w:i w:val="0"/>
                <w:iCs w:val="0"/>
                <w:color w:val="auto"/>
                <w:kern w:val="0"/>
                <w:sz w:val="24"/>
                <w:szCs w:val="24"/>
                <w:u w:val="none"/>
                <w:lang w:val="en-US" w:eastAsia="zh-CN" w:bidi="ar"/>
              </w:rPr>
              <w:t>1mm</w:t>
            </w:r>
            <w:r>
              <w:rPr>
                <w:rFonts w:hint="eastAsia" w:ascii="宋体" w:hAnsi="宋体" w:eastAsia="宋体" w:cs="宋体"/>
                <w:i w:val="0"/>
                <w:iCs w:val="0"/>
                <w:color w:val="auto"/>
                <w:kern w:val="0"/>
                <w:sz w:val="24"/>
                <w:szCs w:val="24"/>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485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36B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7E82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51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64084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7A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培养皿60mm</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631C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23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34C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t>
            </w:r>
          </w:p>
        </w:tc>
      </w:tr>
      <w:tr w14:paraId="33368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E74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64085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ACA7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培养皿100mm</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D11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E96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DE5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t>
            </w:r>
          </w:p>
        </w:tc>
      </w:tr>
      <w:tr w14:paraId="08FE6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A59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64086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1C1E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研钵</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F5F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瓷，60mm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74D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41C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r>
      <w:tr w14:paraId="333F3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F8B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64095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2F2D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棉纱缸</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CCDD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304不锈钢</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A02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740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01451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841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64096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0879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记数载玻片(计数板)</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BE0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满足教学要求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E14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BA1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r>
      <w:tr w14:paraId="44FD0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1C4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70066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1521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碘化钠</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E318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507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CBC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3E440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ABD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70086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F7B3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硫酸铜(蓝矾、胆矾)</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6D9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E24E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2DC6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6C915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282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B588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碳酸氢钠</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BA8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82F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8FD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368BE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8F3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71044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164F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氢氧化钙(熟石灰)</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643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646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817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457F6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8D7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62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柠檬酸钠</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61BB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879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5AB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1F8FB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A00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72014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AC0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琼脂</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6F3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72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262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58547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94C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72016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6EC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甘油</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B19D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1F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C66F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2D181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A49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72022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2F4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蔗糖</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8A5A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37D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DE4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1AA43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C58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72023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F274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可溶性淀粉</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0115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58E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2AA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3B9B6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C4B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72052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075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酚酞</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B65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5FC2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毫升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0BE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250</w:t>
            </w:r>
          </w:p>
        </w:tc>
      </w:tr>
      <w:tr w14:paraId="2D15D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63F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72061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E480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pH广范围试纸</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05B0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277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本</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2F5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w:t>
            </w:r>
          </w:p>
        </w:tc>
      </w:tr>
      <w:tr w14:paraId="361C3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725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72081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1887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甲基绿</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36CD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885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62C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7D0CD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ADF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72084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AF3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亚甲基蓝</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1F01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AF4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687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06166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25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72085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359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尿糖试纸</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506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30秒出结果</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4D5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CB3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6557D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0CD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72091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534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定性滤纸</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4C9C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FE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CFA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59D66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177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77028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EC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硼酸</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4730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30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毫升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13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7D069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200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77032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150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氢氧化钠</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7DB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试剂</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1F7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3EDC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500</w:t>
            </w:r>
          </w:p>
        </w:tc>
      </w:tr>
      <w:tr w14:paraId="2316C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E9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80301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F79A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生物实验材料</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952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大豆、玉米、鸡翅、鸡血、动物心脏、小肠、动物腓肠肌、活小鱼等</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AA6BE">
            <w:pPr>
              <w:jc w:val="center"/>
              <w:rPr>
                <w:rFonts w:hint="eastAsia" w:ascii="宋体" w:hAnsi="宋体" w:eastAsia="宋体" w:cs="宋体"/>
                <w:i w:val="0"/>
                <w:iCs w:val="0"/>
                <w:color w:val="auto"/>
                <w:sz w:val="24"/>
                <w:szCs w:val="24"/>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2EA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5409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DC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80302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6344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载玻片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BE10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玻璃制。50片/盒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43E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0EA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6F05A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B87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80303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9758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盖玻片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4615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钠钙玻璃制品，100片/盒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10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DA30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18</w:t>
            </w:r>
          </w:p>
        </w:tc>
      </w:tr>
      <w:tr w14:paraId="366FA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ABD7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80304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39B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标记笔</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5ABB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规格不小于14.5cm</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26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BE0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484E8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37D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80305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F78D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生理盐水</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5249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普通医用</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229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C3D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D4DE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A1A2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80306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0329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砾石</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9C69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颗粒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AB0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1BF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3181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16D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80307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755C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珍珠岩</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24D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颗粒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BBE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千克</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D1E9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08D6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74E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80308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A12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ABO血型实验盒</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D8BD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本套模型由红血球模型4个，A和B凝集原模型各10个，抗A、抗B凝集素模型各3个组成</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8DF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663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C267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6A0F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80309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0711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组织培养基试剂盒</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D6E0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盒装，包含干酵母粉、食盐、氢氧化钠等。</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CEC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FE7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070F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8AD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80310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D0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昆虫针</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9AD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由不锈钢丝制成，每盒含0、1、2、3、4、5号针各50枚。</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71D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F329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02B69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CF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80311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CEE4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昆虫盒</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BB72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盒体用透明塑料一次性注塑而成</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63E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1D5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16134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74F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F77E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测电笔</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5B1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由测电头、绝缘手柄组成。数字显示；光示感应，数字显示准确、清晰；光亮显示明显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8F9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982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C991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FC8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A73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一字螺丝刀</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ED11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一字槽,总长度150mm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EE27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B2B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2FC6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85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69BE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十字螺丝刀</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1D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十字槽,总长度150mm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F64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FB5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3A4F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887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3C00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钢手锯</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D91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锯弓12寸,ABS柄,方管锯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501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CF10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41FD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6D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59A8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剥线钳</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CAC0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材质：高碳钢，长度不小于170mm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F96E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5E5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8C66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507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5B7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钢丝钳</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C8F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45#高碳钢锻造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153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2A3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95C6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D72E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81015</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560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手锤</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8C75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0.5kg （圆柱形），锤体用45＃碳素钢制成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9A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946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EE89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E67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81020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D6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活扳手</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674C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76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826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5A80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172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81030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372F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砂轮片</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3A95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断玻璃管用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1F63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2FF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7E3C7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AAE8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81106</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3E49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饲养笼</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C409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1.箱体由木质或塑料件制成，观察面用金属网制成，表面作防锈处理。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2.箱体由直径2mm的钢丝制造，钢丝间距约为30mm，尺寸约400mm×270mm×330mm,箱体开启放便。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56D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D4AA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C7B2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E96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81107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4BA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鱼缸大号</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A714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大号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873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0BB4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26471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42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3FB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鱼缸小号</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4AC4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3C5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AEB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59C49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3B7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81109</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B58A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花盆</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6E0E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塑料材质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17F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E2D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54C6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294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81110</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F36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展翅板</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64F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外形尺寸：380mm×140mm×50mm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B04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3E5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6E865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38E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81111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ECE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昆虫网(捕虫网)</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DFE4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网周围用直径φ4~5的镀锌铁丝制成直径φ250mm的圈。网柄用钢管制成，内径φ25mm，长70cm，壁厚1mm，安有紧口蝶形螺母。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655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884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4E8C0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1C3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81112</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2D59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枝剪</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8B18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刀体长150mm呈“V”形，刀口弧形，靠柄端加反向加强筋。剪刀为钢制成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CC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CA7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0D3B0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43B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81113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0141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水网</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6EA2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网周围用直径φ4~5的镀锌铁丝制成直径φ250mm的圈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78C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EEB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30D66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F9A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81117</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D4A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橡皮锤</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090C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膝跳反射用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BB3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FE4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6B1DB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733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82001</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D7D0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工作服</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34DB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白色全棉。大号、长袖带纽扣</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CC3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3DC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02E59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5C6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82003</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B79B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护目镜</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62D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侧面完全遮挡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838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528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r>
      <w:tr w14:paraId="4A970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6F1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82008</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BE40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乳胶手套</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06D0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表面应具有较好的耐酸、耐碱及其他化学试剂腐蚀的性能</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F6E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付</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AB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2D5C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AC4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82014</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898F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急救包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C7E1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布包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81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14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bl>
    <w:p w14:paraId="14FEF90F">
      <w:pPr>
        <w:numPr>
          <w:ilvl w:val="0"/>
          <w:numId w:val="0"/>
        </w:num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p>
    <w:tbl>
      <w:tblPr>
        <w:tblStyle w:val="2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6"/>
        <w:gridCol w:w="1399"/>
        <w:gridCol w:w="5037"/>
        <w:gridCol w:w="481"/>
        <w:gridCol w:w="696"/>
      </w:tblGrid>
      <w:tr w14:paraId="53EDD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gridSpan w:val="5"/>
            <w:tcBorders>
              <w:top w:val="nil"/>
              <w:left w:val="nil"/>
              <w:bottom w:val="nil"/>
              <w:right w:val="nil"/>
            </w:tcBorders>
            <w:shd w:val="clear" w:color="auto" w:fill="auto"/>
            <w:vAlign w:val="center"/>
          </w:tcPr>
          <w:p w14:paraId="5311EE93">
            <w:pPr>
              <w:keepNext w:val="0"/>
              <w:keepLines w:val="0"/>
              <w:widowControl/>
              <w:suppressLineNumbers w:val="0"/>
              <w:jc w:val="center"/>
              <w:textAlignment w:val="center"/>
              <w:rPr>
                <w:rFonts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初中地理教学仪器仪器设备需求、预算明细表</w:t>
            </w:r>
          </w:p>
        </w:tc>
      </w:tr>
      <w:tr w14:paraId="445E1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36B27C">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编号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3D2684">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名</w:t>
            </w:r>
            <w:r>
              <w:rPr>
                <w:rFonts w:hint="default" w:ascii="Times New Roman" w:hAnsi="Times New Roman" w:eastAsia="黑体" w:cs="Times New Roman"/>
                <w:i w:val="0"/>
                <w:iCs w:val="0"/>
                <w:color w:val="auto"/>
                <w:kern w:val="0"/>
                <w:sz w:val="24"/>
                <w:szCs w:val="24"/>
                <w:u w:val="none"/>
                <w:lang w:val="en-US" w:eastAsia="zh-CN" w:bidi="ar"/>
              </w:rPr>
              <w:t xml:space="preserve">        </w:t>
            </w:r>
            <w:r>
              <w:rPr>
                <w:rFonts w:hint="eastAsia" w:ascii="黑体" w:hAnsi="宋体" w:eastAsia="黑体" w:cs="黑体"/>
                <w:i w:val="0"/>
                <w:iCs w:val="0"/>
                <w:color w:val="auto"/>
                <w:kern w:val="0"/>
                <w:sz w:val="24"/>
                <w:szCs w:val="24"/>
                <w:u w:val="none"/>
                <w:lang w:val="en-US" w:eastAsia="zh-CN" w:bidi="ar"/>
              </w:rPr>
              <w:t>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DDECF5">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规格 型号 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83A423">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963FCD">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数量</w:t>
            </w:r>
          </w:p>
        </w:tc>
      </w:tr>
      <w:tr w14:paraId="25BDC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4DE0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B1421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计算器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105CC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函数型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E9CB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221E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0EE34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53A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02060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3F7C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望远镜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C9AF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双筒,7×35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06D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02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6.00 </w:t>
            </w:r>
          </w:p>
        </w:tc>
      </w:tr>
      <w:tr w14:paraId="09A55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84A9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2061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81BC7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天文望远镜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86449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折射式，主镜口径50-100mm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B9F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9091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02AD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2B45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142B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数字式天文望远镜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5AC7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光照度5lx，分辨率640×480           USB接口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ED96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6D7AE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7DB9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9D8B7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AA7C1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温度表支架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A9F6D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高低可调节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F096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9631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3FF9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86C50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29215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百叶箱支架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B3589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㈠适用范围：小学科学实验教学。㈡技术要求：1.产品为全钢结构，由立柱和座架组成，支架整体稳定牢靠，表面做防锈处理。2.支架高度为1200mm，座架宽窄应于百叶箱尺寸配套（约460mm×330mm）。3.支架与支撑杆之间用螺丝固定（可拆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3AAE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70D8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FC90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3A31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2E9B1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百叶箱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E22C2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460mm×290mm×537mm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814A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ED4D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278C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B5A8C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E1234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钢卷尺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49FA0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2000mm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10AFF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60B1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93D9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65E9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10009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9366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布卷尺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F260D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40F8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C6B3C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DB06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2D2F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C1DE9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世界钟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23CA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普及型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88050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EF8F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FD83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933B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F82BD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温度计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54D8C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红液，0℃～100℃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A754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D58B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7AAC7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FABD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0810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寒暑表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D6616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指针式。测量温度范围：－30～50℃，精度：±1℃。尺寸：Φ125×17（mm）。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C76C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8CC4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4419A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620EE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D14BF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最高温度表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15F85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-16℃～+81℃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8C053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CEC1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8E9E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F710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FC3D7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最低温度表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464F5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-52℃～+41℃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31B8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A34B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978C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F38A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7EC3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干湿球温度计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1DF2D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-36℃～+46℃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730D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F75BA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B6F0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6ABCE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E0E72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地面温度表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453F6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-36℃～+81℃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918D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879AE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43EF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E817B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13025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3883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自记温度计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F96B5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由感应部分、传递部分、自记部分组成。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FE67E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B47F9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347E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62A5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ABEA9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地质罗盘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47C1E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主要材质：ABS，净重≥100克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16232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1EB28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665DD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5106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BDA6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指南针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B8BA4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塑料圆盒直径不小于50mm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64AB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9328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68A02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243AA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16009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2423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空盒气压表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2D82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DYM3型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C7DD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9E30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85B3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33DF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A1766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毛发表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AF57F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6C7FE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56B5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C4C6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6BF7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11534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蒸发器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0CDF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蒸发器面积314cm</w:t>
            </w:r>
            <w:r>
              <w:rPr>
                <w:rFonts w:hint="eastAsia" w:ascii="宋体" w:hAnsi="宋体" w:eastAsia="宋体" w:cs="宋体"/>
                <w:i w:val="0"/>
                <w:iCs w:val="0"/>
                <w:color w:val="auto"/>
                <w:kern w:val="0"/>
                <w:sz w:val="24"/>
                <w:szCs w:val="24"/>
                <w:u w:val="none"/>
                <w:vertAlign w:val="superscript"/>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D59E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AC28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5F6B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F14D3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5C82E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雨量器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048EA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承水口内径200mm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B3BB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A55CD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C512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0C19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37089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雨量计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62867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容量范围：0-800ml，重量≥3000克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EFC7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3446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3332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AB68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5BEA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轻风表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F4F26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0498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C40B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34D3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1C12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16040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8D691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噪声测定仪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76E2B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量程：30-130db</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D237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C013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2B33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280E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28338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地球运行仪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89EDF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ABS工程塑料，≥38cm×25cm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2F26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EBDE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12AC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7D9B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255CF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晨昏仪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F74F7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式手动世界钟表Ø≥120mm、晨昏仪Ø≥120mm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BE4D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E5D5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5AE5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216D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57154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太阳视运动仪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66AD2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产品尺寸:高≥21cm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1AD1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0A4D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57842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D5D9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28006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240F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天体运行仪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7FFCB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包含八大行星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68E7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70D5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3105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D735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28007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A1F11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三球仪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066CA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仪器结构包括：</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日球：灯泡代替，它的中心高度与地轴中心高相等。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地球：上北下南，中间红线表示赤道，赤道两侧是南、北回归线，上下两圈表示南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北极圈。</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月球：中心平均高度应与地球中心高相等。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地轴：倾斜角度为23.5°，地球绕太阳旋转永远朝着一个方向。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节气盘：表示春、夏、秋、冬四季，具有地球绕太阳旋转的指示针。</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月相盘：表示月相位置。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月球轨道：月球绕地球旋转，应呈25°左右角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CEAF0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1E3D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F5C0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83FE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F458D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沉积作用演示装置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72A97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尺寸：≥长42cm宽10cm高12cm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4220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43A0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9BAC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E4D4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0C510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流水作用演示装置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5BF7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尺寸：≥长42cm宽23cm高14cm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6CAD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576E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662A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D4047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EF134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断层、褶皱演示器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33131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尺寸：≥长44cm宽19cm高24cm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ED0C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96C3A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8D18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FD8F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CDAAC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地壳变动演示器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A82D4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尺寸：≥长44cm宽16cm高18cm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299E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0037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E194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EC83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614B7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季风活动演示仪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803EF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演示动态效果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E1952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E8ED6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9A37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FA71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2AD5B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洋流演示仪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831D2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按洋流分条演示动态效果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98B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795C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E75F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735F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C9A2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环境速测箱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FF277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土壤pH值，P、N测定，水质测定，空气质量测定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4FE3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B23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A028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1F06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28031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FAAD8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地球科学探究活动器材套装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97B5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包含：地球空白模型、橡皮泥、金属盘、地球贴纸、记录工作手续、硬纸片、铅笔等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63B94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564A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29737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A698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62F37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平面政区地球仪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DD70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1∶40 000 000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B637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F21B5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7D6C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8B02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B0D15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平面地形地球仪1∶40 000 000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DE10D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1∶40 000 000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C44E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AFA7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4080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4407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34003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C60A2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平面地形地球仪1∶90 000 000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B7F57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1∶90 000 000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57A4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7B9F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569D7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2EBA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34004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DDEF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立体地形地球仪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24C68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1∶40 000 000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7B625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931AE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DE9F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0642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C7371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平面两用地球仪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468B5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地形/政区 1∶40 000 000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F178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4CABA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5C4E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2A3C9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34006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1B438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充气式填充地球仪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6E5F7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塑胶，210mm，1∶60 000 000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EDAE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B497A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05719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0AFE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34007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D82DA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填充地球仪，政区，灯光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39BD2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320mm，政区，灯光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5B186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272D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1D819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6C41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34008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2E65A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填充地球仪，地形，灯光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81066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320mm，地形，灯光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3AF1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3D68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35C60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D12D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34009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D9617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经纬度模型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55FE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32D0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E3E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53F0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5E5F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46A8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天球仪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ACAB9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灯光两用，320mm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D145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8086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193B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8C8E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7A6A2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月球仪320mm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9562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320mm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40B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CD80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5749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B801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1B2EE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月球仪141.6mm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ACADB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141.6mm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05B9D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40B2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26285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27D44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46B0C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等高线地形图判读模型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2851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尺寸：≥长44cm宽23cm高15cm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F245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A252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9D0F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D3C5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5FF5E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中国地形模型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7321C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吸塑填充</w:t>
            </w:r>
            <w:r>
              <w:rPr>
                <w:rFonts w:hint="default" w:ascii="Times New Roman" w:hAnsi="Times New Roman" w:eastAsia="宋体" w:cs="Times New Roman"/>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 xml:space="preserve"> 1∶8 000 000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D547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C37E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F481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B53F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49F86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中国政区拼接及组合模型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494D8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1∶6 000 000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B968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790E2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D1A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A5680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5E336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中国政区拼接模型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15C63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1∶20 000 000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84CD4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95BA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544C0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F37D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F8E08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板块构造及地表形态模型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296C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尺寸：≥长44cm宽21cm高12cm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C882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B39D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CED0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A1083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3BC4B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褶皱构造及其地貌演变模型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4094F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尺寸：≥长44cm宽23cm高15cm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572E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AECDD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14B3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08BE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11047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断裂构造及地垒地堑发育模型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941FF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尺寸：≥长44cm宽21cm高12cm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09A6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061FA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228E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97780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34022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31093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地球内部构造模型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6D3E6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球直径≥32cm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DA4FA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71B4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8B8E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021A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44001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24AA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岩石矿物标本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7269C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不少于6种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CAF9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B7E7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BB93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A296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44002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F0D34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土壤标本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52E6D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红壤、砖红壤、黑钙土、紫色土、水稻土等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97C2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5FA9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6542A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6DD2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54001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9B09E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地球和地图教学挂图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9896A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9C22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012AE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BD79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59B48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54002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CC8A2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中国地理教学挂图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B4C7C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C5340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08C1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255C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BE66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54003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CD66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世界地理教学挂图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FDDD2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1D01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B34A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1AFE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5AB4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54004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52F19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中国地理教学地图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1B709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7541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3BDA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E3E9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CE80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54005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5E3CD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世界地理教学地图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FBCCE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F560C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EFA8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0096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577A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54006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49D27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中学地理填充地图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25158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彩色印刷，全开，PVC片材或复合纸或铜版纸覆膜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40E9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9CA3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3614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AD36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54007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F314F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中学环境与可持续发展教育挂图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58BEB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0C34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48EF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D535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8713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54416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63512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地球和地图、人类和环境学习参考图册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34119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3402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491D5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29CF1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3BA38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54417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34D1F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世界地理学习参考图册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6C017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756EC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D11E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22864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CA94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54418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5A72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中国地理学习参考图册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B5654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202F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305C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r>
      <w:tr w14:paraId="15C09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80B2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54419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49560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初中地理实验教学指导书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4025F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400E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20E0D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E57F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A26A5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54420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5A792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初中地理实验仪器手册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A34EA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印刷：彩色印刷。图形逼真，色彩鲜明，线条清晰。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A958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BD14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0958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C417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80401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F9E4C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地球科学实验材料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8D9AA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水粉颜料、细钢丝、细铁丝、橡皮泥、纱布条、棉签、软木塞、硬纸板、细线等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682530">
            <w:pPr>
              <w:jc w:val="center"/>
              <w:rPr>
                <w:rFonts w:hint="eastAsia" w:ascii="宋体" w:hAnsi="宋体" w:eastAsia="宋体" w:cs="宋体"/>
                <w:b/>
                <w:bCs/>
                <w:i w:val="0"/>
                <w:iCs w:val="0"/>
                <w:color w:val="auto"/>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3BB29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r>
      <w:tr w14:paraId="3813E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5142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91B0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地理野外实习用具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5A25B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小型地质包(帆布双背式)、地质锤(0.45kg或0.65kg)、罗盘(袖珍经纬仪GJX-2型或1型)、放大镜(3倍～10倍)、多用铲(剑形双刃铲)、土壤标本盒(塑料多格)、盒尺(2000mm)各一件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26FC6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72D6A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697B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B021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81152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6F774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平底盘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A5E45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304不锈钢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74D1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F3F7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E630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D006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94FA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金属托盘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2DEB6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304不锈钢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EE9D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6E61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F675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9CBA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B4C88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洛阳铲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92C34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铲长≥35cm、宽9cm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3328B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B3C41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6171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507C2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F0E5E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剖面刀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848BF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不锈钢制，刀宽≥5cm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30F9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CA791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2338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62EF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81156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C9C8A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土壤筛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DFEA0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五个一套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4F962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2DA5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bl>
    <w:p w14:paraId="1EC80B5C">
      <w:pPr>
        <w:numPr>
          <w:ilvl w:val="0"/>
          <w:numId w:val="0"/>
        </w:numPr>
        <w:rPr>
          <w:rFonts w:hint="default" w:ascii="宋体" w:hAnsi="宋体" w:cs="宋体"/>
          <w:color w:val="auto"/>
          <w:sz w:val="24"/>
          <w:szCs w:val="24"/>
          <w:highlight w:val="none"/>
          <w:lang w:val="en-US" w:eastAsia="zh-CN"/>
        </w:rPr>
      </w:pPr>
    </w:p>
    <w:p w14:paraId="7AFB05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1C3329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1、质量保证：达到国家规定标准或行业规定标准；在质保期内若非采购人操作不当或不可抗力因素所造成的损毁致使产品出现质量问题，中标供应商应当无条件更换。</w:t>
      </w:r>
    </w:p>
    <w:p w14:paraId="1901584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2、售后服务：提供7×24小时售后服务，接到要求服务电话后，1小时响应，24小时内上门解决问题。质保期内提供随时免费上门服务，并提供免费技术服务。</w:t>
      </w:r>
    </w:p>
    <w:p w14:paraId="54E81680">
      <w:pPr>
        <w:rPr>
          <w:rFonts w:hint="eastAsia" w:ascii="宋体" w:hAnsi="宋体" w:eastAsia="宋体" w:cs="宋体"/>
          <w:color w:val="auto"/>
          <w:sz w:val="32"/>
          <w:szCs w:val="28"/>
          <w:highlight w:val="none"/>
        </w:rPr>
      </w:pPr>
      <w:r>
        <w:rPr>
          <w:rFonts w:hint="eastAsia" w:ascii="宋体" w:hAnsi="宋体" w:eastAsia="宋体" w:cs="宋体"/>
          <w:color w:val="auto"/>
          <w:sz w:val="32"/>
          <w:szCs w:val="28"/>
          <w:highlight w:val="none"/>
        </w:rPr>
        <w:br w:type="page"/>
      </w:r>
      <w:r>
        <w:rPr>
          <w:rFonts w:hint="eastAsia" w:ascii="宋体" w:hAnsi="宋体" w:eastAsia="宋体" w:cs="宋体"/>
          <w:color w:val="auto"/>
          <w:sz w:val="32"/>
          <w:szCs w:val="28"/>
          <w:highlight w:val="none"/>
        </w:rPr>
        <w:t>第</w:t>
      </w:r>
      <w:bookmarkStart w:id="63" w:name="_Hlt240110027"/>
      <w:bookmarkEnd w:id="63"/>
      <w:r>
        <w:rPr>
          <w:rFonts w:hint="eastAsia" w:ascii="宋体" w:hAnsi="宋体" w:eastAsia="宋体" w:cs="宋体"/>
          <w:color w:val="auto"/>
          <w:sz w:val="32"/>
          <w:szCs w:val="28"/>
          <w:highlight w:val="none"/>
        </w:rPr>
        <w:t>四章 评标办法</w:t>
      </w:r>
      <w:bookmarkEnd w:id="61"/>
      <w:bookmarkEnd w:id="62"/>
    </w:p>
    <w:p w14:paraId="3D1FCB0E">
      <w:pPr>
        <w:tabs>
          <w:tab w:val="left" w:pos="360"/>
          <w:tab w:val="left" w:pos="540"/>
          <w:tab w:val="left" w:pos="3600"/>
          <w:tab w:val="left" w:pos="3780"/>
          <w:tab w:val="left" w:pos="8460"/>
          <w:tab w:val="left" w:pos="9180"/>
        </w:tabs>
        <w:adjustRightInd w:val="0"/>
        <w:snapToGrid w:val="0"/>
        <w:spacing w:line="360" w:lineRule="auto"/>
        <w:ind w:firstLine="3300" w:firstLineChars="1375"/>
        <w:rPr>
          <w:rFonts w:hint="eastAsia" w:ascii="宋体" w:hAnsi="宋体" w:eastAsia="宋体" w:cs="宋体"/>
          <w:color w:val="auto"/>
          <w:sz w:val="24"/>
          <w:highlight w:val="none"/>
        </w:rPr>
      </w:pPr>
      <w:bookmarkStart w:id="64" w:name="_Toc10750_WPSOffice_Level2"/>
      <w:r>
        <w:rPr>
          <w:rFonts w:hint="eastAsia" w:ascii="宋体" w:hAnsi="宋体" w:eastAsia="宋体" w:cs="宋体"/>
          <w:color w:val="auto"/>
          <w:sz w:val="24"/>
          <w:highlight w:val="none"/>
        </w:rPr>
        <w:t>一．总  则</w:t>
      </w:r>
      <w:bookmarkEnd w:id="64"/>
    </w:p>
    <w:p w14:paraId="0AECABD3">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第一条 为了做好本项目（项目编号</w:t>
      </w:r>
      <w:r>
        <w:rPr>
          <w:rFonts w:hint="eastAsia" w:ascii="宋体" w:hAnsi="宋体" w:eastAsia="宋体" w:cs="宋体"/>
          <w:color w:val="auto"/>
          <w:sz w:val="24"/>
          <w:highlight w:val="none"/>
        </w:rPr>
        <w:t>：</w:t>
      </w:r>
      <w:r>
        <w:rPr>
          <w:rFonts w:hint="eastAsia" w:ascii="宋体" w:hAnsi="宋体" w:cs="宋体"/>
          <w:color w:val="auto"/>
          <w:sz w:val="24"/>
          <w:highlight w:val="none"/>
          <w:lang w:eastAsia="zh-CN"/>
        </w:rPr>
        <w:t>淮财招标采购-2026-10</w:t>
      </w:r>
      <w:r>
        <w:rPr>
          <w:rFonts w:hint="eastAsia" w:ascii="宋体" w:hAnsi="宋体" w:eastAsia="宋体" w:cs="宋体"/>
          <w:color w:val="auto"/>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7CF38D4D">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第二条 本次项目评标采用综合评分法作为对投标人标书的比较方法。</w:t>
      </w:r>
    </w:p>
    <w:p w14:paraId="414970CA">
      <w:pPr>
        <w:adjustRightInd w:val="0"/>
        <w:snapToGrid w:val="0"/>
        <w:spacing w:line="360" w:lineRule="auto"/>
        <w:ind w:left="-61" w:leftChars="-29" w:right="-1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第三条 按照《中华人民共和国政府采购法》及其相关规定组成评标委员会负责本项目的评审工作。评标委员会</w:t>
      </w:r>
      <w:r>
        <w:rPr>
          <w:rFonts w:hint="eastAsia" w:ascii="宋体" w:hAnsi="宋体" w:eastAsia="宋体" w:cs="宋体"/>
          <w:color w:val="auto"/>
          <w:sz w:val="24"/>
          <w:szCs w:val="22"/>
          <w:highlight w:val="none"/>
        </w:rPr>
        <w:t>在政府采购专家库中随机抽取。</w:t>
      </w:r>
    </w:p>
    <w:p w14:paraId="767A9687">
      <w:pPr>
        <w:adjustRightInd w:val="0"/>
        <w:snapToGrid w:val="0"/>
        <w:spacing w:line="360" w:lineRule="auto"/>
        <w:ind w:right="-1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第四条 评委会按照“客观公正，实事求是”的原则，评价参加本次招标的投标人所提供的产品价格、性能、质量、服务及对招标文件的符合性及响应性。</w:t>
      </w:r>
    </w:p>
    <w:p w14:paraId="4624123D">
      <w:pPr>
        <w:adjustRightInd w:val="0"/>
        <w:snapToGrid w:val="0"/>
        <w:spacing w:line="360" w:lineRule="auto"/>
        <w:jc w:val="center"/>
        <w:rPr>
          <w:rFonts w:hint="eastAsia" w:ascii="宋体" w:hAnsi="宋体" w:eastAsia="宋体" w:cs="宋体"/>
          <w:color w:val="auto"/>
          <w:sz w:val="24"/>
          <w:highlight w:val="none"/>
        </w:rPr>
      </w:pPr>
      <w:bookmarkStart w:id="65" w:name="_Toc31922_WPSOffice_Level2"/>
      <w:r>
        <w:rPr>
          <w:rFonts w:hint="eastAsia" w:ascii="宋体" w:hAnsi="宋体" w:eastAsia="宋体" w:cs="宋体"/>
          <w:color w:val="auto"/>
          <w:sz w:val="24"/>
          <w:highlight w:val="none"/>
        </w:rPr>
        <w:t>二．评标程序及评审细则</w:t>
      </w:r>
      <w:bookmarkEnd w:id="65"/>
    </w:p>
    <w:p w14:paraId="10AAF120">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第五条 评标工作于开标后进行。评委会应认真研究招标文件，至少应了解和熟悉以下内容：</w:t>
      </w:r>
    </w:p>
    <w:p w14:paraId="5BDC798A">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（一）招标的目标；</w:t>
      </w:r>
    </w:p>
    <w:p w14:paraId="71549CFE">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（二）招标项目的范围和性质；</w:t>
      </w:r>
    </w:p>
    <w:p w14:paraId="77BF00A0">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（三）招标文件中规定的主要技术要求、标准和商务条款；</w:t>
      </w:r>
    </w:p>
    <w:p w14:paraId="78D8AB44">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（四）招标文件规定的评标标准、评标方法和在评标过程中考虑的相关因素。</w:t>
      </w:r>
    </w:p>
    <w:p w14:paraId="35EBCB6F">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第六条 有效投标应符合以下原则：</w:t>
      </w:r>
    </w:p>
    <w:p w14:paraId="47C6C2A1">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（一）满足招标文件的实质性要求；</w:t>
      </w:r>
    </w:p>
    <w:p w14:paraId="7939F0D5">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（二）无重大偏离、保留或采购人不能接受的附加条件；</w:t>
      </w:r>
    </w:p>
    <w:p w14:paraId="3722B2A0">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（三）通过投标符合性审查；</w:t>
      </w:r>
    </w:p>
    <w:p w14:paraId="3117DE42">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（四）评委会依据招标文件认定的其他原则；</w:t>
      </w:r>
    </w:p>
    <w:p w14:paraId="255642E4">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（五）商务偏差表或技术偏差表数据不存在弄虚作假现象；</w:t>
      </w:r>
    </w:p>
    <w:p w14:paraId="59F2BCBF">
      <w:pPr>
        <w:adjustRightInd w:val="0"/>
        <w:snapToGrid w:val="0"/>
        <w:spacing w:line="360" w:lineRule="auto"/>
        <w:ind w:right="-1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（六）投标人报价未超过采购人的采购预算；</w:t>
      </w:r>
    </w:p>
    <w:p w14:paraId="49F2ADF9">
      <w:pPr>
        <w:adjustRightInd w:val="0"/>
        <w:snapToGrid w:val="0"/>
        <w:spacing w:line="360" w:lineRule="auto"/>
        <w:ind w:right="-10" w:firstLine="480" w:firstLineChars="200"/>
        <w:rPr>
          <w:rFonts w:hint="eastAsia" w:ascii="宋体" w:hAnsi="宋体" w:eastAsia="宋体" w:cs="宋体"/>
          <w:color w:val="auto"/>
          <w:sz w:val="24"/>
          <w:szCs w:val="22"/>
          <w:highlight w:val="none"/>
        </w:rPr>
      </w:pPr>
      <w:r>
        <w:rPr>
          <w:rFonts w:hint="eastAsia" w:ascii="宋体" w:hAnsi="宋体" w:eastAsia="宋体" w:cs="宋体"/>
          <w:color w:val="auto"/>
          <w:sz w:val="24"/>
          <w:highlight w:val="none"/>
        </w:rPr>
        <w:t>第七条 评委会从每个投标人的投标文件开始独立评审，对开标后投标人所提出的优惠条件不予以考虑。按</w:t>
      </w:r>
      <w:r>
        <w:rPr>
          <w:rFonts w:hint="eastAsia" w:ascii="宋体" w:hAnsi="宋体" w:eastAsia="宋体" w:cs="宋体"/>
          <w:color w:val="auto"/>
          <w:sz w:val="24"/>
          <w:szCs w:val="22"/>
          <w:highlight w:val="none"/>
        </w:rPr>
        <w:t>综合得分从高到低的顺序评出中标候选人。</w:t>
      </w:r>
    </w:p>
    <w:p w14:paraId="3F2BBAB6">
      <w:pPr>
        <w:adjustRightInd w:val="0"/>
        <w:snapToGrid w:val="0"/>
        <w:spacing w:line="360" w:lineRule="auto"/>
        <w:ind w:right="-1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第八条 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0177A1FB">
      <w:pPr>
        <w:adjustRightInd w:val="0"/>
        <w:snapToGrid w:val="0"/>
        <w:spacing w:line="360" w:lineRule="auto"/>
        <w:ind w:right="-1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第九条 评委会首先对各投标人进行符合性审查，通过符合性审查的投标人为有效投标人，有效投标人进入综合评分环节，按招标文件约定由评委会推荐中标候选人；没有通过符合性审查的投标人为无效投标。</w:t>
      </w:r>
    </w:p>
    <w:p w14:paraId="26391C2C">
      <w:pPr>
        <w:rPr>
          <w:rFonts w:hint="eastAsia" w:ascii="宋体" w:hAnsi="宋体" w:eastAsia="宋体" w:cs="宋体"/>
          <w:color w:val="auto"/>
          <w:sz w:val="24"/>
          <w:highlight w:val="none"/>
        </w:rPr>
      </w:pPr>
    </w:p>
    <w:p w14:paraId="6F405538">
      <w:pPr>
        <w:pStyle w:val="17"/>
        <w:ind w:firstLine="480" w:firstLineChars="200"/>
        <w:rPr>
          <w:rFonts w:hint="eastAsia" w:ascii="宋体" w:hAnsi="宋体" w:eastAsia="宋体" w:cs="宋体"/>
          <w:color w:val="auto"/>
          <w:sz w:val="24"/>
          <w:szCs w:val="20"/>
          <w:highlight w:val="none"/>
        </w:rPr>
      </w:pPr>
    </w:p>
    <w:p w14:paraId="5EF3309B">
      <w:pPr>
        <w:pStyle w:val="17"/>
        <w:rPr>
          <w:rFonts w:hint="eastAsia" w:ascii="宋体" w:hAnsi="宋体" w:eastAsia="宋体" w:cs="宋体"/>
          <w:color w:val="auto"/>
          <w:highlight w:val="none"/>
        </w:rPr>
      </w:pP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1139"/>
        <w:gridCol w:w="3024"/>
      </w:tblGrid>
      <w:tr w14:paraId="15A3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9233" w:type="dxa"/>
            <w:gridSpan w:val="5"/>
            <w:noWrap w:val="0"/>
            <w:vAlign w:val="center"/>
          </w:tcPr>
          <w:p w14:paraId="0D41E42D">
            <w:pPr>
              <w:pStyle w:val="35"/>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highlight w:val="none"/>
              </w:rPr>
            </w:pPr>
            <w:r>
              <w:rPr>
                <w:rFonts w:hint="eastAsia" w:ascii="宋体" w:hAnsi="宋体" w:eastAsia="宋体" w:cs="宋体"/>
                <w:color w:val="auto"/>
                <w:kern w:val="2"/>
                <w:highlight w:val="none"/>
              </w:rPr>
              <w:t>项目符合性审查表</w:t>
            </w:r>
          </w:p>
        </w:tc>
      </w:tr>
      <w:tr w14:paraId="36FFD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41B79C3F">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005" w:type="dxa"/>
            <w:tcBorders>
              <w:bottom w:val="single" w:color="auto" w:sz="4" w:space="0"/>
            </w:tcBorders>
            <w:noWrap w:val="0"/>
            <w:vAlign w:val="center"/>
          </w:tcPr>
          <w:p w14:paraId="422BDF1F">
            <w:pPr>
              <w:pStyle w:val="35"/>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指标名称</w:t>
            </w:r>
          </w:p>
        </w:tc>
        <w:tc>
          <w:tcPr>
            <w:tcW w:w="2353" w:type="dxa"/>
            <w:tcBorders>
              <w:bottom w:val="single" w:color="auto" w:sz="4" w:space="0"/>
            </w:tcBorders>
            <w:noWrap w:val="0"/>
            <w:vAlign w:val="center"/>
          </w:tcPr>
          <w:p w14:paraId="4948234E">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1139" w:type="dxa"/>
            <w:tcBorders>
              <w:bottom w:val="single" w:color="auto" w:sz="4" w:space="0"/>
            </w:tcBorders>
            <w:noWrap w:val="0"/>
            <w:vAlign w:val="center"/>
          </w:tcPr>
          <w:p w14:paraId="2B979B2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14:paraId="0CCDC3A9">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3024" w:type="dxa"/>
            <w:tcBorders>
              <w:bottom w:val="single" w:color="auto" w:sz="4" w:space="0"/>
            </w:tcBorders>
            <w:noWrap w:val="0"/>
            <w:vAlign w:val="center"/>
          </w:tcPr>
          <w:p w14:paraId="2CECAC32">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14:paraId="48840DE1">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14:paraId="7A078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1B163945">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005" w:type="dxa"/>
            <w:noWrap w:val="0"/>
            <w:vAlign w:val="center"/>
          </w:tcPr>
          <w:p w14:paraId="7C35723C">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投标人资格</w:t>
            </w:r>
          </w:p>
        </w:tc>
        <w:tc>
          <w:tcPr>
            <w:tcW w:w="2353" w:type="dxa"/>
            <w:noWrap w:val="0"/>
            <w:vAlign w:val="center"/>
          </w:tcPr>
          <w:p w14:paraId="312DB4D2">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见招标文件</w:t>
            </w:r>
          </w:p>
        </w:tc>
        <w:tc>
          <w:tcPr>
            <w:tcW w:w="1139" w:type="dxa"/>
            <w:noWrap w:val="0"/>
            <w:vAlign w:val="center"/>
          </w:tcPr>
          <w:p w14:paraId="10BB9BB2">
            <w:pPr>
              <w:adjustRightInd w:val="0"/>
              <w:snapToGrid w:val="0"/>
              <w:spacing w:line="360" w:lineRule="auto"/>
              <w:ind w:right="-10"/>
              <w:rPr>
                <w:rFonts w:hint="eastAsia" w:ascii="宋体" w:hAnsi="宋体" w:eastAsia="宋体" w:cs="宋体"/>
                <w:color w:val="auto"/>
                <w:sz w:val="24"/>
                <w:highlight w:val="none"/>
              </w:rPr>
            </w:pPr>
          </w:p>
        </w:tc>
        <w:tc>
          <w:tcPr>
            <w:tcW w:w="3024" w:type="dxa"/>
            <w:noWrap w:val="0"/>
            <w:vAlign w:val="center"/>
          </w:tcPr>
          <w:p w14:paraId="57901C9D">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62A6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26AA2B49">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005" w:type="dxa"/>
            <w:noWrap w:val="0"/>
            <w:vAlign w:val="center"/>
          </w:tcPr>
          <w:p w14:paraId="70DB74F6">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货物技术要求</w:t>
            </w:r>
          </w:p>
        </w:tc>
        <w:tc>
          <w:tcPr>
            <w:tcW w:w="2353" w:type="dxa"/>
            <w:noWrap w:val="0"/>
            <w:vAlign w:val="center"/>
          </w:tcPr>
          <w:p w14:paraId="1D5A1CAE">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按评标办法</w:t>
            </w:r>
          </w:p>
        </w:tc>
        <w:tc>
          <w:tcPr>
            <w:tcW w:w="1139" w:type="dxa"/>
            <w:noWrap w:val="0"/>
            <w:vAlign w:val="center"/>
          </w:tcPr>
          <w:p w14:paraId="647CB24D">
            <w:pPr>
              <w:adjustRightInd w:val="0"/>
              <w:snapToGrid w:val="0"/>
              <w:spacing w:line="360" w:lineRule="auto"/>
              <w:ind w:right="-10"/>
              <w:rPr>
                <w:rFonts w:hint="eastAsia" w:ascii="宋体" w:hAnsi="宋体" w:eastAsia="宋体" w:cs="宋体"/>
                <w:color w:val="auto"/>
                <w:sz w:val="24"/>
                <w:highlight w:val="none"/>
              </w:rPr>
            </w:pPr>
          </w:p>
        </w:tc>
        <w:tc>
          <w:tcPr>
            <w:tcW w:w="3024" w:type="dxa"/>
            <w:noWrap w:val="0"/>
            <w:vAlign w:val="center"/>
          </w:tcPr>
          <w:p w14:paraId="4984D9B6">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6AA3D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71F790D4">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005" w:type="dxa"/>
            <w:noWrap w:val="0"/>
            <w:vAlign w:val="center"/>
          </w:tcPr>
          <w:p w14:paraId="13C783FD">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质保及售后等</w:t>
            </w:r>
          </w:p>
        </w:tc>
        <w:tc>
          <w:tcPr>
            <w:tcW w:w="2353" w:type="dxa"/>
            <w:noWrap w:val="0"/>
            <w:vAlign w:val="center"/>
          </w:tcPr>
          <w:p w14:paraId="1E40A27A">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见招标文件</w:t>
            </w:r>
          </w:p>
        </w:tc>
        <w:tc>
          <w:tcPr>
            <w:tcW w:w="1139" w:type="dxa"/>
            <w:noWrap w:val="0"/>
            <w:vAlign w:val="center"/>
          </w:tcPr>
          <w:p w14:paraId="38A66C76">
            <w:pPr>
              <w:adjustRightInd w:val="0"/>
              <w:snapToGrid w:val="0"/>
              <w:spacing w:line="360" w:lineRule="auto"/>
              <w:ind w:right="-10"/>
              <w:rPr>
                <w:rFonts w:hint="eastAsia" w:ascii="宋体" w:hAnsi="宋体" w:eastAsia="宋体" w:cs="宋体"/>
                <w:color w:val="auto"/>
                <w:sz w:val="24"/>
                <w:highlight w:val="none"/>
              </w:rPr>
            </w:pPr>
          </w:p>
        </w:tc>
        <w:tc>
          <w:tcPr>
            <w:tcW w:w="3024" w:type="dxa"/>
            <w:noWrap w:val="0"/>
            <w:vAlign w:val="center"/>
          </w:tcPr>
          <w:p w14:paraId="0B20F108">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bl>
    <w:p w14:paraId="1424CA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评分标准（满分为100分）说明:</w:t>
      </w:r>
      <w:r>
        <w:rPr>
          <w:rFonts w:hint="eastAsia" w:ascii="宋体" w:hAnsi="宋体" w:eastAsia="宋体" w:cs="宋体"/>
          <w:color w:val="auto"/>
          <w:sz w:val="24"/>
          <w:szCs w:val="24"/>
          <w:highlight w:val="none"/>
        </w:rPr>
        <w:t>各投标人的最终得分为各评委得分的算术平均值；评分分值计算保留小数点后两位，小数点后第三位“四舍五入”。</w:t>
      </w:r>
    </w:p>
    <w:p w14:paraId="014FDA49">
      <w:pPr>
        <w:pStyle w:val="19"/>
        <w:spacing w:before="0" w:beforeAutospacing="0" w:after="0" w:afterAutospacing="0"/>
        <w:contextualSpacing/>
        <w:jc w:val="both"/>
        <w:rPr>
          <w:rFonts w:hint="eastAsia" w:ascii="宋体" w:hAnsi="宋体" w:eastAsia="宋体" w:cs="宋体"/>
          <w:b/>
          <w:bCs/>
          <w:color w:val="auto"/>
          <w:kern w:val="1"/>
          <w:sz w:val="32"/>
          <w:szCs w:val="28"/>
          <w:highlight w:val="none"/>
        </w:rPr>
      </w:pPr>
      <w:r>
        <w:rPr>
          <w:rFonts w:hint="eastAsia" w:ascii="宋体" w:hAnsi="宋体" w:eastAsia="宋体" w:cs="宋体"/>
          <w:b/>
          <w:bCs/>
          <w:color w:val="auto"/>
          <w:kern w:val="1"/>
          <w:sz w:val="32"/>
          <w:szCs w:val="28"/>
          <w:highlight w:val="none"/>
          <w:lang w:val="en-US" w:eastAsia="zh-CN"/>
        </w:rPr>
        <w:t>1标段</w:t>
      </w:r>
      <w:r>
        <w:rPr>
          <w:rFonts w:hint="eastAsia" w:ascii="宋体" w:hAnsi="宋体" w:eastAsia="宋体" w:cs="宋体"/>
          <w:b/>
          <w:bCs/>
          <w:color w:val="auto"/>
          <w:kern w:val="1"/>
          <w:sz w:val="32"/>
          <w:szCs w:val="28"/>
          <w:highlight w:val="none"/>
        </w:rPr>
        <w:t>评标办法</w:t>
      </w:r>
      <w:r>
        <w:rPr>
          <w:rFonts w:hint="eastAsia" w:ascii="宋体" w:hAnsi="宋体" w:eastAsia="宋体" w:cs="宋体"/>
          <w:color w:val="auto"/>
          <w:sz w:val="32"/>
          <w:szCs w:val="32"/>
          <w:highlight w:val="none"/>
        </w:rPr>
        <w:br w:type="page"/>
      </w:r>
    </w:p>
    <w:tbl>
      <w:tblPr>
        <w:tblStyle w:val="24"/>
        <w:tblpPr w:leftFromText="180" w:rightFromText="180" w:horzAnchor="margin" w:tblpXSpec="center" w:tblpY="272"/>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62"/>
        <w:gridCol w:w="851"/>
        <w:gridCol w:w="6633"/>
      </w:tblGrid>
      <w:tr w14:paraId="39C0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1101" w:type="dxa"/>
            <w:tcBorders>
              <w:top w:val="single" w:color="auto" w:sz="4" w:space="0"/>
              <w:left w:val="single" w:color="auto" w:sz="4" w:space="0"/>
              <w:bottom w:val="single" w:color="auto" w:sz="4" w:space="0"/>
              <w:right w:val="single" w:color="auto" w:sz="4" w:space="0"/>
            </w:tcBorders>
            <w:vAlign w:val="center"/>
          </w:tcPr>
          <w:p w14:paraId="3F727BC2">
            <w:pPr>
              <w:jc w:val="center"/>
              <w:rPr>
                <w:rFonts w:ascii="Calibri" w:hAnsi="Calibri" w:eastAsia="宋体" w:cs="Times New Roman"/>
                <w:b/>
                <w:color w:val="auto"/>
                <w:highlight w:val="none"/>
              </w:rPr>
            </w:pPr>
            <w:r>
              <w:rPr>
                <w:rFonts w:hint="eastAsia" w:ascii="Calibri" w:hAnsi="Calibri" w:eastAsia="宋体" w:cs="Times New Roman"/>
                <w:b/>
                <w:color w:val="auto"/>
                <w:highlight w:val="none"/>
              </w:rPr>
              <w:t>评 分</w:t>
            </w:r>
          </w:p>
          <w:p w14:paraId="1FD685C4">
            <w:pPr>
              <w:jc w:val="center"/>
              <w:rPr>
                <w:rFonts w:ascii="Calibri" w:hAnsi="Calibri" w:eastAsia="宋体" w:cs="Times New Roman"/>
                <w:b/>
                <w:color w:val="auto"/>
                <w:highlight w:val="none"/>
              </w:rPr>
            </w:pPr>
            <w:r>
              <w:rPr>
                <w:rFonts w:hint="eastAsia" w:ascii="Calibri" w:hAnsi="Calibri" w:eastAsia="宋体" w:cs="Times New Roman"/>
                <w:b/>
                <w:color w:val="auto"/>
                <w:highlight w:val="none"/>
              </w:rPr>
              <w:t>项 目</w:t>
            </w:r>
          </w:p>
        </w:tc>
        <w:tc>
          <w:tcPr>
            <w:tcW w:w="1162" w:type="dxa"/>
            <w:tcBorders>
              <w:top w:val="single" w:color="auto" w:sz="4" w:space="0"/>
              <w:left w:val="single" w:color="auto" w:sz="4" w:space="0"/>
              <w:bottom w:val="single" w:color="auto" w:sz="4" w:space="0"/>
              <w:right w:val="single" w:color="auto" w:sz="4" w:space="0"/>
            </w:tcBorders>
            <w:vAlign w:val="center"/>
          </w:tcPr>
          <w:p w14:paraId="11716E21">
            <w:pPr>
              <w:jc w:val="center"/>
              <w:rPr>
                <w:rFonts w:ascii="Calibri" w:hAnsi="Calibri" w:eastAsia="宋体" w:cs="Times New Roman"/>
                <w:b/>
                <w:color w:val="auto"/>
                <w:highlight w:val="none"/>
              </w:rPr>
            </w:pPr>
            <w:r>
              <w:rPr>
                <w:rFonts w:hint="eastAsia" w:ascii="Calibri" w:hAnsi="Calibri" w:eastAsia="宋体" w:cs="Times New Roman"/>
                <w:b/>
                <w:color w:val="auto"/>
                <w:highlight w:val="none"/>
              </w:rPr>
              <w:t>评标分项</w:t>
            </w:r>
          </w:p>
        </w:tc>
        <w:tc>
          <w:tcPr>
            <w:tcW w:w="851" w:type="dxa"/>
            <w:tcBorders>
              <w:top w:val="single" w:color="auto" w:sz="4" w:space="0"/>
              <w:left w:val="single" w:color="auto" w:sz="4" w:space="0"/>
              <w:bottom w:val="single" w:color="auto" w:sz="4" w:space="0"/>
              <w:right w:val="single" w:color="auto" w:sz="4" w:space="0"/>
            </w:tcBorders>
            <w:vAlign w:val="center"/>
          </w:tcPr>
          <w:p w14:paraId="0B36FC3B">
            <w:pPr>
              <w:jc w:val="center"/>
              <w:rPr>
                <w:rFonts w:ascii="Calibri" w:hAnsi="Calibri" w:eastAsia="宋体" w:cs="Times New Roman"/>
                <w:b/>
                <w:color w:val="auto"/>
                <w:highlight w:val="none"/>
              </w:rPr>
            </w:pPr>
            <w:r>
              <w:rPr>
                <w:rFonts w:hint="eastAsia" w:ascii="Calibri" w:hAnsi="Calibri" w:eastAsia="宋体" w:cs="Times New Roman"/>
                <w:b/>
                <w:color w:val="auto"/>
                <w:highlight w:val="none"/>
              </w:rPr>
              <w:t>分值</w:t>
            </w:r>
          </w:p>
        </w:tc>
        <w:tc>
          <w:tcPr>
            <w:tcW w:w="6633" w:type="dxa"/>
            <w:tcBorders>
              <w:top w:val="single" w:color="auto" w:sz="4" w:space="0"/>
              <w:left w:val="single" w:color="auto" w:sz="4" w:space="0"/>
              <w:bottom w:val="single" w:color="auto" w:sz="4" w:space="0"/>
              <w:right w:val="single" w:color="auto" w:sz="4" w:space="0"/>
            </w:tcBorders>
            <w:vAlign w:val="center"/>
          </w:tcPr>
          <w:p w14:paraId="7A531873">
            <w:pPr>
              <w:rPr>
                <w:rFonts w:ascii="Calibri" w:hAnsi="Calibri" w:eastAsia="宋体" w:cs="Times New Roman"/>
                <w:b/>
                <w:color w:val="auto"/>
                <w:highlight w:val="none"/>
              </w:rPr>
            </w:pPr>
            <w:r>
              <w:rPr>
                <w:rFonts w:hint="eastAsia" w:ascii="Calibri" w:hAnsi="Calibri" w:eastAsia="宋体" w:cs="Times New Roman"/>
                <w:b/>
                <w:color w:val="auto"/>
                <w:highlight w:val="none"/>
              </w:rPr>
              <w:t xml:space="preserve">                      评议打分细则</w:t>
            </w:r>
          </w:p>
        </w:tc>
      </w:tr>
      <w:tr w14:paraId="03DE8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101" w:type="dxa"/>
            <w:tcBorders>
              <w:top w:val="single" w:color="auto" w:sz="4" w:space="0"/>
              <w:left w:val="single" w:color="auto" w:sz="4" w:space="0"/>
              <w:bottom w:val="single" w:color="auto" w:sz="4" w:space="0"/>
              <w:right w:val="single" w:color="auto" w:sz="4" w:space="0"/>
            </w:tcBorders>
            <w:vAlign w:val="center"/>
          </w:tcPr>
          <w:p w14:paraId="2DE22892">
            <w:pPr>
              <w:jc w:val="center"/>
              <w:rPr>
                <w:rFonts w:ascii="Calibri" w:hAnsi="Calibri" w:eastAsia="宋体" w:cs="Times New Roman"/>
                <w:color w:val="auto"/>
                <w:highlight w:val="none"/>
              </w:rPr>
            </w:pPr>
            <w:r>
              <w:rPr>
                <w:rFonts w:hint="eastAsia" w:ascii="Calibri" w:hAnsi="Calibri" w:eastAsia="宋体" w:cs="Times New Roman"/>
                <w:color w:val="auto"/>
                <w:highlight w:val="none"/>
              </w:rPr>
              <w:t>报价部分（3</w:t>
            </w:r>
            <w:r>
              <w:rPr>
                <w:rFonts w:hint="eastAsia" w:ascii="Calibri" w:hAnsi="Calibri" w:eastAsia="宋体" w:cs="Times New Roman"/>
                <w:color w:val="auto"/>
                <w:highlight w:val="none"/>
                <w:lang w:val="en-US" w:eastAsia="zh-CN"/>
              </w:rPr>
              <w:t>0</w:t>
            </w:r>
            <w:r>
              <w:rPr>
                <w:rFonts w:hint="eastAsia" w:ascii="Calibri" w:hAnsi="Calibri" w:eastAsia="宋体" w:cs="Times New Roman"/>
                <w:color w:val="auto"/>
                <w:highlight w:val="none"/>
              </w:rPr>
              <w:t>分）</w:t>
            </w:r>
          </w:p>
        </w:tc>
        <w:tc>
          <w:tcPr>
            <w:tcW w:w="1162" w:type="dxa"/>
            <w:tcBorders>
              <w:top w:val="single" w:color="auto" w:sz="4" w:space="0"/>
              <w:left w:val="single" w:color="auto" w:sz="4" w:space="0"/>
              <w:bottom w:val="single" w:color="auto" w:sz="4" w:space="0"/>
              <w:right w:val="single" w:color="auto" w:sz="4" w:space="0"/>
            </w:tcBorders>
            <w:vAlign w:val="center"/>
          </w:tcPr>
          <w:p w14:paraId="151DE709">
            <w:pPr>
              <w:jc w:val="center"/>
              <w:rPr>
                <w:rFonts w:ascii="Calibri" w:hAnsi="Calibri" w:eastAsia="宋体" w:cs="Times New Roman"/>
                <w:color w:val="auto"/>
                <w:highlight w:val="none"/>
              </w:rPr>
            </w:pPr>
            <w:r>
              <w:rPr>
                <w:rFonts w:hint="eastAsia" w:ascii="Calibri" w:hAnsi="Calibri" w:eastAsia="宋体" w:cs="Times New Roman"/>
                <w:color w:val="auto"/>
                <w:highlight w:val="none"/>
              </w:rPr>
              <w:t>投标报价</w:t>
            </w:r>
          </w:p>
        </w:tc>
        <w:tc>
          <w:tcPr>
            <w:tcW w:w="851" w:type="dxa"/>
            <w:tcBorders>
              <w:top w:val="single" w:color="auto" w:sz="4" w:space="0"/>
              <w:left w:val="single" w:color="auto" w:sz="4" w:space="0"/>
              <w:bottom w:val="single" w:color="auto" w:sz="4" w:space="0"/>
              <w:right w:val="single" w:color="auto" w:sz="4" w:space="0"/>
            </w:tcBorders>
            <w:vAlign w:val="center"/>
          </w:tcPr>
          <w:p w14:paraId="0BE379D6">
            <w:pPr>
              <w:jc w:val="center"/>
              <w:rPr>
                <w:rFonts w:hint="eastAsia" w:ascii="Calibri" w:hAnsi="Calibri" w:eastAsia="宋体" w:cs="Times New Roman"/>
                <w:color w:val="auto"/>
                <w:highlight w:val="none"/>
                <w:lang w:val="en-US" w:eastAsia="zh-CN"/>
              </w:rPr>
            </w:pPr>
            <w:r>
              <w:rPr>
                <w:rFonts w:hint="eastAsia" w:ascii="Calibri" w:hAnsi="Calibri" w:eastAsia="宋体" w:cs="Times New Roman"/>
                <w:color w:val="auto"/>
                <w:highlight w:val="none"/>
              </w:rPr>
              <w:t>3</w:t>
            </w:r>
            <w:r>
              <w:rPr>
                <w:rFonts w:hint="eastAsia" w:ascii="Calibri" w:hAnsi="Calibri" w:eastAsia="宋体" w:cs="Times New Roman"/>
                <w:color w:val="auto"/>
                <w:highlight w:val="none"/>
                <w:lang w:val="en-US" w:eastAsia="zh-CN"/>
              </w:rPr>
              <w:t>0</w:t>
            </w:r>
          </w:p>
        </w:tc>
        <w:tc>
          <w:tcPr>
            <w:tcW w:w="6633" w:type="dxa"/>
            <w:tcBorders>
              <w:top w:val="single" w:color="auto" w:sz="4" w:space="0"/>
              <w:left w:val="single" w:color="auto" w:sz="4" w:space="0"/>
              <w:bottom w:val="single" w:color="auto" w:sz="4" w:space="0"/>
              <w:right w:val="single" w:color="auto" w:sz="4" w:space="0"/>
            </w:tcBorders>
            <w:vAlign w:val="center"/>
          </w:tcPr>
          <w:p w14:paraId="619617D6">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价格分采用低价优先法计算，即满足招标文件要求且评标报价最低的评标报价为评标基准价，其价格分为满分。其他投标人的价格分统一按照下列公式计算：投标报价得分=（评标基准价/评标报价）x30分</w:t>
            </w:r>
          </w:p>
          <w:p w14:paraId="5A387BF2">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注：价格分计算保留小数点后二位。</w:t>
            </w:r>
          </w:p>
          <w:p w14:paraId="661A81F9">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备注：根据财政部、工信部关于印发《政府采购促进中小企业发展管理办法》的通知（财库〔2020〕46号 ）文件规定：</w:t>
            </w:r>
          </w:p>
          <w:p w14:paraId="5CE5D29C">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（1）对小微企业报价给予20%扣除，请按照《政府采购促进中小企业发展管理办法》要求提供中小企业声明函。</w:t>
            </w:r>
          </w:p>
          <w:p w14:paraId="20B356DE">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（2）关于监狱企业：视同小微企业。须提供由省级以上监狱管理局、戒毒管理局（含新疆生产建设兵团）出具的属于监狱企业的证明文件，否则不考虑价格扣除。</w:t>
            </w:r>
          </w:p>
          <w:p w14:paraId="42807253">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58D551EE">
            <w:pPr>
              <w:rPr>
                <w:rFonts w:ascii="Calibri" w:hAnsi="Calibri" w:eastAsia="宋体" w:cs="Times New Roman"/>
                <w:color w:val="auto"/>
                <w:highlight w:val="none"/>
              </w:rPr>
            </w:pPr>
            <w:r>
              <w:rPr>
                <w:rFonts w:hint="eastAsia" w:ascii="宋体" w:hAnsi="宋体" w:eastAsia="宋体" w:cs="宋体"/>
                <w:bCs/>
                <w:color w:val="auto"/>
                <w:kern w:val="2"/>
                <w:sz w:val="21"/>
                <w:szCs w:val="21"/>
                <w:highlight w:val="none"/>
                <w:lang w:val="en-US" w:eastAsia="zh-CN" w:bidi="ar-SA"/>
              </w:rPr>
              <w:t>（4）没有提供有效证明材料的供应商将被视为不接受投标总价的扣除，用原投标总价参与评审。</w:t>
            </w:r>
          </w:p>
        </w:tc>
      </w:tr>
      <w:tr w14:paraId="1DAFC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101" w:type="dxa"/>
            <w:vMerge w:val="restart"/>
            <w:tcBorders>
              <w:left w:val="single" w:color="auto" w:sz="4" w:space="0"/>
              <w:right w:val="single" w:color="auto" w:sz="4" w:space="0"/>
            </w:tcBorders>
            <w:vAlign w:val="center"/>
          </w:tcPr>
          <w:p w14:paraId="0CC9E498">
            <w:pPr>
              <w:jc w:val="center"/>
              <w:rPr>
                <w:rFonts w:hint="eastAsia" w:ascii="Calibri" w:hAnsi="Calibri" w:eastAsia="宋体" w:cs="Times New Roman"/>
                <w:color w:val="auto"/>
                <w:highlight w:val="none"/>
                <w:lang w:val="en-US" w:eastAsia="zh-CN"/>
              </w:rPr>
            </w:pPr>
            <w:r>
              <w:rPr>
                <w:rFonts w:hint="eastAsia" w:ascii="Calibri" w:hAnsi="Calibri" w:eastAsia="宋体" w:cs="Times New Roman"/>
                <w:color w:val="auto"/>
                <w:highlight w:val="none"/>
                <w:lang w:val="en-US" w:eastAsia="zh-CN"/>
              </w:rPr>
              <w:t>商务部分</w:t>
            </w:r>
          </w:p>
          <w:p w14:paraId="453E1DCA">
            <w:pPr>
              <w:jc w:val="center"/>
              <w:rPr>
                <w:rFonts w:hint="eastAsia" w:ascii="Calibri" w:hAnsi="Calibri" w:eastAsia="宋体" w:cs="Times New Roman"/>
                <w:color w:val="auto"/>
                <w:highlight w:val="none"/>
                <w:lang w:val="en-US" w:eastAsia="zh-CN"/>
              </w:rPr>
            </w:pPr>
            <w:r>
              <w:rPr>
                <w:rFonts w:hint="eastAsia" w:ascii="Calibri" w:hAnsi="Calibri" w:eastAsia="宋体" w:cs="Times New Roman"/>
                <w:color w:val="auto"/>
                <w:highlight w:val="none"/>
                <w:lang w:val="en-US" w:eastAsia="zh-CN"/>
              </w:rPr>
              <w:t>（35分）</w:t>
            </w:r>
          </w:p>
        </w:tc>
        <w:tc>
          <w:tcPr>
            <w:tcW w:w="1162" w:type="dxa"/>
            <w:tcBorders>
              <w:top w:val="single" w:color="auto" w:sz="4" w:space="0"/>
              <w:left w:val="single" w:color="auto" w:sz="4" w:space="0"/>
              <w:right w:val="single" w:color="auto" w:sz="4" w:space="0"/>
            </w:tcBorders>
            <w:vAlign w:val="center"/>
          </w:tcPr>
          <w:p w14:paraId="25AC9AA3">
            <w:pPr>
              <w:jc w:val="center"/>
              <w:rPr>
                <w:color w:val="auto"/>
                <w:highlight w:val="none"/>
              </w:rPr>
            </w:pPr>
            <w:r>
              <w:rPr>
                <w:rFonts w:hint="eastAsia" w:ascii="宋体" w:hAnsi="宋体" w:cs="宋体"/>
                <w:color w:val="auto"/>
                <w:kern w:val="0"/>
                <w:szCs w:val="21"/>
              </w:rPr>
              <w:t>项目实施</w:t>
            </w:r>
          </w:p>
        </w:tc>
        <w:tc>
          <w:tcPr>
            <w:tcW w:w="851" w:type="dxa"/>
            <w:tcBorders>
              <w:left w:val="single" w:color="auto" w:sz="4" w:space="0"/>
              <w:right w:val="single" w:color="auto" w:sz="4" w:space="0"/>
            </w:tcBorders>
            <w:vAlign w:val="center"/>
          </w:tcPr>
          <w:p w14:paraId="3B0C16F7">
            <w:pPr>
              <w:jc w:val="center"/>
              <w:rPr>
                <w:rFonts w:hint="default" w:ascii="Calibri" w:hAnsi="Calibri" w:eastAsia="宋体" w:cs="Times New Roman"/>
                <w:color w:val="auto"/>
                <w:highlight w:val="none"/>
                <w:lang w:val="en-US" w:eastAsia="zh-CN"/>
              </w:rPr>
            </w:pPr>
            <w:r>
              <w:rPr>
                <w:rFonts w:hint="eastAsia" w:ascii="Calibri" w:hAnsi="Calibri" w:eastAsia="宋体" w:cs="Times New Roman"/>
                <w:color w:val="auto"/>
                <w:highlight w:val="none"/>
                <w:lang w:val="en-US" w:eastAsia="zh-CN"/>
              </w:rPr>
              <w:t>5</w:t>
            </w:r>
          </w:p>
        </w:tc>
        <w:tc>
          <w:tcPr>
            <w:tcW w:w="6633" w:type="dxa"/>
            <w:tcBorders>
              <w:left w:val="single" w:color="auto" w:sz="4" w:space="0"/>
              <w:right w:val="single" w:color="auto" w:sz="4" w:space="0"/>
            </w:tcBorders>
            <w:vAlign w:val="center"/>
          </w:tcPr>
          <w:p w14:paraId="55B92228">
            <w:pPr>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提供项目实施方案（包括</w:t>
            </w:r>
            <w:r>
              <w:rPr>
                <w:rFonts w:hint="eastAsia" w:ascii="宋体" w:hAnsi="宋体" w:cs="Times New Roman"/>
                <w:color w:val="auto"/>
                <w:szCs w:val="21"/>
                <w:highlight w:val="none"/>
                <w:lang w:val="en-US" w:eastAsia="zh-CN"/>
              </w:rPr>
              <w:t>但</w:t>
            </w:r>
            <w:r>
              <w:rPr>
                <w:rFonts w:hint="eastAsia" w:ascii="宋体" w:hAnsi="宋体" w:eastAsia="宋体" w:cs="Times New Roman"/>
                <w:color w:val="auto"/>
                <w:szCs w:val="21"/>
                <w:highlight w:val="none"/>
              </w:rPr>
              <w:t>不限于实施进度及保证措施、人员配置、安装工艺、质量保证、技术培训、验收要求等内容）</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每有一项不满足扣2分</w:t>
            </w:r>
            <w:r>
              <w:rPr>
                <w:rFonts w:hint="eastAsia" w:ascii="宋体" w:hAnsi="宋体" w:cs="Times New Roman"/>
                <w:color w:val="auto"/>
                <w:szCs w:val="21"/>
                <w:highlight w:val="none"/>
                <w:lang w:val="en-US" w:eastAsia="zh-CN"/>
              </w:rPr>
              <w:t>，</w:t>
            </w:r>
            <w:r>
              <w:rPr>
                <w:rFonts w:hint="eastAsia" w:ascii="宋体" w:hAnsi="宋体" w:eastAsia="宋体" w:cs="Times New Roman"/>
                <w:color w:val="auto"/>
                <w:szCs w:val="21"/>
                <w:highlight w:val="none"/>
                <w:lang w:val="en-US" w:eastAsia="zh-CN"/>
              </w:rPr>
              <w:t>扣完为止</w:t>
            </w:r>
            <w:r>
              <w:rPr>
                <w:rFonts w:hint="eastAsia" w:ascii="宋体" w:hAnsi="宋体" w:eastAsia="宋体" w:cs="Times New Roman"/>
                <w:color w:val="auto"/>
                <w:szCs w:val="21"/>
                <w:highlight w:val="none"/>
              </w:rPr>
              <w:t>。</w:t>
            </w:r>
          </w:p>
        </w:tc>
      </w:tr>
      <w:tr w14:paraId="07F8C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101" w:type="dxa"/>
            <w:vMerge w:val="continue"/>
            <w:tcBorders>
              <w:left w:val="single" w:color="auto" w:sz="4" w:space="0"/>
              <w:right w:val="single" w:color="auto" w:sz="4" w:space="0"/>
            </w:tcBorders>
            <w:vAlign w:val="center"/>
          </w:tcPr>
          <w:p w14:paraId="5153AC1D">
            <w:pPr>
              <w:jc w:val="center"/>
              <w:rPr>
                <w:rFonts w:hint="eastAsia" w:ascii="Calibri" w:hAnsi="Calibri" w:eastAsia="宋体" w:cs="Times New Roman"/>
                <w:color w:val="auto"/>
                <w:highlight w:val="none"/>
                <w:lang w:val="en-US" w:eastAsia="zh-CN"/>
              </w:rPr>
            </w:pPr>
          </w:p>
        </w:tc>
        <w:tc>
          <w:tcPr>
            <w:tcW w:w="1162" w:type="dxa"/>
            <w:tcBorders>
              <w:top w:val="single" w:color="auto" w:sz="4" w:space="0"/>
              <w:left w:val="single" w:color="auto" w:sz="4" w:space="0"/>
              <w:right w:val="single" w:color="auto" w:sz="4" w:space="0"/>
            </w:tcBorders>
            <w:vAlign w:val="center"/>
          </w:tcPr>
          <w:p w14:paraId="394C2455">
            <w:pPr>
              <w:jc w:val="center"/>
              <w:rPr>
                <w:rFonts w:ascii="Calibri" w:hAnsi="Calibri" w:eastAsia="宋体" w:cs="Times New Roman"/>
                <w:color w:val="auto"/>
                <w:highlight w:val="none"/>
              </w:rPr>
            </w:pPr>
            <w:r>
              <w:rPr>
                <w:color w:val="auto"/>
                <w:highlight w:val="none"/>
              </w:rPr>
              <w:t>售后维护</w:t>
            </w:r>
          </w:p>
        </w:tc>
        <w:tc>
          <w:tcPr>
            <w:tcW w:w="851" w:type="dxa"/>
            <w:tcBorders>
              <w:left w:val="single" w:color="auto" w:sz="4" w:space="0"/>
              <w:right w:val="single" w:color="auto" w:sz="4" w:space="0"/>
            </w:tcBorders>
            <w:vAlign w:val="center"/>
          </w:tcPr>
          <w:p w14:paraId="391B0D0D">
            <w:pPr>
              <w:jc w:val="center"/>
              <w:rPr>
                <w:rFonts w:hint="default" w:ascii="Calibri" w:hAnsi="Calibri" w:eastAsia="宋体" w:cs="Times New Roman"/>
                <w:color w:val="auto"/>
                <w:highlight w:val="none"/>
                <w:lang w:val="en-US" w:eastAsia="zh-CN"/>
              </w:rPr>
            </w:pPr>
            <w:r>
              <w:rPr>
                <w:rFonts w:hint="eastAsia" w:ascii="Calibri" w:hAnsi="Calibri" w:eastAsia="宋体" w:cs="Times New Roman"/>
                <w:color w:val="auto"/>
                <w:highlight w:val="none"/>
                <w:lang w:val="en-US" w:eastAsia="zh-CN"/>
              </w:rPr>
              <w:t>10</w:t>
            </w:r>
          </w:p>
        </w:tc>
        <w:tc>
          <w:tcPr>
            <w:tcW w:w="6633" w:type="dxa"/>
            <w:tcBorders>
              <w:left w:val="single" w:color="auto" w:sz="4" w:space="0"/>
              <w:right w:val="single" w:color="auto" w:sz="4" w:space="0"/>
            </w:tcBorders>
            <w:vAlign w:val="center"/>
          </w:tcPr>
          <w:p w14:paraId="503B66A3">
            <w:pPr>
              <w:rPr>
                <w:rFonts w:ascii="宋体" w:hAnsi="宋体" w:eastAsia="宋体" w:cs="Times New Roman"/>
                <w:color w:val="auto"/>
                <w:szCs w:val="21"/>
                <w:highlight w:val="none"/>
              </w:rPr>
            </w:pPr>
            <w:r>
              <w:rPr>
                <w:rFonts w:hint="eastAsia" w:ascii="宋体" w:hAnsi="宋体" w:cs="Times New Roman"/>
                <w:color w:val="auto"/>
                <w:szCs w:val="21"/>
                <w:highlight w:val="none"/>
                <w:lang w:val="en-US" w:eastAsia="zh-CN"/>
              </w:rPr>
              <w:t>提供</w:t>
            </w:r>
            <w:r>
              <w:rPr>
                <w:rFonts w:hint="eastAsia" w:ascii="宋体" w:hAnsi="宋体" w:eastAsia="宋体" w:cs="Times New Roman"/>
                <w:color w:val="auto"/>
                <w:szCs w:val="21"/>
                <w:highlight w:val="none"/>
              </w:rPr>
              <w:t>售后服务承诺（</w:t>
            </w:r>
            <w:r>
              <w:rPr>
                <w:rFonts w:hint="eastAsia" w:ascii="宋体" w:hAnsi="宋体" w:cs="Times New Roman"/>
                <w:color w:val="auto"/>
                <w:szCs w:val="21"/>
                <w:highlight w:val="none"/>
                <w:lang w:val="en-US" w:eastAsia="zh-CN"/>
              </w:rPr>
              <w:t>包括但不限于</w:t>
            </w:r>
            <w:r>
              <w:rPr>
                <w:rFonts w:hint="eastAsia" w:ascii="宋体" w:hAnsi="宋体" w:eastAsia="宋体" w:cs="Times New Roman"/>
                <w:color w:val="auto"/>
                <w:szCs w:val="21"/>
                <w:highlight w:val="none"/>
              </w:rPr>
              <w:t>免费保修期、交付使用期、到达故障时间、解决故障时间、替代品）等</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每有一项不满足扣2分，扣完为止</w:t>
            </w:r>
            <w:r>
              <w:rPr>
                <w:rFonts w:hint="eastAsia" w:ascii="宋体" w:hAnsi="宋体" w:eastAsia="宋体" w:cs="Times New Roman"/>
                <w:color w:val="auto"/>
                <w:szCs w:val="21"/>
                <w:highlight w:val="none"/>
                <w:lang w:eastAsia="zh-CN"/>
              </w:rPr>
              <w:t>。</w:t>
            </w:r>
          </w:p>
        </w:tc>
      </w:tr>
      <w:tr w14:paraId="37FAA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101" w:type="dxa"/>
            <w:vMerge w:val="continue"/>
            <w:tcBorders>
              <w:left w:val="single" w:color="auto" w:sz="4" w:space="0"/>
              <w:right w:val="single" w:color="auto" w:sz="4" w:space="0"/>
            </w:tcBorders>
            <w:vAlign w:val="center"/>
          </w:tcPr>
          <w:p w14:paraId="0D3E9600">
            <w:pPr>
              <w:jc w:val="center"/>
              <w:rPr>
                <w:rFonts w:ascii="Calibri" w:hAnsi="Calibri" w:eastAsia="宋体" w:cs="Times New Roman"/>
                <w:color w:val="auto"/>
                <w:highlight w:val="none"/>
              </w:rPr>
            </w:pPr>
          </w:p>
        </w:tc>
        <w:tc>
          <w:tcPr>
            <w:tcW w:w="1162" w:type="dxa"/>
            <w:vMerge w:val="restart"/>
            <w:tcBorders>
              <w:top w:val="single" w:color="auto" w:sz="4" w:space="0"/>
              <w:left w:val="single" w:color="auto" w:sz="4" w:space="0"/>
              <w:right w:val="single" w:color="auto" w:sz="4" w:space="0"/>
            </w:tcBorders>
            <w:vAlign w:val="center"/>
          </w:tcPr>
          <w:p w14:paraId="02A7A14E">
            <w:pPr>
              <w:jc w:val="center"/>
              <w:rPr>
                <w:rFonts w:ascii="Calibri" w:hAnsi="Calibri" w:eastAsia="宋体" w:cs="Times New Roman"/>
                <w:color w:val="auto"/>
                <w:highlight w:val="none"/>
              </w:rPr>
            </w:pPr>
            <w:r>
              <w:rPr>
                <w:rFonts w:hint="eastAsia" w:ascii="Calibri" w:hAnsi="Calibri" w:eastAsia="宋体" w:cs="Times New Roman"/>
                <w:color w:val="auto"/>
                <w:highlight w:val="none"/>
              </w:rPr>
              <w:t>产品质量与品质</w:t>
            </w:r>
          </w:p>
        </w:tc>
        <w:tc>
          <w:tcPr>
            <w:tcW w:w="851" w:type="dxa"/>
            <w:vMerge w:val="restart"/>
            <w:tcBorders>
              <w:left w:val="single" w:color="auto" w:sz="4" w:space="0"/>
              <w:right w:val="single" w:color="auto" w:sz="4" w:space="0"/>
            </w:tcBorders>
            <w:vAlign w:val="center"/>
          </w:tcPr>
          <w:p w14:paraId="326205C2">
            <w:pPr>
              <w:jc w:val="center"/>
              <w:rPr>
                <w:rFonts w:hint="default" w:ascii="Calibri" w:hAnsi="Calibri" w:eastAsia="宋体" w:cs="Times New Roman"/>
                <w:color w:val="auto"/>
                <w:highlight w:val="none"/>
                <w:lang w:val="en-US" w:eastAsia="zh-CN"/>
              </w:rPr>
            </w:pPr>
            <w:r>
              <w:rPr>
                <w:rFonts w:hint="eastAsia" w:ascii="Calibri" w:hAnsi="Calibri" w:eastAsia="宋体" w:cs="Times New Roman"/>
                <w:color w:val="auto"/>
                <w:highlight w:val="none"/>
                <w:lang w:val="en-US" w:eastAsia="zh-CN"/>
              </w:rPr>
              <w:t>20</w:t>
            </w:r>
          </w:p>
        </w:tc>
        <w:tc>
          <w:tcPr>
            <w:tcW w:w="6633" w:type="dxa"/>
            <w:tcBorders>
              <w:left w:val="single" w:color="auto" w:sz="4" w:space="0"/>
              <w:right w:val="single" w:color="auto" w:sz="4" w:space="0"/>
            </w:tcBorders>
            <w:vAlign w:val="center"/>
          </w:tcPr>
          <w:p w14:paraId="4A2404CF">
            <w:pPr>
              <w:rPr>
                <w:rFonts w:hint="default" w:ascii="Calibri" w:hAnsi="Calibri" w:cs="Times New Roman" w:eastAsiaTheme="minorEastAsia"/>
                <w:color w:val="auto"/>
                <w:highlight w:val="none"/>
                <w:lang w:val="en-US" w:eastAsia="zh-CN"/>
              </w:rPr>
            </w:pPr>
            <w:r>
              <w:rPr>
                <w:rFonts w:hint="eastAsia" w:ascii="Calibri" w:hAnsi="Calibri" w:eastAsia="宋体" w:cs="Times New Roman"/>
                <w:color w:val="auto"/>
                <w:highlight w:val="none"/>
                <w:lang w:val="en-US" w:eastAsia="zh-CN"/>
              </w:rPr>
              <w:t>1</w:t>
            </w:r>
            <w:r>
              <w:rPr>
                <w:rFonts w:hint="eastAsia" w:ascii="Calibri" w:hAnsi="Calibri" w:eastAsia="宋体" w:cs="Times New Roman"/>
                <w:color w:val="auto"/>
                <w:highlight w:val="none"/>
              </w:rPr>
              <w:t>、</w:t>
            </w:r>
            <w:r>
              <w:rPr>
                <w:rFonts w:hint="eastAsia" w:ascii="宋体" w:hAnsi="宋体" w:eastAsia="宋体" w:cs="Times New Roman"/>
                <w:color w:val="auto"/>
                <w:szCs w:val="21"/>
                <w:highlight w:val="none"/>
              </w:rPr>
              <w:t>为确保产品可获得本地化、体系化的及时售后服务，所投</w:t>
            </w:r>
            <w:r>
              <w:rPr>
                <w:rFonts w:hint="eastAsia" w:asciiTheme="minorEastAsia" w:hAnsiTheme="minorEastAsia" w:cstheme="minorEastAsia"/>
                <w:b w:val="0"/>
                <w:bCs/>
                <w:color w:val="auto"/>
                <w:sz w:val="21"/>
                <w:szCs w:val="21"/>
                <w:highlight w:val="none"/>
                <w:lang w:val="en-US" w:eastAsia="zh-CN"/>
              </w:rPr>
              <w:t>多媒体设备</w:t>
            </w:r>
            <w:r>
              <w:rPr>
                <w:rFonts w:hint="eastAsia" w:ascii="宋体" w:hAnsi="宋体" w:eastAsia="宋体" w:cs="Times New Roman"/>
                <w:color w:val="auto"/>
                <w:szCs w:val="21"/>
                <w:highlight w:val="none"/>
              </w:rPr>
              <w:t>制造商须具有售后服务</w:t>
            </w:r>
            <w:r>
              <w:rPr>
                <w:rFonts w:hint="eastAsia" w:ascii="宋体" w:hAnsi="宋体" w:eastAsia="宋体" w:cs="Times New Roman"/>
                <w:color w:val="auto"/>
                <w:szCs w:val="21"/>
                <w:highlight w:val="none"/>
                <w:lang w:val="en-US" w:eastAsia="zh-CN"/>
              </w:rPr>
              <w:t>评价体系</w:t>
            </w:r>
            <w:r>
              <w:rPr>
                <w:rFonts w:hint="eastAsia" w:ascii="宋体" w:hAnsi="宋体" w:eastAsia="宋体" w:cs="Times New Roman"/>
                <w:color w:val="auto"/>
                <w:szCs w:val="21"/>
                <w:highlight w:val="none"/>
              </w:rPr>
              <w:t>证书，服务能力达到GB/T 27922-2011 标准规定的</w:t>
            </w:r>
            <w:r>
              <w:rPr>
                <w:rFonts w:hint="eastAsia" w:ascii="宋体" w:hAnsi="宋体" w:eastAsia="宋体" w:cs="Times New Roman"/>
                <w:color w:val="auto"/>
                <w:szCs w:val="21"/>
                <w:highlight w:val="none"/>
                <w:lang w:val="en-US" w:eastAsia="zh-CN"/>
              </w:rPr>
              <w:t>五</w:t>
            </w:r>
            <w:r>
              <w:rPr>
                <w:rFonts w:hint="eastAsia" w:ascii="宋体" w:hAnsi="宋体" w:eastAsia="宋体" w:cs="Times New Roman"/>
                <w:color w:val="auto"/>
                <w:szCs w:val="21"/>
                <w:highlight w:val="none"/>
              </w:rPr>
              <w:t>星级，</w:t>
            </w:r>
            <w:r>
              <w:rPr>
                <w:rFonts w:hint="eastAsia" w:ascii="宋体" w:hAnsi="宋体" w:eastAsia="宋体" w:cs="宋体"/>
                <w:bCs/>
                <w:color w:val="auto"/>
                <w:kern w:val="0"/>
                <w:sz w:val="21"/>
                <w:szCs w:val="21"/>
                <w:lang w:val="en-US" w:eastAsia="zh-CN"/>
              </w:rPr>
              <w:t>得4分</w:t>
            </w:r>
            <w:r>
              <w:rPr>
                <w:rFonts w:hint="eastAsia" w:ascii="Calibri" w:hAnsi="Calibri" w:eastAsia="宋体" w:cs="Times New Roman"/>
                <w:color w:val="auto"/>
                <w:highlight w:val="none"/>
              </w:rPr>
              <w:t>，不</w:t>
            </w:r>
            <w:r>
              <w:rPr>
                <w:rFonts w:hint="eastAsia" w:ascii="Calibri" w:hAnsi="Calibri" w:eastAsia="宋体" w:cs="Times New Roman"/>
                <w:color w:val="auto"/>
                <w:highlight w:val="none"/>
                <w:lang w:val="en-US" w:eastAsia="zh-CN"/>
              </w:rPr>
              <w:t>提供</w:t>
            </w:r>
            <w:r>
              <w:rPr>
                <w:rFonts w:hint="eastAsia" w:ascii="Calibri" w:hAnsi="Calibri" w:eastAsia="宋体" w:cs="Times New Roman"/>
                <w:color w:val="auto"/>
                <w:highlight w:val="none"/>
              </w:rPr>
              <w:t>不得分</w:t>
            </w:r>
            <w:r>
              <w:rPr>
                <w:rFonts w:hint="eastAsia" w:ascii="宋体" w:hAnsi="宋体" w:eastAsia="宋体" w:cs="Times New Roman"/>
                <w:color w:val="auto"/>
                <w:szCs w:val="21"/>
                <w:highlight w:val="none"/>
              </w:rPr>
              <w:t>。</w:t>
            </w:r>
            <w:r>
              <w:rPr>
                <w:rFonts w:hint="eastAsia" w:ascii="Calibri" w:hAnsi="Calibri" w:eastAsia="宋体" w:cs="Times New Roman"/>
                <w:color w:val="auto"/>
                <w:highlight w:val="none"/>
                <w:lang w:val="en-US" w:eastAsia="zh-CN"/>
              </w:rPr>
              <w:t>（提供认证证书复印件加盖公章）</w:t>
            </w:r>
          </w:p>
          <w:p w14:paraId="3C8CE3A7">
            <w:pPr>
              <w:rPr>
                <w:rFonts w:hint="eastAsia" w:ascii="Calibri" w:hAnsi="Calibri" w:eastAsia="宋体" w:cs="Times New Roman"/>
                <w:color w:val="auto"/>
                <w:highlight w:val="none"/>
                <w:lang w:eastAsia="zh-CN"/>
              </w:rPr>
            </w:pPr>
            <w:r>
              <w:rPr>
                <w:rFonts w:hint="eastAsia" w:ascii="Calibri" w:hAnsi="Calibri" w:eastAsia="宋体" w:cs="Times New Roman"/>
                <w:color w:val="auto"/>
                <w:highlight w:val="none"/>
                <w:lang w:val="en-US" w:eastAsia="zh-CN"/>
              </w:rPr>
              <w:t>2</w:t>
            </w:r>
            <w:r>
              <w:rPr>
                <w:rFonts w:hint="eastAsia" w:ascii="Calibri" w:hAnsi="Calibri" w:eastAsia="宋体" w:cs="Times New Roman"/>
                <w:color w:val="auto"/>
                <w:highlight w:val="none"/>
              </w:rPr>
              <w:t>、</w:t>
            </w:r>
            <w:r>
              <w:rPr>
                <w:rFonts w:hint="eastAsia" w:asciiTheme="minorEastAsia" w:hAnsiTheme="minorEastAsia" w:eastAsiaTheme="minorEastAsia"/>
                <w:color w:val="auto"/>
                <w:kern w:val="0"/>
                <w:szCs w:val="21"/>
                <w:highlight w:val="none"/>
              </w:rPr>
              <w:t>所投</w:t>
            </w:r>
            <w:r>
              <w:rPr>
                <w:rFonts w:hint="eastAsia" w:asciiTheme="minorEastAsia" w:hAnsiTheme="minorEastAsia" w:cstheme="minorEastAsia"/>
                <w:b w:val="0"/>
                <w:bCs/>
                <w:color w:val="auto"/>
                <w:sz w:val="21"/>
                <w:szCs w:val="21"/>
                <w:highlight w:val="none"/>
                <w:lang w:val="en-US" w:eastAsia="zh-CN"/>
              </w:rPr>
              <w:t>多媒体设备</w:t>
            </w:r>
            <w:r>
              <w:rPr>
                <w:rFonts w:hint="eastAsia" w:asciiTheme="minorEastAsia" w:hAnsiTheme="minorEastAsia" w:eastAsiaTheme="minorEastAsia"/>
                <w:color w:val="auto"/>
                <w:kern w:val="0"/>
                <w:szCs w:val="21"/>
                <w:highlight w:val="none"/>
              </w:rPr>
              <w:t>制造商通过ITSS信息技术服务标准运行维护三级及以上，</w:t>
            </w:r>
            <w:r>
              <w:rPr>
                <w:rFonts w:hint="eastAsia" w:ascii="宋体" w:hAnsi="宋体" w:eastAsia="宋体" w:cs="宋体"/>
                <w:bCs/>
                <w:color w:val="auto"/>
                <w:kern w:val="0"/>
                <w:sz w:val="21"/>
                <w:szCs w:val="21"/>
                <w:lang w:val="en-US" w:eastAsia="zh-CN"/>
              </w:rPr>
              <w:t>得4分</w:t>
            </w:r>
            <w:r>
              <w:rPr>
                <w:rFonts w:hint="eastAsia" w:ascii="Calibri" w:hAnsi="Calibri" w:eastAsia="宋体" w:cs="Times New Roman"/>
                <w:color w:val="auto"/>
                <w:highlight w:val="none"/>
              </w:rPr>
              <w:t>，不</w:t>
            </w:r>
            <w:r>
              <w:rPr>
                <w:rFonts w:hint="eastAsia" w:ascii="Calibri" w:hAnsi="Calibri" w:eastAsia="宋体" w:cs="Times New Roman"/>
                <w:color w:val="auto"/>
                <w:highlight w:val="none"/>
                <w:lang w:val="en-US" w:eastAsia="zh-CN"/>
              </w:rPr>
              <w:t>提供</w:t>
            </w:r>
            <w:r>
              <w:rPr>
                <w:rFonts w:hint="eastAsia" w:ascii="Calibri" w:hAnsi="Calibri" w:eastAsia="宋体" w:cs="Times New Roman"/>
                <w:color w:val="auto"/>
                <w:highlight w:val="none"/>
              </w:rPr>
              <w:t>不得分</w:t>
            </w:r>
            <w:r>
              <w:rPr>
                <w:rFonts w:hint="eastAsia" w:ascii="宋体" w:hAnsi="宋体" w:eastAsia="宋体" w:cs="Times New Roman"/>
                <w:color w:val="auto"/>
                <w:szCs w:val="21"/>
                <w:highlight w:val="none"/>
              </w:rPr>
              <w:t>。</w:t>
            </w:r>
            <w:r>
              <w:rPr>
                <w:rFonts w:hint="eastAsia"/>
                <w:color w:val="auto"/>
                <w:highlight w:val="none"/>
                <w:lang w:val="en-US" w:eastAsia="zh-CN"/>
              </w:rPr>
              <w:t>（提供相关证明文件复印件加盖公章）</w:t>
            </w:r>
          </w:p>
          <w:p w14:paraId="28B830F3">
            <w:pPr>
              <w:rPr>
                <w:rFonts w:ascii="Calibri" w:hAnsi="Calibri" w:eastAsia="宋体" w:cs="Times New Roman"/>
                <w:color w:val="auto"/>
                <w:highlight w:val="none"/>
              </w:rPr>
            </w:pPr>
            <w:r>
              <w:rPr>
                <w:rFonts w:hint="eastAsia" w:ascii="Calibri" w:hAnsi="Calibri" w:eastAsia="宋体" w:cs="Times New Roman"/>
                <w:color w:val="auto"/>
                <w:highlight w:val="none"/>
                <w:lang w:val="en-US" w:eastAsia="zh-CN"/>
              </w:rPr>
              <w:t>3</w:t>
            </w:r>
            <w:r>
              <w:rPr>
                <w:rFonts w:hint="eastAsia" w:ascii="Calibri" w:hAnsi="Calibri" w:eastAsia="宋体" w:cs="Times New Roman"/>
                <w:color w:val="auto"/>
                <w:highlight w:val="none"/>
              </w:rPr>
              <w:t>、所投</w:t>
            </w:r>
            <w:r>
              <w:rPr>
                <w:rFonts w:hint="eastAsia" w:asciiTheme="minorEastAsia" w:hAnsiTheme="minorEastAsia" w:cstheme="minorEastAsia"/>
                <w:b w:val="0"/>
                <w:bCs/>
                <w:color w:val="auto"/>
                <w:sz w:val="21"/>
                <w:szCs w:val="21"/>
                <w:highlight w:val="none"/>
                <w:lang w:val="en-US" w:eastAsia="zh-CN"/>
              </w:rPr>
              <w:t>多媒体设备</w:t>
            </w:r>
            <w:r>
              <w:rPr>
                <w:rFonts w:hint="eastAsia" w:ascii="Calibri" w:hAnsi="Calibri" w:eastAsia="宋体" w:cs="Times New Roman"/>
                <w:color w:val="auto"/>
                <w:highlight w:val="none"/>
              </w:rPr>
              <w:t>制造商通过SPCA软件能力成熟度模型认证并达到5级要求，</w:t>
            </w:r>
            <w:r>
              <w:rPr>
                <w:rFonts w:hint="eastAsia" w:ascii="宋体" w:hAnsi="宋体" w:eastAsia="宋体" w:cs="宋体"/>
                <w:bCs/>
                <w:color w:val="auto"/>
                <w:kern w:val="0"/>
                <w:sz w:val="21"/>
                <w:szCs w:val="21"/>
                <w:lang w:val="en-US" w:eastAsia="zh-CN"/>
              </w:rPr>
              <w:t>得4分，</w:t>
            </w:r>
            <w:r>
              <w:rPr>
                <w:rFonts w:hint="eastAsia" w:ascii="Calibri" w:hAnsi="Calibri" w:eastAsia="宋体" w:cs="Times New Roman"/>
                <w:color w:val="auto"/>
                <w:highlight w:val="none"/>
              </w:rPr>
              <w:t>不</w:t>
            </w:r>
            <w:r>
              <w:rPr>
                <w:rFonts w:hint="eastAsia" w:ascii="Calibri" w:hAnsi="Calibri" w:eastAsia="宋体" w:cs="Times New Roman"/>
                <w:color w:val="auto"/>
                <w:highlight w:val="none"/>
                <w:lang w:val="en-US" w:eastAsia="zh-CN"/>
              </w:rPr>
              <w:t>提供</w:t>
            </w:r>
            <w:r>
              <w:rPr>
                <w:rFonts w:hint="eastAsia" w:ascii="Calibri" w:hAnsi="Calibri" w:eastAsia="宋体" w:cs="Times New Roman"/>
                <w:color w:val="auto"/>
                <w:highlight w:val="none"/>
              </w:rPr>
              <w:t>不得分。（提供认证证书复印件加盖公章）</w:t>
            </w:r>
          </w:p>
          <w:p w14:paraId="7588677C">
            <w:pPr>
              <w:rPr>
                <w:rFonts w:hint="eastAsia" w:ascii="Calibri" w:hAnsi="Calibri" w:eastAsia="宋体" w:cs="Times New Roman"/>
                <w:color w:val="auto"/>
                <w:highlight w:val="none"/>
              </w:rPr>
            </w:pPr>
            <w:r>
              <w:rPr>
                <w:rFonts w:hint="eastAsia" w:ascii="Calibri" w:hAnsi="Calibri" w:eastAsia="宋体" w:cs="Times New Roman"/>
                <w:color w:val="auto"/>
                <w:highlight w:val="none"/>
                <w:lang w:val="en-US" w:eastAsia="zh-CN"/>
              </w:rPr>
              <w:t>4</w:t>
            </w:r>
            <w:r>
              <w:rPr>
                <w:rFonts w:hint="eastAsia" w:ascii="Calibri" w:hAnsi="Calibri" w:eastAsia="宋体" w:cs="Times New Roman"/>
                <w:color w:val="auto"/>
                <w:highlight w:val="none"/>
              </w:rPr>
              <w:t>、所投</w:t>
            </w:r>
            <w:r>
              <w:rPr>
                <w:rFonts w:hint="eastAsia" w:asciiTheme="minorEastAsia" w:hAnsiTheme="minorEastAsia" w:cstheme="minorEastAsia"/>
                <w:b w:val="0"/>
                <w:bCs/>
                <w:color w:val="auto"/>
                <w:sz w:val="21"/>
                <w:szCs w:val="21"/>
                <w:highlight w:val="none"/>
                <w:lang w:val="en-US" w:eastAsia="zh-CN"/>
              </w:rPr>
              <w:t>多媒体设备</w:t>
            </w:r>
            <w:r>
              <w:rPr>
                <w:rFonts w:hint="eastAsia" w:ascii="Calibri" w:hAnsi="Calibri" w:eastAsia="宋体" w:cs="Times New Roman"/>
                <w:color w:val="auto"/>
                <w:highlight w:val="none"/>
              </w:rPr>
              <w:t>制造商响应国家节能政策，依据国标GB/T 23331-2020建立并具备ISO 50001能源管理体系认证证书</w:t>
            </w:r>
            <w:r>
              <w:rPr>
                <w:rFonts w:hint="eastAsia" w:ascii="Calibri" w:hAnsi="Calibri" w:eastAsia="宋体" w:cs="Times New Roman"/>
                <w:color w:val="auto"/>
                <w:highlight w:val="none"/>
                <w:lang w:eastAsia="zh-CN"/>
              </w:rPr>
              <w:t>，</w:t>
            </w:r>
            <w:r>
              <w:rPr>
                <w:rFonts w:hint="eastAsia" w:ascii="Calibri" w:hAnsi="Calibri" w:eastAsia="宋体" w:cs="Times New Roman"/>
                <w:color w:val="auto"/>
                <w:highlight w:val="none"/>
              </w:rPr>
              <w:t>得</w:t>
            </w:r>
            <w:r>
              <w:rPr>
                <w:rFonts w:hint="eastAsia" w:ascii="Calibri" w:hAnsi="Calibri" w:eastAsia="宋体" w:cs="Times New Roman"/>
                <w:color w:val="auto"/>
                <w:highlight w:val="none"/>
                <w:lang w:val="en-US" w:eastAsia="zh-CN"/>
              </w:rPr>
              <w:t>4</w:t>
            </w:r>
            <w:r>
              <w:rPr>
                <w:rFonts w:hint="eastAsia" w:ascii="Calibri" w:hAnsi="Calibri" w:eastAsia="宋体" w:cs="Times New Roman"/>
                <w:color w:val="auto"/>
                <w:highlight w:val="none"/>
              </w:rPr>
              <w:t>分，不</w:t>
            </w:r>
            <w:r>
              <w:rPr>
                <w:rFonts w:hint="eastAsia" w:ascii="Calibri" w:hAnsi="Calibri" w:eastAsia="宋体" w:cs="Times New Roman"/>
                <w:color w:val="auto"/>
                <w:highlight w:val="none"/>
                <w:lang w:val="en-US" w:eastAsia="zh-CN"/>
              </w:rPr>
              <w:t>提供</w:t>
            </w:r>
            <w:r>
              <w:rPr>
                <w:rFonts w:hint="eastAsia" w:ascii="Calibri" w:hAnsi="Calibri" w:eastAsia="宋体" w:cs="Times New Roman"/>
                <w:color w:val="auto"/>
                <w:highlight w:val="none"/>
              </w:rPr>
              <w:t>不得分。（提供认证证书复印件加盖公章，提供全国认证认可信息公共服务平台：http://cx.cnca.cn/查询结果截图证明）。</w:t>
            </w:r>
          </w:p>
          <w:p w14:paraId="792707CB">
            <w:pPr>
              <w:rPr>
                <w:rFonts w:hint="eastAsia" w:ascii="Calibri" w:hAnsi="Calibri" w:eastAsia="宋体" w:cs="Times New Roman"/>
                <w:color w:val="auto"/>
                <w:highlight w:val="none"/>
                <w:lang w:val="en-US" w:eastAsia="zh-CN"/>
              </w:rPr>
            </w:pPr>
            <w:r>
              <w:rPr>
                <w:rFonts w:hint="eastAsia" w:ascii="Calibri" w:hAnsi="Calibri" w:eastAsia="宋体" w:cs="Times New Roman"/>
                <w:color w:val="auto"/>
                <w:highlight w:val="none"/>
                <w:lang w:val="en-US" w:eastAsia="zh-CN"/>
              </w:rPr>
              <w:t>5</w:t>
            </w:r>
            <w:r>
              <w:rPr>
                <w:rFonts w:hint="eastAsia" w:ascii="Calibri" w:hAnsi="Calibri" w:eastAsia="宋体" w:cs="Times New Roman"/>
                <w:color w:val="auto"/>
                <w:highlight w:val="none"/>
              </w:rPr>
              <w:t>、</w:t>
            </w:r>
            <w:r>
              <w:rPr>
                <w:rFonts w:hint="eastAsia" w:ascii="Calibri" w:hAnsi="Calibri" w:eastAsia="宋体" w:cs="Times New Roman"/>
                <w:color w:val="auto"/>
                <w:highlight w:val="none"/>
                <w:lang w:val="en-US" w:eastAsia="zh-CN"/>
              </w:rPr>
              <w:t>所投课桌制造商通过省级以上家具产品质量监督检验中心出具的检测报告，得2分</w:t>
            </w:r>
          </w:p>
          <w:p w14:paraId="08BA4B6D">
            <w:pPr>
              <w:rPr>
                <w:rFonts w:hint="default" w:ascii="Calibri" w:hAnsi="Calibri" w:eastAsia="宋体" w:cs="Times New Roman"/>
                <w:color w:val="auto"/>
                <w:highlight w:val="none"/>
                <w:lang w:val="en-US" w:eastAsia="zh-CN"/>
              </w:rPr>
            </w:pPr>
            <w:r>
              <w:rPr>
                <w:rFonts w:hint="eastAsia" w:ascii="Calibri" w:hAnsi="Calibri" w:eastAsia="宋体" w:cs="Times New Roman"/>
                <w:color w:val="auto"/>
                <w:highlight w:val="none"/>
                <w:lang w:val="en-US" w:eastAsia="zh-CN"/>
              </w:rPr>
              <w:t>6</w:t>
            </w:r>
            <w:r>
              <w:rPr>
                <w:rFonts w:hint="eastAsia" w:ascii="Calibri" w:hAnsi="Calibri" w:eastAsia="宋体" w:cs="Times New Roman"/>
                <w:color w:val="auto"/>
                <w:highlight w:val="none"/>
              </w:rPr>
              <w:t>、</w:t>
            </w:r>
            <w:r>
              <w:rPr>
                <w:rFonts w:hint="eastAsia" w:ascii="Calibri" w:hAnsi="Calibri" w:eastAsia="宋体" w:cs="Times New Roman"/>
                <w:color w:val="auto"/>
                <w:highlight w:val="none"/>
                <w:lang w:val="en-US" w:eastAsia="zh-CN"/>
              </w:rPr>
              <w:t>所投上下床制造商通过省级以上家具产品质量监督检验中心出具的检测报告，得2分</w:t>
            </w:r>
          </w:p>
        </w:tc>
      </w:tr>
      <w:tr w14:paraId="641C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101" w:type="dxa"/>
            <w:vMerge w:val="continue"/>
            <w:tcBorders>
              <w:left w:val="single" w:color="auto" w:sz="4" w:space="0"/>
              <w:right w:val="single" w:color="auto" w:sz="4" w:space="0"/>
            </w:tcBorders>
            <w:vAlign w:val="center"/>
          </w:tcPr>
          <w:p w14:paraId="54EB6AAA">
            <w:pPr>
              <w:jc w:val="center"/>
              <w:rPr>
                <w:rFonts w:ascii="Calibri" w:hAnsi="Calibri" w:eastAsia="宋体" w:cs="Times New Roman"/>
                <w:color w:val="auto"/>
                <w:highlight w:val="none"/>
              </w:rPr>
            </w:pPr>
          </w:p>
        </w:tc>
        <w:tc>
          <w:tcPr>
            <w:tcW w:w="1162" w:type="dxa"/>
            <w:vMerge w:val="continue"/>
            <w:tcBorders>
              <w:left w:val="single" w:color="auto" w:sz="4" w:space="0"/>
              <w:right w:val="single" w:color="auto" w:sz="4" w:space="0"/>
            </w:tcBorders>
            <w:vAlign w:val="center"/>
          </w:tcPr>
          <w:p w14:paraId="678FCCD4">
            <w:pPr>
              <w:jc w:val="center"/>
              <w:rPr>
                <w:rFonts w:ascii="Calibri" w:hAnsi="Calibri" w:eastAsia="宋体" w:cs="Times New Roman"/>
                <w:color w:val="auto"/>
                <w:highlight w:val="none"/>
              </w:rPr>
            </w:pPr>
          </w:p>
        </w:tc>
        <w:tc>
          <w:tcPr>
            <w:tcW w:w="851" w:type="dxa"/>
            <w:vMerge w:val="continue"/>
            <w:tcBorders>
              <w:left w:val="single" w:color="auto" w:sz="4" w:space="0"/>
              <w:right w:val="single" w:color="auto" w:sz="4" w:space="0"/>
            </w:tcBorders>
            <w:vAlign w:val="center"/>
          </w:tcPr>
          <w:p w14:paraId="6407CEBA">
            <w:pPr>
              <w:jc w:val="center"/>
              <w:rPr>
                <w:rFonts w:ascii="Calibri" w:hAnsi="Calibri" w:eastAsia="宋体" w:cs="Times New Roman"/>
                <w:color w:val="auto"/>
                <w:highlight w:val="none"/>
              </w:rPr>
            </w:pPr>
          </w:p>
        </w:tc>
        <w:tc>
          <w:tcPr>
            <w:tcW w:w="6633" w:type="dxa"/>
            <w:tcBorders>
              <w:left w:val="single" w:color="auto" w:sz="4" w:space="0"/>
              <w:right w:val="single" w:color="auto" w:sz="4" w:space="0"/>
            </w:tcBorders>
            <w:vAlign w:val="center"/>
          </w:tcPr>
          <w:p w14:paraId="2504756D">
            <w:pPr>
              <w:rPr>
                <w:rFonts w:ascii="Calibri" w:hAnsi="Calibri" w:eastAsia="宋体" w:cs="Times New Roman"/>
                <w:color w:val="auto"/>
                <w:highlight w:val="none"/>
              </w:rPr>
            </w:pPr>
            <w:r>
              <w:rPr>
                <w:rFonts w:hint="eastAsia" w:ascii="Calibri" w:hAnsi="Calibri" w:eastAsia="宋体" w:cs="Times New Roman"/>
                <w:b/>
                <w:color w:val="auto"/>
                <w:highlight w:val="none"/>
              </w:rPr>
              <w:t>※ 以上评分项所述资质或证书需提供复印件并加盖公章有效；</w:t>
            </w:r>
          </w:p>
        </w:tc>
      </w:tr>
      <w:tr w14:paraId="2AF2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 w:hRule="atLeast"/>
          <w:jc w:val="center"/>
        </w:trPr>
        <w:tc>
          <w:tcPr>
            <w:tcW w:w="1101" w:type="dxa"/>
            <w:tcBorders>
              <w:top w:val="single" w:color="auto" w:sz="4" w:space="0"/>
              <w:left w:val="single" w:color="auto" w:sz="4" w:space="0"/>
              <w:right w:val="single" w:color="auto" w:sz="4" w:space="0"/>
            </w:tcBorders>
            <w:vAlign w:val="center"/>
          </w:tcPr>
          <w:p w14:paraId="7698D0E6">
            <w:pPr>
              <w:jc w:val="center"/>
              <w:rPr>
                <w:rFonts w:ascii="Calibri" w:hAnsi="Calibri" w:eastAsia="宋体" w:cs="Times New Roman"/>
                <w:color w:val="auto"/>
                <w:highlight w:val="none"/>
              </w:rPr>
            </w:pPr>
            <w:r>
              <w:rPr>
                <w:rFonts w:hint="eastAsia" w:ascii="Calibri" w:hAnsi="Calibri" w:eastAsia="宋体" w:cs="Times New Roman"/>
                <w:color w:val="auto"/>
                <w:highlight w:val="none"/>
              </w:rPr>
              <w:t>技术部分</w:t>
            </w:r>
          </w:p>
          <w:p w14:paraId="7C24A951">
            <w:pPr>
              <w:jc w:val="center"/>
              <w:rPr>
                <w:rFonts w:ascii="Calibri" w:hAnsi="Calibri" w:eastAsia="宋体" w:cs="Times New Roman"/>
                <w:color w:val="auto"/>
                <w:highlight w:val="none"/>
              </w:rPr>
            </w:pPr>
            <w:r>
              <w:rPr>
                <w:rFonts w:hint="eastAsia" w:ascii="Calibri" w:hAnsi="Calibri" w:eastAsia="宋体" w:cs="Times New Roman"/>
                <w:color w:val="auto"/>
                <w:highlight w:val="none"/>
              </w:rPr>
              <w:t>(</w:t>
            </w:r>
            <w:r>
              <w:rPr>
                <w:rFonts w:hint="eastAsia" w:ascii="Calibri" w:hAnsi="Calibri" w:eastAsia="宋体" w:cs="Times New Roman"/>
                <w:color w:val="auto"/>
                <w:highlight w:val="none"/>
                <w:lang w:val="en-US" w:eastAsia="zh-CN"/>
              </w:rPr>
              <w:t>35</w:t>
            </w:r>
            <w:r>
              <w:rPr>
                <w:rFonts w:hint="eastAsia" w:ascii="Calibri" w:hAnsi="Calibri" w:eastAsia="宋体" w:cs="Times New Roman"/>
                <w:color w:val="auto"/>
                <w:highlight w:val="none"/>
              </w:rPr>
              <w:t>分)</w:t>
            </w:r>
          </w:p>
        </w:tc>
        <w:tc>
          <w:tcPr>
            <w:tcW w:w="1162" w:type="dxa"/>
            <w:tcBorders>
              <w:top w:val="single" w:color="auto" w:sz="4" w:space="0"/>
              <w:left w:val="single" w:color="auto" w:sz="4" w:space="0"/>
              <w:right w:val="single" w:color="auto" w:sz="4" w:space="0"/>
            </w:tcBorders>
            <w:vAlign w:val="center"/>
          </w:tcPr>
          <w:p w14:paraId="5EA1552E">
            <w:pPr>
              <w:jc w:val="center"/>
              <w:rPr>
                <w:rFonts w:ascii="Calibri" w:hAnsi="Calibri" w:eastAsia="宋体" w:cs="Times New Roman"/>
                <w:color w:val="auto"/>
                <w:highlight w:val="none"/>
              </w:rPr>
            </w:pPr>
            <w:r>
              <w:rPr>
                <w:rFonts w:hint="eastAsia" w:ascii="Calibri" w:hAnsi="Calibri" w:eastAsia="宋体" w:cs="Times New Roman"/>
                <w:color w:val="auto"/>
                <w:highlight w:val="none"/>
              </w:rPr>
              <w:t>产品参数响应情况</w:t>
            </w:r>
          </w:p>
        </w:tc>
        <w:tc>
          <w:tcPr>
            <w:tcW w:w="851" w:type="dxa"/>
            <w:tcBorders>
              <w:top w:val="single" w:color="auto" w:sz="4" w:space="0"/>
              <w:left w:val="single" w:color="auto" w:sz="4" w:space="0"/>
              <w:right w:val="single" w:color="auto" w:sz="4" w:space="0"/>
            </w:tcBorders>
            <w:vAlign w:val="center"/>
          </w:tcPr>
          <w:p w14:paraId="2E8FFDD5">
            <w:pPr>
              <w:jc w:val="center"/>
              <w:rPr>
                <w:rFonts w:hint="default" w:ascii="Calibri" w:hAnsi="Calibri" w:eastAsia="宋体" w:cs="Times New Roman"/>
                <w:color w:val="auto"/>
                <w:highlight w:val="none"/>
                <w:lang w:val="en-US"/>
              </w:rPr>
            </w:pPr>
            <w:r>
              <w:rPr>
                <w:rFonts w:hint="eastAsia" w:eastAsia="宋体"/>
                <w:color w:val="auto"/>
                <w:highlight w:val="none"/>
                <w:lang w:val="en-US" w:eastAsia="zh-CN"/>
              </w:rPr>
              <w:t>35</w:t>
            </w:r>
          </w:p>
        </w:tc>
        <w:tc>
          <w:tcPr>
            <w:tcW w:w="6633" w:type="dxa"/>
            <w:tcBorders>
              <w:top w:val="single" w:color="auto" w:sz="4" w:space="0"/>
              <w:left w:val="single" w:color="auto" w:sz="4" w:space="0"/>
              <w:bottom w:val="single" w:color="auto" w:sz="4" w:space="0"/>
              <w:right w:val="single" w:color="auto" w:sz="4" w:space="0"/>
            </w:tcBorders>
            <w:vAlign w:val="center"/>
          </w:tcPr>
          <w:p w14:paraId="5D224066">
            <w:pPr>
              <w:rPr>
                <w:rFonts w:ascii="Calibri" w:hAnsi="Calibri" w:eastAsia="宋体" w:cs="Times New Roman"/>
                <w:color w:val="auto"/>
                <w:highlight w:val="none"/>
              </w:rPr>
            </w:pPr>
            <w:r>
              <w:rPr>
                <w:rFonts w:hint="eastAsia" w:ascii="Calibri" w:hAnsi="Calibri" w:eastAsia="宋体" w:cs="Times New Roman"/>
                <w:color w:val="auto"/>
                <w:highlight w:val="none"/>
              </w:rPr>
              <w:t>所投产品技术参数部分完全响应招标文件要求得</w:t>
            </w:r>
            <w:r>
              <w:rPr>
                <w:rFonts w:hint="eastAsia" w:ascii="Calibri" w:hAnsi="Calibri" w:eastAsia="宋体" w:cs="Times New Roman"/>
                <w:color w:val="auto"/>
                <w:highlight w:val="none"/>
                <w:lang w:val="en-US" w:eastAsia="zh-CN"/>
              </w:rPr>
              <w:t>35</w:t>
            </w:r>
            <w:r>
              <w:rPr>
                <w:rFonts w:hint="eastAsia" w:ascii="Calibri" w:hAnsi="Calibri" w:eastAsia="宋体" w:cs="Times New Roman"/>
                <w:color w:val="auto"/>
                <w:highlight w:val="none"/>
              </w:rPr>
              <w:t>分，技术参数中的参数有一条不满足扣3分，最多扣</w:t>
            </w:r>
            <w:r>
              <w:rPr>
                <w:rFonts w:hint="eastAsia" w:ascii="Calibri" w:hAnsi="Calibri" w:eastAsia="宋体" w:cs="Times New Roman"/>
                <w:color w:val="auto"/>
                <w:highlight w:val="none"/>
                <w:lang w:val="en-US" w:eastAsia="zh-CN"/>
              </w:rPr>
              <w:t>35</w:t>
            </w:r>
            <w:r>
              <w:rPr>
                <w:rFonts w:hint="eastAsia" w:ascii="Calibri" w:hAnsi="Calibri" w:eastAsia="宋体" w:cs="Times New Roman"/>
                <w:color w:val="auto"/>
                <w:highlight w:val="none"/>
              </w:rPr>
              <w:t>分。</w:t>
            </w:r>
          </w:p>
        </w:tc>
      </w:tr>
      <w:tr w14:paraId="69D93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101" w:type="dxa"/>
            <w:tcBorders>
              <w:left w:val="single" w:color="auto" w:sz="4" w:space="0"/>
              <w:right w:val="single" w:color="auto" w:sz="4" w:space="0"/>
            </w:tcBorders>
            <w:vAlign w:val="center"/>
          </w:tcPr>
          <w:p w14:paraId="0DE7EDD6">
            <w:pPr>
              <w:rPr>
                <w:rFonts w:ascii="Calibri" w:hAnsi="Calibri" w:eastAsia="宋体" w:cs="Times New Roman"/>
                <w:color w:val="auto"/>
                <w:highlight w:val="none"/>
              </w:rPr>
            </w:pPr>
            <w:r>
              <w:rPr>
                <w:rFonts w:hint="eastAsia" w:ascii="Calibri" w:hAnsi="Calibri" w:eastAsia="宋体" w:cs="Times New Roman"/>
                <w:color w:val="auto"/>
                <w:highlight w:val="none"/>
              </w:rPr>
              <w:t>总分</w:t>
            </w:r>
          </w:p>
        </w:tc>
        <w:tc>
          <w:tcPr>
            <w:tcW w:w="8646" w:type="dxa"/>
            <w:gridSpan w:val="3"/>
            <w:tcBorders>
              <w:left w:val="single" w:color="auto" w:sz="4" w:space="0"/>
              <w:right w:val="single" w:color="auto" w:sz="4" w:space="0"/>
            </w:tcBorders>
            <w:vAlign w:val="center"/>
          </w:tcPr>
          <w:p w14:paraId="19A00765">
            <w:pPr>
              <w:jc w:val="center"/>
              <w:rPr>
                <w:rFonts w:ascii="Calibri" w:hAnsi="Calibri" w:eastAsia="宋体" w:cs="Times New Roman"/>
                <w:color w:val="auto"/>
                <w:highlight w:val="none"/>
              </w:rPr>
            </w:pPr>
            <w:r>
              <w:rPr>
                <w:rFonts w:hint="eastAsia" w:ascii="Calibri" w:hAnsi="Calibri" w:eastAsia="宋体" w:cs="Times New Roman"/>
                <w:color w:val="auto"/>
                <w:highlight w:val="none"/>
              </w:rPr>
              <w:t>100分</w:t>
            </w:r>
          </w:p>
        </w:tc>
      </w:tr>
    </w:tbl>
    <w:p w14:paraId="7BB28331">
      <w:pPr>
        <w:pStyle w:val="19"/>
        <w:spacing w:before="0" w:beforeAutospacing="0" w:after="0" w:afterAutospacing="0"/>
        <w:contextualSpacing/>
        <w:jc w:val="center"/>
        <w:rPr>
          <w:rFonts w:hint="eastAsia" w:ascii="宋体" w:hAnsi="宋体" w:eastAsia="宋体" w:cs="宋体"/>
          <w:b/>
          <w:bCs/>
          <w:color w:val="auto"/>
          <w:kern w:val="1"/>
          <w:sz w:val="32"/>
          <w:szCs w:val="28"/>
          <w:highlight w:val="none"/>
        </w:rPr>
      </w:pPr>
      <w:r>
        <w:rPr>
          <w:rFonts w:hint="eastAsia" w:ascii="宋体" w:hAnsi="宋体" w:eastAsia="宋体" w:cs="宋体"/>
          <w:b/>
          <w:bCs/>
          <w:color w:val="auto"/>
          <w:kern w:val="1"/>
          <w:sz w:val="32"/>
          <w:szCs w:val="28"/>
          <w:highlight w:val="none"/>
          <w:lang w:val="en-US" w:eastAsia="zh-CN"/>
        </w:rPr>
        <w:t>2标段</w:t>
      </w:r>
      <w:r>
        <w:rPr>
          <w:rFonts w:hint="eastAsia" w:ascii="宋体" w:hAnsi="宋体" w:eastAsia="宋体" w:cs="宋体"/>
          <w:b/>
          <w:bCs/>
          <w:color w:val="auto"/>
          <w:kern w:val="1"/>
          <w:sz w:val="32"/>
          <w:szCs w:val="28"/>
          <w:highlight w:val="none"/>
        </w:rPr>
        <w:t>评标办法</w:t>
      </w:r>
    </w:p>
    <w:tbl>
      <w:tblPr>
        <w:tblStyle w:val="24"/>
        <w:tblW w:w="1027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90"/>
        <w:gridCol w:w="1534"/>
        <w:gridCol w:w="7650"/>
      </w:tblGrid>
      <w:tr w14:paraId="08860E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090" w:type="dxa"/>
            <w:tcBorders>
              <w:left w:val="single" w:color="auto" w:sz="4" w:space="0"/>
            </w:tcBorders>
            <w:noWrap w:val="0"/>
            <w:vAlign w:val="center"/>
          </w:tcPr>
          <w:p w14:paraId="0345C511">
            <w:pPr>
              <w:tabs>
                <w:tab w:val="left" w:pos="5130"/>
              </w:tabs>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投标报价</w:t>
            </w:r>
            <w:r>
              <w:rPr>
                <w:rFonts w:hint="eastAsia" w:ascii="宋体" w:hAnsi="宋体" w:eastAsia="宋体" w:cs="宋体"/>
                <w:bCs/>
                <w:color w:val="auto"/>
                <w:sz w:val="21"/>
                <w:szCs w:val="21"/>
                <w:highlight w:val="none"/>
                <w:lang w:val="en-US" w:eastAsia="zh-CN"/>
              </w:rPr>
              <w:t>30</w:t>
            </w:r>
            <w:r>
              <w:rPr>
                <w:rFonts w:hint="eastAsia" w:ascii="宋体" w:hAnsi="宋体" w:eastAsia="宋体" w:cs="宋体"/>
                <w:bCs/>
                <w:color w:val="auto"/>
                <w:sz w:val="21"/>
                <w:szCs w:val="21"/>
                <w:highlight w:val="none"/>
              </w:rPr>
              <w:t>分</w:t>
            </w:r>
          </w:p>
          <w:p w14:paraId="3429EBC6">
            <w:pPr>
              <w:tabs>
                <w:tab w:val="left" w:pos="5130"/>
              </w:tabs>
              <w:adjustRightInd w:val="0"/>
              <w:snapToGrid w:val="0"/>
              <w:spacing w:line="360" w:lineRule="auto"/>
              <w:jc w:val="center"/>
              <w:rPr>
                <w:rFonts w:hint="eastAsia" w:ascii="宋体" w:hAnsi="宋体" w:eastAsia="宋体" w:cs="宋体"/>
                <w:bCs/>
                <w:color w:val="auto"/>
                <w:sz w:val="21"/>
                <w:szCs w:val="21"/>
                <w:highlight w:val="none"/>
              </w:rPr>
            </w:pPr>
          </w:p>
        </w:tc>
        <w:tc>
          <w:tcPr>
            <w:tcW w:w="1534" w:type="dxa"/>
            <w:tcBorders>
              <w:right w:val="single" w:color="auto" w:sz="4" w:space="0"/>
            </w:tcBorders>
            <w:noWrap w:val="0"/>
            <w:vAlign w:val="center"/>
          </w:tcPr>
          <w:p w14:paraId="3A4A9C3E">
            <w:pPr>
              <w:tabs>
                <w:tab w:val="left" w:pos="5130"/>
              </w:tabs>
              <w:adjustRightInd w:val="0"/>
              <w:snapToGrid w:val="0"/>
              <w:spacing w:line="36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投标报价</w:t>
            </w:r>
          </w:p>
          <w:p w14:paraId="1187FEAE">
            <w:pPr>
              <w:tabs>
                <w:tab w:val="left" w:pos="5130"/>
              </w:tabs>
              <w:adjustRightInd w:val="0"/>
              <w:snapToGrid w:val="0"/>
              <w:spacing w:line="36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（30分）</w:t>
            </w:r>
          </w:p>
        </w:tc>
        <w:tc>
          <w:tcPr>
            <w:tcW w:w="7650" w:type="dxa"/>
            <w:tcBorders>
              <w:left w:val="single" w:color="auto" w:sz="4" w:space="0"/>
            </w:tcBorders>
            <w:noWrap w:val="0"/>
            <w:vAlign w:val="center"/>
          </w:tcPr>
          <w:p w14:paraId="28E0FC9A">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价格分采用低价优先法计算，即满足招标文件要求且评标报价最低的评标报价为评标基准价，其价格分为满分。其他投标人的价格分统一按照下列公式计算：投标报价得分=（评标基准价/评标报价）x30分</w:t>
            </w:r>
          </w:p>
          <w:p w14:paraId="0FF0A8C9">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注：价格分计算保留小数点后二位。</w:t>
            </w:r>
          </w:p>
          <w:p w14:paraId="7EB6E278">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备注：根据财政部、工信部关于印发《政府采购促进中小企业发展管理办法》的通知（财库〔2020〕46号 ）文件规定：</w:t>
            </w:r>
          </w:p>
          <w:p w14:paraId="33B5E4D0">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（1）对小微企业报价给予20%扣除，请按照《政府采购促进中小企业发展管理办法》要求提供中小企业声明函。</w:t>
            </w:r>
          </w:p>
          <w:p w14:paraId="28BBF7D0">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（2）关于监狱企业：视同小微企业。须提供由省级以上监狱管理局、戒毒管理局（含新疆生产建设兵团）出具的属于监狱企业的证明文件，否则不考虑价格扣除。</w:t>
            </w:r>
          </w:p>
          <w:p w14:paraId="5CB5F542">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02B8422F">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（4）没有提供有效证明材料的供应商将被视为不接受投标总价的扣除，用原投标总价参与评审。</w:t>
            </w:r>
          </w:p>
        </w:tc>
      </w:tr>
      <w:tr w14:paraId="5CE846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090" w:type="dxa"/>
            <w:vMerge w:val="restart"/>
            <w:tcBorders>
              <w:left w:val="single" w:color="auto" w:sz="4" w:space="0"/>
            </w:tcBorders>
            <w:noWrap w:val="0"/>
            <w:vAlign w:val="center"/>
          </w:tcPr>
          <w:p w14:paraId="494D4CAC">
            <w:pPr>
              <w:tabs>
                <w:tab w:val="left" w:pos="5130"/>
              </w:tabs>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技术部分</w:t>
            </w:r>
          </w:p>
          <w:p w14:paraId="2D97B475">
            <w:pPr>
              <w:tabs>
                <w:tab w:val="left" w:pos="5130"/>
              </w:tabs>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35</w:t>
            </w:r>
            <w:r>
              <w:rPr>
                <w:rFonts w:hint="eastAsia" w:ascii="宋体" w:hAnsi="宋体" w:eastAsia="宋体" w:cs="宋体"/>
                <w:bCs/>
                <w:color w:val="auto"/>
                <w:sz w:val="21"/>
                <w:szCs w:val="21"/>
                <w:highlight w:val="none"/>
              </w:rPr>
              <w:t>分）</w:t>
            </w:r>
          </w:p>
        </w:tc>
        <w:tc>
          <w:tcPr>
            <w:tcW w:w="1534" w:type="dxa"/>
            <w:tcBorders>
              <w:right w:val="single" w:color="auto" w:sz="4" w:space="0"/>
            </w:tcBorders>
            <w:noWrap w:val="0"/>
            <w:vAlign w:val="center"/>
          </w:tcPr>
          <w:p w14:paraId="326CEBA2">
            <w:pPr>
              <w:pStyle w:val="22"/>
              <w:spacing w:line="360" w:lineRule="auto"/>
              <w:ind w:right="-21" w:firstLine="0" w:firstLineChars="0"/>
              <w:jc w:val="center"/>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技术参数</w:t>
            </w:r>
          </w:p>
          <w:p w14:paraId="3059A721">
            <w:pPr>
              <w:pStyle w:val="22"/>
              <w:spacing w:line="360" w:lineRule="auto"/>
              <w:ind w:right="-21" w:firstLine="0" w:firstLineChars="0"/>
              <w:jc w:val="center"/>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（30）</w:t>
            </w:r>
          </w:p>
        </w:tc>
        <w:tc>
          <w:tcPr>
            <w:tcW w:w="7650" w:type="dxa"/>
            <w:tcBorders>
              <w:left w:val="single" w:color="auto" w:sz="4" w:space="0"/>
            </w:tcBorders>
            <w:noWrap w:val="0"/>
            <w:vAlign w:val="center"/>
          </w:tcPr>
          <w:p w14:paraId="1F3576A8">
            <w:pPr>
              <w:pStyle w:val="22"/>
              <w:spacing w:line="360" w:lineRule="auto"/>
              <w:ind w:right="-21" w:firstLine="0" w:firstLineChars="0"/>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投标文件中技术要求实质性完全满足或优于招标文件技术规格要求的得30分，每有一项标★项不满足招标文件技术要求的扣2分，非标★项不满足招标文件技术要求的扣1分，扣完为止。</w:t>
            </w:r>
          </w:p>
          <w:p w14:paraId="6ADEED94">
            <w:pPr>
              <w:pStyle w:val="22"/>
              <w:spacing w:line="360" w:lineRule="auto"/>
              <w:ind w:right="-21" w:firstLine="0" w:firstLineChars="0"/>
              <w:rPr>
                <w:rFonts w:hint="eastAsia" w:ascii="宋体" w:hAnsi="宋体" w:eastAsia="宋体" w:cs="宋体"/>
                <w:bCs/>
                <w:color w:val="auto"/>
                <w:kern w:val="2"/>
                <w:sz w:val="21"/>
                <w:szCs w:val="21"/>
                <w:highlight w:val="none"/>
                <w:lang w:val="en-US" w:eastAsia="zh-CN"/>
              </w:rPr>
            </w:pPr>
          </w:p>
        </w:tc>
      </w:tr>
      <w:tr w14:paraId="579E8D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090" w:type="dxa"/>
            <w:vMerge w:val="continue"/>
            <w:tcBorders>
              <w:left w:val="single" w:color="auto" w:sz="4" w:space="0"/>
            </w:tcBorders>
            <w:noWrap w:val="0"/>
            <w:vAlign w:val="center"/>
          </w:tcPr>
          <w:p w14:paraId="0D74DC65">
            <w:pPr>
              <w:tabs>
                <w:tab w:val="left" w:pos="5130"/>
              </w:tabs>
              <w:adjustRightInd w:val="0"/>
              <w:snapToGrid w:val="0"/>
              <w:spacing w:line="360" w:lineRule="auto"/>
              <w:jc w:val="center"/>
              <w:rPr>
                <w:rFonts w:hint="eastAsia" w:ascii="宋体" w:hAnsi="宋体" w:eastAsia="宋体" w:cs="宋体"/>
                <w:bCs/>
                <w:color w:val="auto"/>
                <w:sz w:val="21"/>
                <w:szCs w:val="21"/>
                <w:highlight w:val="none"/>
              </w:rPr>
            </w:pPr>
          </w:p>
        </w:tc>
        <w:tc>
          <w:tcPr>
            <w:tcW w:w="1534" w:type="dxa"/>
            <w:tcBorders>
              <w:right w:val="single" w:color="auto" w:sz="4" w:space="0"/>
            </w:tcBorders>
            <w:noWrap w:val="0"/>
            <w:vAlign w:val="center"/>
          </w:tcPr>
          <w:p w14:paraId="487068C8">
            <w:pPr>
              <w:pStyle w:val="22"/>
              <w:spacing w:line="360" w:lineRule="auto"/>
              <w:ind w:right="-21" w:firstLine="0" w:firstLineChars="0"/>
              <w:jc w:val="center"/>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实施方案</w:t>
            </w:r>
          </w:p>
          <w:p w14:paraId="08F3C9F5">
            <w:pPr>
              <w:pStyle w:val="22"/>
              <w:spacing w:line="360" w:lineRule="auto"/>
              <w:ind w:right="-21" w:firstLine="0" w:firstLineChars="0"/>
              <w:jc w:val="center"/>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（5）</w:t>
            </w:r>
          </w:p>
        </w:tc>
        <w:tc>
          <w:tcPr>
            <w:tcW w:w="7650" w:type="dxa"/>
            <w:tcBorders>
              <w:left w:val="single" w:color="auto" w:sz="4" w:space="0"/>
            </w:tcBorders>
            <w:noWrap w:val="0"/>
            <w:vAlign w:val="center"/>
          </w:tcPr>
          <w:p w14:paraId="07826577">
            <w:pPr>
              <w:pStyle w:val="22"/>
              <w:spacing w:line="360" w:lineRule="auto"/>
              <w:ind w:right="-21" w:firstLine="0" w:firstLineChars="0"/>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供应商具有针对本项目的项目实施方案、人员配置、安装流程、工期保障、调试方案等措施；齐全的得5分，每少一项扣1分，扣完为止。</w:t>
            </w:r>
          </w:p>
        </w:tc>
      </w:tr>
      <w:tr w14:paraId="562FE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090" w:type="dxa"/>
            <w:vMerge w:val="restart"/>
            <w:tcBorders>
              <w:left w:val="single" w:color="auto" w:sz="4" w:space="0"/>
            </w:tcBorders>
            <w:noWrap w:val="0"/>
            <w:vAlign w:val="center"/>
          </w:tcPr>
          <w:p w14:paraId="0C02163C">
            <w:pPr>
              <w:tabs>
                <w:tab w:val="left" w:pos="5130"/>
              </w:tabs>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商务部分</w:t>
            </w:r>
          </w:p>
          <w:p w14:paraId="56CCA2F1">
            <w:pPr>
              <w:tabs>
                <w:tab w:val="left" w:pos="5130"/>
              </w:tabs>
              <w:adjustRightInd w:val="0"/>
              <w:snapToGrid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35</w:t>
            </w:r>
            <w:r>
              <w:rPr>
                <w:rFonts w:hint="eastAsia" w:ascii="宋体" w:hAnsi="宋体" w:eastAsia="宋体" w:cs="宋体"/>
                <w:bCs/>
                <w:color w:val="auto"/>
                <w:sz w:val="21"/>
                <w:szCs w:val="21"/>
                <w:highlight w:val="none"/>
              </w:rPr>
              <w:t>分）</w:t>
            </w:r>
          </w:p>
        </w:tc>
        <w:tc>
          <w:tcPr>
            <w:tcW w:w="1534" w:type="dxa"/>
            <w:tcBorders>
              <w:right w:val="single" w:color="auto" w:sz="4" w:space="0"/>
            </w:tcBorders>
            <w:noWrap w:val="0"/>
            <w:vAlign w:val="center"/>
          </w:tcPr>
          <w:p w14:paraId="52E8AD30">
            <w:pPr>
              <w:pStyle w:val="22"/>
              <w:spacing w:line="360" w:lineRule="auto"/>
              <w:ind w:right="-21" w:firstLine="0" w:firstLineChars="0"/>
              <w:jc w:val="center"/>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成功案例</w:t>
            </w:r>
          </w:p>
          <w:p w14:paraId="11108105">
            <w:pPr>
              <w:pStyle w:val="22"/>
              <w:spacing w:line="360" w:lineRule="auto"/>
              <w:ind w:right="-21" w:firstLine="0" w:firstLineChars="0"/>
              <w:jc w:val="center"/>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（6分）</w:t>
            </w:r>
          </w:p>
        </w:tc>
        <w:tc>
          <w:tcPr>
            <w:tcW w:w="7650" w:type="dxa"/>
            <w:tcBorders>
              <w:left w:val="single" w:color="auto" w:sz="4" w:space="0"/>
            </w:tcBorders>
            <w:noWrap w:val="0"/>
            <w:vAlign w:val="center"/>
          </w:tcPr>
          <w:p w14:paraId="2052211D">
            <w:pPr>
              <w:pStyle w:val="22"/>
              <w:spacing w:line="360" w:lineRule="auto"/>
              <w:ind w:right="-21" w:firstLine="0" w:firstLineChars="0"/>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供应商或制造商自2022年1月1日以来具有类似项目经验的，每提供1个案例证明得2分，最多得6分。（投标文件中附合同扫描件或中标通知书扫描件）</w:t>
            </w:r>
          </w:p>
        </w:tc>
      </w:tr>
      <w:tr w14:paraId="7A477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090" w:type="dxa"/>
            <w:vMerge w:val="continue"/>
            <w:tcBorders>
              <w:left w:val="single" w:color="auto" w:sz="4" w:space="0"/>
            </w:tcBorders>
            <w:noWrap w:val="0"/>
            <w:vAlign w:val="center"/>
          </w:tcPr>
          <w:p w14:paraId="6A21C75A">
            <w:pPr>
              <w:tabs>
                <w:tab w:val="left" w:pos="5130"/>
              </w:tabs>
              <w:adjustRightInd w:val="0"/>
              <w:snapToGrid w:val="0"/>
              <w:spacing w:line="360" w:lineRule="auto"/>
              <w:rPr>
                <w:rFonts w:hint="eastAsia" w:ascii="宋体" w:hAnsi="宋体" w:eastAsia="宋体" w:cs="宋体"/>
                <w:bCs/>
                <w:color w:val="auto"/>
                <w:sz w:val="21"/>
                <w:szCs w:val="21"/>
                <w:highlight w:val="none"/>
              </w:rPr>
            </w:pPr>
          </w:p>
        </w:tc>
        <w:tc>
          <w:tcPr>
            <w:tcW w:w="1534" w:type="dxa"/>
            <w:tcBorders>
              <w:right w:val="single" w:color="auto" w:sz="4" w:space="0"/>
            </w:tcBorders>
            <w:noWrap w:val="0"/>
            <w:vAlign w:val="center"/>
          </w:tcPr>
          <w:p w14:paraId="45931B83">
            <w:pPr>
              <w:autoSpaceDE w:val="0"/>
              <w:autoSpaceDN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综合实力</w:t>
            </w:r>
          </w:p>
          <w:p w14:paraId="25887062">
            <w:pPr>
              <w:autoSpaceDE w:val="0"/>
              <w:autoSpaceDN w:val="0"/>
              <w:spacing w:line="360" w:lineRule="auto"/>
              <w:jc w:val="center"/>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2</w:t>
            </w:r>
            <w:r>
              <w:rPr>
                <w:rFonts w:hint="eastAsia" w:ascii="宋体" w:hAnsi="宋体" w:cs="宋体"/>
                <w:bCs/>
                <w:color w:val="auto"/>
                <w:sz w:val="21"/>
                <w:szCs w:val="21"/>
                <w:highlight w:val="none"/>
                <w:lang w:val="en-US" w:eastAsia="zh-CN"/>
              </w:rPr>
              <w:t>4</w:t>
            </w:r>
            <w:r>
              <w:rPr>
                <w:rFonts w:hint="eastAsia" w:ascii="宋体" w:hAnsi="宋体" w:eastAsia="宋体" w:cs="宋体"/>
                <w:bCs/>
                <w:color w:val="auto"/>
                <w:sz w:val="21"/>
                <w:szCs w:val="21"/>
                <w:highlight w:val="none"/>
                <w:lang w:val="en-US" w:eastAsia="zh-CN"/>
              </w:rPr>
              <w:t>分</w:t>
            </w:r>
            <w:r>
              <w:rPr>
                <w:rFonts w:hint="eastAsia" w:ascii="宋体" w:hAnsi="宋体" w:eastAsia="宋体" w:cs="宋体"/>
                <w:bCs/>
                <w:color w:val="auto"/>
                <w:sz w:val="21"/>
                <w:szCs w:val="21"/>
                <w:highlight w:val="none"/>
                <w:lang w:eastAsia="zh-CN"/>
              </w:rPr>
              <w:t>）</w:t>
            </w:r>
          </w:p>
        </w:tc>
        <w:tc>
          <w:tcPr>
            <w:tcW w:w="7650" w:type="dxa"/>
            <w:tcBorders>
              <w:left w:val="single" w:color="auto" w:sz="4" w:space="0"/>
            </w:tcBorders>
            <w:noWrap w:val="0"/>
            <w:vAlign w:val="center"/>
          </w:tcPr>
          <w:p w14:paraId="31FD4175">
            <w:pPr>
              <w:pStyle w:val="30"/>
              <w:ind w:left="0" w:leftChars="0" w:firstLine="480" w:firstLineChars="200"/>
              <w:rPr>
                <w:rFonts w:hint="eastAsia" w:ascii="宋体" w:hAnsi="宋体" w:eastAsia="宋体" w:cs="宋体"/>
                <w:color w:val="auto"/>
                <w:sz w:val="24"/>
                <w:lang w:val="en-US" w:eastAsia="zh-CN"/>
              </w:rPr>
            </w:pPr>
            <w:r>
              <w:rPr>
                <w:rFonts w:hint="eastAsia" w:ascii="宋体" w:hAnsi="宋体" w:cs="宋体"/>
                <w:color w:val="auto"/>
                <w:sz w:val="24"/>
              </w:rPr>
              <w:t>投标人具有环境管理体系认证证书、质量管理体系认证证书、职业健康安全管理体系认证证书</w:t>
            </w:r>
            <w:r>
              <w:rPr>
                <w:rFonts w:hint="eastAsia" w:ascii="宋体" w:hAnsi="宋体" w:cs="宋体"/>
                <w:color w:val="auto"/>
                <w:sz w:val="24"/>
                <w:lang w:eastAsia="zh-CN"/>
              </w:rPr>
              <w:t>、体系认证范围包涵教学专用仪器</w:t>
            </w:r>
            <w:r>
              <w:rPr>
                <w:rFonts w:hint="eastAsia" w:ascii="宋体" w:hAnsi="宋体" w:cs="宋体"/>
                <w:color w:val="auto"/>
                <w:sz w:val="24"/>
              </w:rPr>
              <w:t>得6分。</w:t>
            </w:r>
          </w:p>
          <w:p w14:paraId="347644B1">
            <w:pPr>
              <w:pStyle w:val="47"/>
              <w:ind w:left="0" w:leftChars="0" w:firstLine="420" w:firstLineChars="200"/>
              <w:rPr>
                <w:rFonts w:hint="eastAsia" w:ascii="宋体" w:hAnsi="宋体" w:eastAsia="宋体" w:cs="宋体"/>
                <w:bCs/>
                <w:color w:val="auto"/>
                <w:kern w:val="2"/>
                <w:sz w:val="21"/>
                <w:szCs w:val="21"/>
                <w:highlight w:val="none"/>
                <w:lang w:val="en-US" w:eastAsia="zh-CN"/>
              </w:rPr>
            </w:pPr>
            <w:r>
              <w:rPr>
                <w:rFonts w:hint="eastAsia"/>
                <w:color w:val="auto"/>
                <w:highlight w:val="none"/>
                <w:lang w:eastAsia="zh-CN"/>
              </w:rPr>
              <w:t>提供</w:t>
            </w:r>
            <w:r>
              <w:rPr>
                <w:rFonts w:hint="eastAsia"/>
                <w:color w:val="auto"/>
                <w:highlight w:val="none"/>
              </w:rPr>
              <w:t>教学电阻箱</w:t>
            </w:r>
            <w:r>
              <w:rPr>
                <w:rFonts w:hint="eastAsia"/>
                <w:color w:val="auto"/>
                <w:highlight w:val="none"/>
                <w:lang w:eastAsia="zh-CN"/>
              </w:rPr>
              <w:t>、</w:t>
            </w:r>
            <w:r>
              <w:rPr>
                <w:rFonts w:hint="eastAsia"/>
                <w:color w:val="auto"/>
                <w:highlight w:val="none"/>
              </w:rPr>
              <w:t>方座支架</w:t>
            </w:r>
            <w:r>
              <w:rPr>
                <w:rFonts w:hint="eastAsia"/>
                <w:color w:val="auto"/>
                <w:highlight w:val="none"/>
                <w:lang w:eastAsia="zh-CN"/>
              </w:rPr>
              <w:t>、</w:t>
            </w:r>
            <w:r>
              <w:rPr>
                <w:rFonts w:hint="eastAsia"/>
                <w:color w:val="auto"/>
                <w:highlight w:val="none"/>
              </w:rPr>
              <w:t>温度计红液</w:t>
            </w:r>
            <w:r>
              <w:rPr>
                <w:rFonts w:hint="eastAsia"/>
                <w:color w:val="auto"/>
                <w:highlight w:val="none"/>
                <w:lang w:eastAsia="zh-CN"/>
              </w:rPr>
              <w:t>、</w:t>
            </w:r>
            <w:r>
              <w:rPr>
                <w:rFonts w:hint="eastAsia"/>
                <w:color w:val="auto"/>
                <w:highlight w:val="none"/>
              </w:rPr>
              <w:t>滑动变阻器</w:t>
            </w:r>
            <w:r>
              <w:rPr>
                <w:rFonts w:hint="eastAsia"/>
                <w:color w:val="auto"/>
                <w:highlight w:val="none"/>
                <w:lang w:eastAsia="zh-CN"/>
              </w:rPr>
              <w:t>、</w:t>
            </w:r>
            <w:r>
              <w:rPr>
                <w:rFonts w:hint="eastAsia"/>
                <w:color w:val="auto"/>
                <w:highlight w:val="none"/>
              </w:rPr>
              <w:t>泥三角</w:t>
            </w:r>
            <w:r>
              <w:rPr>
                <w:rFonts w:hint="eastAsia"/>
                <w:color w:val="auto"/>
                <w:highlight w:val="none"/>
                <w:lang w:eastAsia="zh-CN"/>
              </w:rPr>
              <w:t>、</w:t>
            </w:r>
            <w:r>
              <w:rPr>
                <w:rFonts w:hint="eastAsia"/>
                <w:color w:val="auto"/>
                <w:highlight w:val="none"/>
              </w:rPr>
              <w:t>三脚架</w:t>
            </w:r>
            <w:r>
              <w:rPr>
                <w:rFonts w:hint="eastAsia"/>
                <w:color w:val="auto"/>
                <w:highlight w:val="none"/>
                <w:lang w:eastAsia="zh-CN"/>
              </w:rPr>
              <w:t>、</w:t>
            </w:r>
            <w:r>
              <w:rPr>
                <w:rFonts w:hint="eastAsia"/>
                <w:color w:val="auto"/>
                <w:highlight w:val="none"/>
              </w:rPr>
              <w:t>十字螺丝刀</w:t>
            </w:r>
            <w:r>
              <w:rPr>
                <w:rFonts w:hint="eastAsia"/>
                <w:color w:val="auto"/>
                <w:highlight w:val="none"/>
                <w:lang w:eastAsia="zh-CN"/>
              </w:rPr>
              <w:t>、</w:t>
            </w:r>
            <w:r>
              <w:rPr>
                <w:rFonts w:hint="eastAsia"/>
                <w:color w:val="auto"/>
                <w:highlight w:val="none"/>
              </w:rPr>
              <w:t>一字螺丝刀</w:t>
            </w:r>
            <w:r>
              <w:rPr>
                <w:rFonts w:hint="eastAsia"/>
                <w:color w:val="auto"/>
                <w:highlight w:val="none"/>
                <w:lang w:eastAsia="zh-CN"/>
              </w:rPr>
              <w:t>、国家文教用品质量监督检测中出具的报告，</w:t>
            </w:r>
            <w:r>
              <w:rPr>
                <w:rFonts w:hint="eastAsia" w:ascii="宋体" w:hAnsi="宋体" w:eastAsia="宋体" w:cs="宋体"/>
                <w:bCs/>
                <w:color w:val="auto"/>
                <w:kern w:val="2"/>
                <w:sz w:val="21"/>
                <w:szCs w:val="21"/>
                <w:highlight w:val="none"/>
                <w:lang w:val="en-US" w:eastAsia="zh-CN"/>
              </w:rPr>
              <w:t>每提供1个</w:t>
            </w:r>
            <w:r>
              <w:rPr>
                <w:rFonts w:hint="eastAsia" w:cs="宋体"/>
                <w:bCs/>
                <w:color w:val="auto"/>
                <w:kern w:val="2"/>
                <w:sz w:val="21"/>
                <w:szCs w:val="21"/>
                <w:highlight w:val="none"/>
                <w:lang w:val="en-US" w:eastAsia="zh-CN"/>
              </w:rPr>
              <w:t>检测报告得2分，</w:t>
            </w:r>
            <w:r>
              <w:rPr>
                <w:rFonts w:hint="eastAsia" w:ascii="宋体" w:hAnsi="宋体" w:eastAsia="宋体" w:cs="宋体"/>
                <w:bCs/>
                <w:color w:val="auto"/>
                <w:kern w:val="2"/>
                <w:sz w:val="21"/>
                <w:szCs w:val="21"/>
                <w:highlight w:val="none"/>
                <w:lang w:val="en-US" w:eastAsia="zh-CN"/>
              </w:rPr>
              <w:t>最多得</w:t>
            </w:r>
            <w:r>
              <w:rPr>
                <w:rFonts w:hint="eastAsia" w:cs="宋体"/>
                <w:bCs/>
                <w:color w:val="auto"/>
                <w:kern w:val="2"/>
                <w:sz w:val="21"/>
                <w:szCs w:val="21"/>
                <w:highlight w:val="none"/>
                <w:lang w:val="en-US" w:eastAsia="zh-CN"/>
              </w:rPr>
              <w:t>14</w:t>
            </w:r>
            <w:r>
              <w:rPr>
                <w:rFonts w:hint="eastAsia" w:ascii="宋体" w:hAnsi="宋体" w:eastAsia="宋体" w:cs="宋体"/>
                <w:bCs/>
                <w:color w:val="auto"/>
                <w:kern w:val="2"/>
                <w:sz w:val="21"/>
                <w:szCs w:val="21"/>
                <w:highlight w:val="none"/>
                <w:lang w:val="en-US" w:eastAsia="zh-CN"/>
              </w:rPr>
              <w:t>分。</w:t>
            </w:r>
          </w:p>
          <w:p w14:paraId="6A191151">
            <w:pPr>
              <w:pStyle w:val="47"/>
              <w:ind w:left="0" w:leftChars="0" w:firstLine="420" w:firstLineChars="200"/>
              <w:rPr>
                <w:rFonts w:hint="eastAsia"/>
                <w:color w:val="auto"/>
                <w:highlight w:val="none"/>
              </w:rPr>
            </w:pPr>
            <w:r>
              <w:rPr>
                <w:rFonts w:hint="eastAsia" w:cs="宋体"/>
                <w:bCs/>
                <w:color w:val="auto"/>
                <w:kern w:val="2"/>
                <w:sz w:val="21"/>
                <w:szCs w:val="21"/>
                <w:highlight w:val="none"/>
                <w:lang w:val="en-US" w:eastAsia="zh-CN"/>
              </w:rPr>
              <w:t>提供危险品储存柜检测依据T/JYBZ 018-2021 中小学危险化学品柜技术规范、GB/T 3836.1-2021；爆炸性环境第1部分：设备通用要求、GB/T 3836.8-2021；爆炸性环境第8部分：由n型保护的设备的检测报告，</w:t>
            </w:r>
            <w:r>
              <w:rPr>
                <w:rFonts w:hint="eastAsia" w:ascii="宋体" w:hAnsi="宋体" w:eastAsia="宋体" w:cs="宋体"/>
                <w:bCs/>
                <w:color w:val="auto"/>
                <w:kern w:val="2"/>
                <w:sz w:val="21"/>
                <w:szCs w:val="21"/>
                <w:highlight w:val="none"/>
                <w:lang w:val="en-US" w:eastAsia="zh-CN"/>
              </w:rPr>
              <w:t>齐全的得</w:t>
            </w:r>
            <w:r>
              <w:rPr>
                <w:rFonts w:hint="eastAsia" w:cs="宋体"/>
                <w:bCs/>
                <w:color w:val="auto"/>
                <w:kern w:val="2"/>
                <w:sz w:val="21"/>
                <w:szCs w:val="21"/>
                <w:highlight w:val="none"/>
                <w:lang w:val="en-US" w:eastAsia="zh-CN"/>
              </w:rPr>
              <w:t>4</w:t>
            </w:r>
            <w:r>
              <w:rPr>
                <w:rFonts w:hint="eastAsia" w:ascii="宋体" w:hAnsi="宋体" w:eastAsia="宋体" w:cs="宋体"/>
                <w:bCs/>
                <w:color w:val="auto"/>
                <w:kern w:val="2"/>
                <w:sz w:val="21"/>
                <w:szCs w:val="21"/>
                <w:highlight w:val="none"/>
                <w:lang w:val="en-US" w:eastAsia="zh-CN"/>
              </w:rPr>
              <w:t>分，每少一项扣1</w:t>
            </w:r>
            <w:r>
              <w:rPr>
                <w:rFonts w:hint="eastAsia"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lang w:val="en-US" w:eastAsia="zh-CN"/>
              </w:rPr>
              <w:t>分，扣完为止。</w:t>
            </w:r>
          </w:p>
        </w:tc>
      </w:tr>
      <w:tr w14:paraId="0445E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090" w:type="dxa"/>
            <w:vMerge w:val="continue"/>
            <w:tcBorders>
              <w:left w:val="single" w:color="auto" w:sz="4" w:space="0"/>
            </w:tcBorders>
            <w:noWrap w:val="0"/>
            <w:vAlign w:val="center"/>
          </w:tcPr>
          <w:p w14:paraId="28AAAC1D">
            <w:pPr>
              <w:tabs>
                <w:tab w:val="left" w:pos="5130"/>
              </w:tabs>
              <w:adjustRightInd w:val="0"/>
              <w:snapToGrid w:val="0"/>
              <w:spacing w:line="360" w:lineRule="auto"/>
              <w:rPr>
                <w:rFonts w:hint="eastAsia" w:ascii="宋体" w:hAnsi="宋体" w:eastAsia="宋体" w:cs="宋体"/>
                <w:bCs/>
                <w:color w:val="auto"/>
                <w:sz w:val="21"/>
                <w:szCs w:val="21"/>
                <w:highlight w:val="none"/>
              </w:rPr>
            </w:pPr>
          </w:p>
        </w:tc>
        <w:tc>
          <w:tcPr>
            <w:tcW w:w="1534" w:type="dxa"/>
            <w:tcBorders>
              <w:right w:val="single" w:color="auto" w:sz="4" w:space="0"/>
            </w:tcBorders>
            <w:noWrap w:val="0"/>
            <w:vAlign w:val="center"/>
          </w:tcPr>
          <w:p w14:paraId="5E917021">
            <w:pPr>
              <w:autoSpaceDE w:val="0"/>
              <w:autoSpaceDN w:val="0"/>
              <w:spacing w:line="36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售后服务承诺</w:t>
            </w:r>
          </w:p>
          <w:p w14:paraId="14D5AC3F">
            <w:pPr>
              <w:autoSpaceDE w:val="0"/>
              <w:autoSpaceDN w:val="0"/>
              <w:spacing w:line="360" w:lineRule="auto"/>
              <w:jc w:val="center"/>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5</w:t>
            </w:r>
            <w:r>
              <w:rPr>
                <w:rFonts w:hint="eastAsia" w:ascii="宋体" w:hAnsi="宋体" w:eastAsia="宋体" w:cs="宋体"/>
                <w:bCs/>
                <w:color w:val="auto"/>
                <w:sz w:val="21"/>
                <w:szCs w:val="21"/>
                <w:highlight w:val="none"/>
                <w:lang w:val="en-US" w:eastAsia="zh-CN"/>
              </w:rPr>
              <w:t>分</w:t>
            </w:r>
            <w:r>
              <w:rPr>
                <w:rFonts w:hint="eastAsia" w:ascii="宋体" w:hAnsi="宋体" w:eastAsia="宋体" w:cs="宋体"/>
                <w:bCs/>
                <w:color w:val="auto"/>
                <w:sz w:val="21"/>
                <w:szCs w:val="21"/>
                <w:highlight w:val="none"/>
                <w:lang w:eastAsia="zh-CN"/>
              </w:rPr>
              <w:t>）</w:t>
            </w:r>
          </w:p>
        </w:tc>
        <w:tc>
          <w:tcPr>
            <w:tcW w:w="7650" w:type="dxa"/>
            <w:tcBorders>
              <w:left w:val="single" w:color="auto" w:sz="4" w:space="0"/>
            </w:tcBorders>
            <w:noWrap w:val="0"/>
            <w:vAlign w:val="top"/>
          </w:tcPr>
          <w:p w14:paraId="217EC9DF">
            <w:pPr>
              <w:pStyle w:val="48"/>
              <w:pageBreakBefore w:val="0"/>
              <w:kinsoku/>
              <w:wordWrap w:val="0"/>
              <w:overflowPunct/>
              <w:bidi w:val="0"/>
              <w:spacing w:line="360" w:lineRule="auto"/>
              <w:ind w:left="0" w:leftChars="0" w:firstLine="0" w:firstLineChars="0"/>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1.供应商具有质保期内、外服务承诺及措施得2分；</w:t>
            </w:r>
          </w:p>
          <w:p w14:paraId="2BF4FA4C">
            <w:pPr>
              <w:pStyle w:val="48"/>
              <w:pageBreakBefore w:val="0"/>
              <w:kinsoku/>
              <w:wordWrap w:val="0"/>
              <w:overflowPunct/>
              <w:bidi w:val="0"/>
              <w:spacing w:line="360" w:lineRule="auto"/>
              <w:ind w:left="0" w:leftChars="0" w:firstLine="0" w:firstLineChars="0"/>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 xml:space="preserve">2.供应商具有针对本项目后期使用、维护等方面提出的建议与措施，得2分；  </w:t>
            </w:r>
          </w:p>
          <w:p w14:paraId="7E72F3D8">
            <w:pPr>
              <w:pStyle w:val="48"/>
              <w:pageBreakBefore w:val="0"/>
              <w:numPr>
                <w:ilvl w:val="0"/>
                <w:numId w:val="0"/>
              </w:numPr>
              <w:kinsoku/>
              <w:wordWrap w:val="0"/>
              <w:overflowPunct/>
              <w:bidi w:val="0"/>
              <w:spacing w:line="360" w:lineRule="auto"/>
              <w:ind w:left="0" w:leftChars="0" w:right="0" w:rightChars="0" w:firstLine="0" w:firstLineChars="0"/>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vertAlign w:val="baseline"/>
                <w:lang w:val="en-US" w:eastAsia="zh-CN"/>
              </w:rPr>
              <w:t>3.供应商具有针对本项目的</w:t>
            </w:r>
            <w:r>
              <w:rPr>
                <w:rFonts w:hint="eastAsia" w:ascii="宋体" w:hAnsi="宋体" w:eastAsia="宋体" w:cs="宋体"/>
                <w:color w:val="auto"/>
                <w:sz w:val="21"/>
                <w:szCs w:val="21"/>
                <w:highlight w:val="none"/>
                <w:u w:val="none" w:color="auto"/>
                <w:lang w:val="en-US" w:eastAsia="zh-CN"/>
              </w:rPr>
              <w:t>售后保障体系：售后服务安排、问题处理的反应速度及售后保障体系，得</w:t>
            </w:r>
            <w:r>
              <w:rPr>
                <w:rFonts w:hint="eastAsia" w:hAnsi="宋体" w:cs="宋体"/>
                <w:color w:val="auto"/>
                <w:sz w:val="21"/>
                <w:szCs w:val="21"/>
                <w:highlight w:val="none"/>
                <w:u w:val="none" w:color="auto"/>
                <w:lang w:val="en-US" w:eastAsia="zh-CN"/>
              </w:rPr>
              <w:t>1</w:t>
            </w:r>
            <w:r>
              <w:rPr>
                <w:rFonts w:hint="eastAsia" w:ascii="宋体" w:hAnsi="宋体" w:eastAsia="宋体" w:cs="宋体"/>
                <w:color w:val="auto"/>
                <w:sz w:val="21"/>
                <w:szCs w:val="21"/>
                <w:highlight w:val="none"/>
                <w:u w:val="none" w:color="auto"/>
                <w:lang w:val="en-US" w:eastAsia="zh-CN"/>
              </w:rPr>
              <w:t>分；</w:t>
            </w:r>
          </w:p>
          <w:p w14:paraId="235FA646">
            <w:pPr>
              <w:pStyle w:val="48"/>
              <w:pageBreakBefore w:val="0"/>
              <w:numPr>
                <w:ilvl w:val="0"/>
                <w:numId w:val="0"/>
              </w:numPr>
              <w:kinsoku/>
              <w:wordWrap w:val="0"/>
              <w:overflowPunct/>
              <w:bidi w:val="0"/>
              <w:spacing w:line="360" w:lineRule="auto"/>
              <w:ind w:left="0" w:leftChars="0" w:right="0" w:rightChars="0" w:firstLine="0" w:firstLineChars="0"/>
              <w:rPr>
                <w:rFonts w:hint="eastAsia" w:ascii="宋体" w:hAnsi="宋体" w:eastAsia="宋体" w:cs="宋体"/>
                <w:color w:val="auto"/>
                <w:kern w:val="2"/>
                <w:sz w:val="21"/>
                <w:szCs w:val="21"/>
                <w:highlight w:val="none"/>
                <w:u w:val="none" w:color="auto"/>
                <w:lang w:val="en-US" w:eastAsia="zh-CN" w:bidi="ar-SA"/>
              </w:rPr>
            </w:pPr>
            <w:r>
              <w:rPr>
                <w:rFonts w:hint="eastAsia" w:ascii="宋体" w:hAnsi="宋体" w:eastAsia="宋体" w:cs="宋体"/>
                <w:color w:val="auto"/>
                <w:sz w:val="21"/>
                <w:szCs w:val="21"/>
                <w:highlight w:val="none"/>
                <w:u w:val="none" w:color="auto"/>
                <w:lang w:val="en-US" w:eastAsia="zh-CN"/>
              </w:rPr>
              <w:t xml:space="preserve">未提供不得分或者不全者不得分。                        </w:t>
            </w:r>
          </w:p>
        </w:tc>
      </w:tr>
    </w:tbl>
    <w:p w14:paraId="5D9A74B3">
      <w:pPr>
        <w:pStyle w:val="19"/>
        <w:spacing w:before="0" w:beforeAutospacing="0" w:after="0" w:afterAutospacing="0"/>
        <w:contextualSpacing/>
        <w:rPr>
          <w:rFonts w:hint="eastAsia" w:ascii="宋体" w:hAnsi="宋体" w:eastAsia="宋体" w:cs="宋体"/>
          <w:color w:val="auto"/>
          <w:kern w:val="1"/>
          <w:szCs w:val="22"/>
          <w:highlight w:val="none"/>
        </w:rPr>
      </w:pPr>
    </w:p>
    <w:p w14:paraId="45481C30">
      <w:pPr>
        <w:pStyle w:val="10"/>
        <w:rPr>
          <w:rFonts w:hint="eastAsia" w:ascii="宋体" w:hAnsi="宋体" w:eastAsia="宋体" w:cs="宋体"/>
          <w:color w:val="auto"/>
          <w:highlight w:val="none"/>
        </w:rPr>
      </w:pPr>
    </w:p>
    <w:p w14:paraId="5EDF4BA9">
      <w:pPr>
        <w:pStyle w:val="22"/>
        <w:spacing w:line="420" w:lineRule="exact"/>
        <w:ind w:right="-21" w:firstLine="0" w:firstLineChars="0"/>
        <w:jc w:val="left"/>
        <w:rPr>
          <w:rFonts w:hint="eastAsia" w:ascii="宋体" w:hAnsi="宋体" w:eastAsia="宋体" w:cs="宋体"/>
          <w:color w:val="auto"/>
          <w:kern w:val="2"/>
          <w:szCs w:val="20"/>
          <w:highlight w:val="none"/>
        </w:rPr>
      </w:pPr>
      <w:r>
        <w:rPr>
          <w:rFonts w:hint="eastAsia" w:ascii="宋体" w:hAnsi="宋体" w:eastAsia="宋体" w:cs="宋体"/>
          <w:color w:val="auto"/>
          <w:kern w:val="2"/>
          <w:szCs w:val="20"/>
          <w:highlight w:val="none"/>
        </w:rPr>
        <w:t>备注：供应商综合得分等于以上三大部分共五项的汇总得分。</w:t>
      </w:r>
    </w:p>
    <w:p w14:paraId="5A7EC3E5">
      <w:pPr>
        <w:pStyle w:val="19"/>
        <w:spacing w:before="0" w:beforeAutospacing="0" w:after="0" w:afterAutospacing="0"/>
        <w:contextualSpacing/>
        <w:rPr>
          <w:rFonts w:hint="eastAsia" w:ascii="宋体" w:hAnsi="宋体" w:eastAsia="宋体" w:cs="宋体"/>
          <w:color w:val="auto"/>
          <w:sz w:val="28"/>
          <w:szCs w:val="28"/>
          <w:highlight w:val="none"/>
        </w:rPr>
      </w:pPr>
      <w:r>
        <w:rPr>
          <w:rFonts w:hint="eastAsia" w:ascii="宋体" w:hAnsi="宋体" w:eastAsia="宋体" w:cs="宋体"/>
          <w:color w:val="auto"/>
          <w:kern w:val="2"/>
          <w:szCs w:val="20"/>
          <w:highlight w:val="none"/>
        </w:rPr>
        <w:t>评标委员会对各供应商的得分进行汇总，计算过程中评委个人分值和最终结果分值均按四舍五入保留两位小数。以各个评委打分的算术平均值作为该供应商的最终得分。</w:t>
      </w:r>
    </w:p>
    <w:p w14:paraId="40E511C1">
      <w:pPr>
        <w:pStyle w:val="19"/>
        <w:spacing w:before="0" w:beforeAutospacing="0" w:after="0" w:afterAutospacing="0"/>
        <w:contextualSpacing/>
        <w:jc w:val="center"/>
        <w:rPr>
          <w:rFonts w:hint="eastAsia" w:ascii="宋体" w:hAnsi="宋体" w:eastAsia="宋体" w:cs="宋体"/>
          <w:color w:val="auto"/>
          <w:sz w:val="28"/>
          <w:szCs w:val="28"/>
          <w:highlight w:val="none"/>
        </w:rPr>
      </w:pPr>
    </w:p>
    <w:p w14:paraId="45140A1A">
      <w:pPr>
        <w:rPr>
          <w:rFonts w:hint="eastAsia" w:ascii="宋体" w:hAnsi="宋体" w:eastAsia="宋体" w:cs="宋体"/>
          <w:b/>
          <w:color w:val="auto"/>
          <w:kern w:val="1"/>
          <w:sz w:val="24"/>
          <w:highlight w:val="none"/>
        </w:rPr>
      </w:pPr>
      <w:r>
        <w:rPr>
          <w:rFonts w:hint="eastAsia" w:ascii="宋体" w:hAnsi="宋体" w:eastAsia="宋体" w:cs="宋体"/>
          <w:color w:val="auto"/>
          <w:kern w:val="1"/>
          <w:szCs w:val="22"/>
          <w:highlight w:val="none"/>
        </w:rPr>
        <w:br w:type="page"/>
      </w:r>
      <w:bookmarkEnd w:id="60"/>
      <w:bookmarkStart w:id="66" w:name="_Toc527725920"/>
      <w:r>
        <w:rPr>
          <w:rFonts w:hint="eastAsia" w:ascii="宋体" w:hAnsi="宋体" w:eastAsia="宋体" w:cs="宋体"/>
          <w:b/>
          <w:color w:val="auto"/>
          <w:kern w:val="1"/>
          <w:sz w:val="24"/>
          <w:highlight w:val="none"/>
        </w:rPr>
        <w:t>注：评标结束后，由采购人对评审结果及</w:t>
      </w:r>
      <w:r>
        <w:rPr>
          <w:rFonts w:hint="eastAsia" w:ascii="宋体" w:hAnsi="宋体" w:cs="宋体"/>
          <w:b/>
          <w:color w:val="auto"/>
          <w:kern w:val="1"/>
          <w:sz w:val="24"/>
          <w:highlight w:val="none"/>
          <w:lang w:eastAsia="zh-CN"/>
        </w:rPr>
        <w:t>投标</w:t>
      </w:r>
      <w:r>
        <w:rPr>
          <w:rFonts w:hint="eastAsia" w:ascii="宋体" w:hAnsi="宋体" w:eastAsia="宋体" w:cs="宋体"/>
          <w:b/>
          <w:color w:val="auto"/>
          <w:kern w:val="1"/>
          <w:sz w:val="24"/>
          <w:highlight w:val="none"/>
        </w:rPr>
        <w:t>文件等进行复核，并在法定的时间内确定中标人。</w:t>
      </w:r>
    </w:p>
    <w:p w14:paraId="7BA1F871">
      <w:pPr>
        <w:adjustRightInd w:val="0"/>
        <w:snapToGrid w:val="0"/>
        <w:spacing w:line="360" w:lineRule="auto"/>
        <w:ind w:right="-1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7E70827E">
      <w:pPr>
        <w:adjustRightInd w:val="0"/>
        <w:snapToGrid w:val="0"/>
        <w:spacing w:line="360" w:lineRule="auto"/>
        <w:ind w:right="-1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4C442C9B">
      <w:pPr>
        <w:pStyle w:val="9"/>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Cs/>
          <w:color w:val="auto"/>
          <w:sz w:val="24"/>
          <w:highlight w:val="none"/>
        </w:rPr>
        <w:t xml:space="preserve"> 评委独立评审后，评委会对投标人某项指标如有不同意见，按照少数服从多数的原则，确定该项指标是否通过。</w:t>
      </w:r>
    </w:p>
    <w:p w14:paraId="10F9D82F">
      <w:pPr>
        <w:spacing w:line="360" w:lineRule="auto"/>
        <w:ind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第十一条</w:t>
      </w:r>
      <w:r>
        <w:rPr>
          <w:rFonts w:hint="eastAsia" w:ascii="宋体" w:hAnsi="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6796F6B9">
      <w:pPr>
        <w:pStyle w:val="9"/>
        <w:spacing w:line="360" w:lineRule="auto"/>
        <w:ind w:right="-10" w:firstLine="482"/>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第十二条</w:t>
      </w:r>
      <w:r>
        <w:rPr>
          <w:rFonts w:hint="eastAsia" w:ascii="宋体" w:hAnsi="宋体" w:eastAsia="宋体" w:cs="宋体"/>
          <w:bCs/>
          <w:color w:val="auto"/>
          <w:sz w:val="24"/>
          <w:highlight w:val="none"/>
        </w:rPr>
        <w:t xml:space="preserve"> 评委会在评标过程中发现的问题，应当及时作出处理或者向采购人提出处理建议，并作书面记录。</w:t>
      </w:r>
    </w:p>
    <w:p w14:paraId="63162E0C">
      <w:pPr>
        <w:adjustRightInd w:val="0"/>
        <w:snapToGrid w:val="0"/>
        <w:spacing w:line="360" w:lineRule="auto"/>
        <w:ind w:right="-10"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第十三条</w:t>
      </w:r>
      <w:r>
        <w:rPr>
          <w:rFonts w:hint="eastAsia" w:ascii="宋体" w:hAnsi="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D243DCE">
      <w:pPr>
        <w:rPr>
          <w:rFonts w:hint="eastAsia" w:ascii="宋体" w:hAnsi="宋体" w:cs="宋体"/>
          <w:color w:val="auto"/>
          <w:highlight w:val="none"/>
        </w:rPr>
      </w:pPr>
    </w:p>
    <w:p w14:paraId="560011FA">
      <w:pPr>
        <w:adjustRightInd w:val="0"/>
        <w:snapToGrid w:val="0"/>
        <w:spacing w:line="360" w:lineRule="auto"/>
        <w:jc w:val="center"/>
        <w:outlineLvl w:val="1"/>
        <w:rPr>
          <w:rFonts w:hint="eastAsia" w:ascii="宋体" w:hAnsi="宋体" w:cs="宋体"/>
          <w:b/>
          <w:bCs/>
          <w:color w:val="auto"/>
          <w:sz w:val="24"/>
          <w:highlight w:val="none"/>
        </w:rPr>
      </w:pPr>
      <w:bookmarkStart w:id="67" w:name="_Toc40_WPSOffice_Level2"/>
      <w:r>
        <w:rPr>
          <w:rFonts w:hint="eastAsia" w:ascii="宋体" w:hAnsi="宋体" w:cs="宋体"/>
          <w:b/>
          <w:bCs/>
          <w:color w:val="auto"/>
          <w:sz w:val="24"/>
          <w:highlight w:val="none"/>
        </w:rPr>
        <w:t>三．评标纪律</w:t>
      </w:r>
      <w:bookmarkEnd w:id="67"/>
    </w:p>
    <w:p w14:paraId="58960D67">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第十四条</w:t>
      </w:r>
      <w:r>
        <w:rPr>
          <w:rFonts w:hint="eastAsia" w:ascii="宋体" w:hAnsi="宋体" w:cs="宋体"/>
          <w:bCs/>
          <w:color w:val="auto"/>
          <w:sz w:val="24"/>
          <w:highlight w:val="none"/>
        </w:rPr>
        <w:t xml:space="preserve"> 评委会和评标工作人员应严格遵守国家的法律、法规和规章制度；</w:t>
      </w:r>
      <w:r>
        <w:rPr>
          <w:rFonts w:hint="eastAsia" w:ascii="宋体" w:hAnsi="宋体" w:cs="宋体"/>
          <w:color w:val="auto"/>
          <w:sz w:val="24"/>
          <w:highlight w:val="none"/>
        </w:rPr>
        <w:t>严格按照本次招标文件进行评标；公正廉洁、不徇私情，不得损害国家利益；保护招、投标人的合法权益。</w:t>
      </w:r>
    </w:p>
    <w:p w14:paraId="130B6376">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第十五条 </w:t>
      </w:r>
      <w:r>
        <w:rPr>
          <w:rFonts w:hint="eastAsia" w:ascii="宋体" w:hAnsi="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40A288AE">
      <w:pPr>
        <w:spacing w:line="360" w:lineRule="auto"/>
        <w:ind w:firstLine="482" w:firstLineChars="200"/>
        <w:jc w:val="left"/>
        <w:outlineLvl w:val="2"/>
        <w:rPr>
          <w:rFonts w:hint="eastAsia" w:ascii="宋体" w:hAnsi="宋体" w:cs="宋体"/>
          <w:color w:val="auto"/>
          <w:sz w:val="24"/>
          <w:highlight w:val="none"/>
        </w:rPr>
      </w:pPr>
      <w:r>
        <w:rPr>
          <w:rFonts w:hint="eastAsia" w:ascii="宋体" w:hAnsi="宋体" w:cs="宋体"/>
          <w:b/>
          <w:color w:val="auto"/>
          <w:sz w:val="24"/>
          <w:highlight w:val="none"/>
        </w:rPr>
        <w:t>第十六条</w:t>
      </w:r>
      <w:r>
        <w:rPr>
          <w:rFonts w:hint="eastAsia" w:ascii="宋体" w:hAnsi="宋体" w:cs="宋体"/>
          <w:color w:val="auto"/>
          <w:sz w:val="24"/>
          <w:highlight w:val="none"/>
        </w:rPr>
        <w:t xml:space="preserve"> 在招标采购中，出现下列情形之一的，应予废标：</w:t>
      </w:r>
    </w:p>
    <w:p w14:paraId="03776DB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1.出现影响采购公正的违法、违规行为的。</w:t>
      </w:r>
    </w:p>
    <w:p w14:paraId="573F5A1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2.投标时有弄虚作假的行为。</w:t>
      </w:r>
    </w:p>
    <w:p w14:paraId="75012491">
      <w:pPr>
        <w:spacing w:line="360" w:lineRule="auto"/>
        <w:ind w:firstLine="475" w:firstLineChars="197"/>
        <w:rPr>
          <w:rFonts w:hint="eastAsia" w:ascii="宋体" w:hAnsi="宋体" w:cs="宋体"/>
          <w:color w:val="auto"/>
          <w:sz w:val="24"/>
          <w:highlight w:val="none"/>
        </w:rPr>
      </w:pPr>
      <w:r>
        <w:rPr>
          <w:rFonts w:hint="eastAsia" w:ascii="宋体" w:hAnsi="宋体" w:cs="宋体"/>
          <w:b/>
          <w:color w:val="auto"/>
          <w:sz w:val="24"/>
          <w:highlight w:val="none"/>
        </w:rPr>
        <w:t xml:space="preserve">第十七条 </w:t>
      </w:r>
      <w:r>
        <w:rPr>
          <w:rFonts w:hint="eastAsia" w:ascii="宋体" w:hAnsi="宋体" w:cs="宋体"/>
          <w:color w:val="auto"/>
          <w:sz w:val="24"/>
          <w:highlight w:val="none"/>
        </w:rPr>
        <w:t>在投标过程中，出现下列情况之一的，按照无效投标处理：</w:t>
      </w:r>
    </w:p>
    <w:p w14:paraId="599D3FD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1.未按照招标文件规定要求签署、签章的</w:t>
      </w:r>
      <w:r>
        <w:rPr>
          <w:rFonts w:hint="eastAsia" w:ascii="宋体" w:hAnsi="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04D971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2.不具备招标文件中规定资格要求的；</w:t>
      </w:r>
    </w:p>
    <w:p w14:paraId="26FC1CB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3.不符合法律、法规和招标文件中规定的其他实质性要求的。</w:t>
      </w:r>
    </w:p>
    <w:p w14:paraId="763A4C0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4.投标人的报价超过了采购预算，采购人不能支付的；</w:t>
      </w:r>
    </w:p>
    <w:p w14:paraId="562EC65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5.投标文件附有招标人不能接受的条件；</w:t>
      </w:r>
    </w:p>
    <w:p w14:paraId="06C0E7E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6.投标文件中对同一货物或标段提供选择性报价的；</w:t>
      </w:r>
    </w:p>
    <w:p w14:paraId="49842E7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7.商务偏差表或技术偏差表存在弄虚作假的；</w:t>
      </w:r>
    </w:p>
    <w:p w14:paraId="461C17A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8.不同供应商的电子投标（响应）文件上传计算机的网卡 MAC 地址、CPU 序列号和硬盘序列号等硬件信息相同的;</w:t>
      </w:r>
    </w:p>
    <w:p w14:paraId="3D27E38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9.不同供应商的投标（响应）文件由同一电子设备编制，打印、复印、加密或者上传的；</w:t>
      </w:r>
    </w:p>
    <w:p w14:paraId="1ACE4A2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10.不同供应商的投标（响应）文件由同一人送达或者分发，或者不同供应商联系人为同一人或不同联系人的联系电话一致的；</w:t>
      </w:r>
    </w:p>
    <w:p w14:paraId="6713E36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11.不同供应商的投标（响应）文件的内容存在两处以上细节错误一致；</w:t>
      </w:r>
    </w:p>
    <w:p w14:paraId="4B9311D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12.不同供应商的法定代表人、委托代理人、项目经理、项目负责人等由同一个单位缴纳社会保险或者领取报酬的；</w:t>
      </w:r>
    </w:p>
    <w:p w14:paraId="27F442AC">
      <w:pPr>
        <w:spacing w:line="360" w:lineRule="auto"/>
        <w:ind w:firstLine="480" w:firstLineChars="200"/>
        <w:rPr>
          <w:rFonts w:hint="eastAsia"/>
          <w:color w:val="auto"/>
          <w:highlight w:val="none"/>
        </w:rPr>
      </w:pPr>
      <w:r>
        <w:rPr>
          <w:rFonts w:hint="eastAsia" w:ascii="宋体" w:hAnsi="宋体" w:cs="宋体"/>
          <w:color w:val="auto"/>
          <w:sz w:val="24"/>
          <w:highlight w:val="none"/>
        </w:rPr>
        <w:t>13.不同供应商投标（响应）文件中法定代表人或者负责人签字出自同一人之手。</w:t>
      </w:r>
    </w:p>
    <w:p w14:paraId="3D83BBA2">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w:t>
      </w:r>
      <w:r>
        <w:rPr>
          <w:rFonts w:hint="eastAsia" w:ascii="宋体" w:hAnsi="宋体" w:cs="宋体"/>
          <w:b/>
          <w:bCs/>
          <w:color w:val="auto"/>
          <w:sz w:val="24"/>
          <w:highlight w:val="none"/>
        </w:rPr>
        <w:t>八</w:t>
      </w:r>
      <w:r>
        <w:rPr>
          <w:rFonts w:hint="eastAsia" w:ascii="宋体" w:hAnsi="宋体" w:cs="宋体"/>
          <w:b/>
          <w:color w:val="auto"/>
          <w:sz w:val="24"/>
          <w:highlight w:val="none"/>
        </w:rPr>
        <w:t xml:space="preserve">条 </w:t>
      </w:r>
      <w:r>
        <w:rPr>
          <w:rFonts w:hint="eastAsia" w:ascii="宋体" w:hAnsi="宋体" w:cs="宋体"/>
          <w:color w:val="auto"/>
          <w:sz w:val="24"/>
          <w:highlight w:val="none"/>
        </w:rPr>
        <w:t>在投标文件中，出现下列情形之一的，其投标有可能被拒绝：</w:t>
      </w:r>
    </w:p>
    <w:p w14:paraId="06C9BB5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1.交货完工期不确切、不肯定的投标；</w:t>
      </w:r>
    </w:p>
    <w:p w14:paraId="48E89AE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2.对售后服务、付款方式不满足招标文件要求的； </w:t>
      </w:r>
    </w:p>
    <w:p w14:paraId="1A25109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3.投标人没有实质性响应招标文件的要求和条件的；</w:t>
      </w:r>
    </w:p>
    <w:p w14:paraId="52E835E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27FA70D2">
      <w:pPr>
        <w:spacing w:line="360" w:lineRule="auto"/>
        <w:ind w:firstLine="482" w:firstLineChars="200"/>
        <w:outlineLvl w:val="2"/>
        <w:rPr>
          <w:rFonts w:hint="eastAsia" w:ascii="宋体" w:hAnsi="宋体" w:cs="宋体"/>
          <w:color w:val="auto"/>
          <w:sz w:val="24"/>
          <w:highlight w:val="none"/>
        </w:rPr>
      </w:pPr>
      <w:r>
        <w:rPr>
          <w:rFonts w:hint="eastAsia" w:ascii="宋体" w:hAnsi="宋体" w:cs="宋体"/>
          <w:b/>
          <w:color w:val="auto"/>
          <w:sz w:val="24"/>
          <w:highlight w:val="none"/>
        </w:rPr>
        <w:t>第十九条</w:t>
      </w:r>
      <w:r>
        <w:rPr>
          <w:rFonts w:hint="eastAsia" w:ascii="宋体" w:hAnsi="宋体" w:cs="宋体"/>
          <w:color w:val="auto"/>
          <w:sz w:val="24"/>
          <w:highlight w:val="none"/>
        </w:rPr>
        <w:t xml:space="preserve"> 本评标办法的解释权属于采购人。</w:t>
      </w:r>
    </w:p>
    <w:p w14:paraId="3DD11C41">
      <w:pPr>
        <w:spacing w:line="360" w:lineRule="auto"/>
        <w:ind w:firstLine="480" w:firstLineChars="200"/>
        <w:rPr>
          <w:rFonts w:hint="eastAsia" w:ascii="宋体" w:hAnsi="宋体" w:eastAsia="宋体" w:cs="宋体"/>
          <w:color w:val="auto"/>
          <w:sz w:val="24"/>
          <w:highlight w:val="none"/>
        </w:rPr>
      </w:pPr>
    </w:p>
    <w:p w14:paraId="24EF3644">
      <w:pPr>
        <w:pStyle w:val="3"/>
        <w:spacing w:before="0" w:after="0" w:line="400" w:lineRule="exact"/>
        <w:rPr>
          <w:rFonts w:hint="eastAsia" w:ascii="宋体" w:hAnsi="宋体" w:eastAsia="宋体" w:cs="宋体"/>
          <w:color w:val="auto"/>
          <w:highlight w:val="none"/>
        </w:rPr>
      </w:pPr>
      <w:r>
        <w:rPr>
          <w:rFonts w:hint="eastAsia" w:ascii="宋体" w:hAnsi="宋体" w:eastAsia="宋体" w:cs="宋体"/>
          <w:b w:val="0"/>
          <w:bCs w:val="0"/>
          <w:color w:val="auto"/>
          <w:sz w:val="32"/>
          <w:highlight w:val="none"/>
        </w:rPr>
        <w:br w:type="page"/>
      </w:r>
      <w:bookmarkEnd w:id="66"/>
      <w:bookmarkStart w:id="68" w:name="_Toc40975440"/>
      <w:r>
        <w:rPr>
          <w:rFonts w:hint="eastAsia" w:ascii="宋体" w:hAnsi="宋体" w:cs="宋体"/>
          <w:color w:val="auto"/>
          <w:sz w:val="32"/>
          <w:highlight w:val="none"/>
        </w:rPr>
        <w:t>招标文件第二部分</w:t>
      </w:r>
      <w:bookmarkEnd w:id="68"/>
      <w:bookmarkStart w:id="69" w:name="_Toc40975441"/>
      <w:bookmarkStart w:id="70" w:name="_Toc527725921"/>
    </w:p>
    <w:p w14:paraId="2127D4F9">
      <w:pPr>
        <w:pStyle w:val="4"/>
        <w:spacing w:line="500" w:lineRule="exact"/>
        <w:ind w:firstLine="0"/>
        <w:outlineLvl w:val="0"/>
        <w:rPr>
          <w:rFonts w:hint="eastAsia" w:ascii="宋体" w:hAnsi="宋体" w:eastAsia="宋体" w:cs="宋体"/>
          <w:color w:val="auto"/>
          <w:highlight w:val="none"/>
        </w:rPr>
      </w:pPr>
      <w:r>
        <w:rPr>
          <w:rFonts w:hint="eastAsia" w:ascii="宋体" w:hAnsi="宋体" w:eastAsia="宋体" w:cs="宋体"/>
          <w:color w:val="auto"/>
          <w:highlight w:val="none"/>
        </w:rPr>
        <w:t>第五章 投标人须知</w:t>
      </w:r>
      <w:bookmarkEnd w:id="69"/>
      <w:bookmarkEnd w:id="70"/>
    </w:p>
    <w:p w14:paraId="0C1DB504">
      <w:pPr>
        <w:pStyle w:val="5"/>
        <w:spacing w:line="500" w:lineRule="exact"/>
        <w:outlineLvl w:val="1"/>
        <w:rPr>
          <w:rFonts w:hint="eastAsia" w:hAnsi="宋体" w:cs="宋体"/>
          <w:color w:val="auto"/>
          <w:sz w:val="28"/>
          <w:highlight w:val="none"/>
        </w:rPr>
      </w:pPr>
      <w:bookmarkStart w:id="71" w:name="_Hlt509650686"/>
      <w:bookmarkEnd w:id="71"/>
      <w:bookmarkStart w:id="72" w:name="_Hlt509649998"/>
      <w:bookmarkEnd w:id="72"/>
      <w:bookmarkStart w:id="73" w:name="_Hlt509649722"/>
      <w:bookmarkEnd w:id="73"/>
      <w:bookmarkStart w:id="74" w:name="_Hlt509650126"/>
      <w:bookmarkEnd w:id="74"/>
      <w:bookmarkStart w:id="75" w:name="_Hlt526418143"/>
      <w:bookmarkEnd w:id="75"/>
      <w:bookmarkStart w:id="76" w:name="_Hlt509650955"/>
      <w:bookmarkEnd w:id="76"/>
      <w:bookmarkStart w:id="77" w:name="_Toc527725922"/>
      <w:bookmarkStart w:id="78" w:name="_Toc40975442"/>
      <w:r>
        <w:rPr>
          <w:rFonts w:hint="eastAsia" w:hAnsi="宋体" w:cs="宋体"/>
          <w:color w:val="auto"/>
          <w:sz w:val="28"/>
          <w:highlight w:val="none"/>
        </w:rPr>
        <w:t>一．总    则</w:t>
      </w:r>
      <w:bookmarkEnd w:id="77"/>
      <w:bookmarkEnd w:id="78"/>
    </w:p>
    <w:p w14:paraId="4BA85F1C">
      <w:pPr>
        <w:spacing w:line="360" w:lineRule="auto"/>
        <w:ind w:firstLine="550"/>
        <w:outlineLvl w:val="2"/>
        <w:rPr>
          <w:rFonts w:hint="eastAsia" w:ascii="宋体" w:hAnsi="宋体" w:cs="宋体"/>
          <w:b/>
          <w:color w:val="auto"/>
          <w:sz w:val="24"/>
          <w:highlight w:val="none"/>
        </w:rPr>
      </w:pPr>
      <w:r>
        <w:rPr>
          <w:rFonts w:hint="eastAsia" w:ascii="宋体" w:hAnsi="宋体" w:cs="宋体"/>
          <w:b/>
          <w:color w:val="auto"/>
          <w:sz w:val="24"/>
          <w:highlight w:val="none"/>
        </w:rPr>
        <w:t>1.适用范围</w:t>
      </w:r>
    </w:p>
    <w:p w14:paraId="0AB337A6">
      <w:pPr>
        <w:spacing w:line="360" w:lineRule="auto"/>
        <w:ind w:firstLine="550"/>
        <w:outlineLvl w:val="3"/>
        <w:rPr>
          <w:rFonts w:hint="eastAsia" w:ascii="宋体" w:hAnsi="宋体" w:cs="宋体"/>
          <w:color w:val="auto"/>
          <w:sz w:val="24"/>
          <w:highlight w:val="none"/>
        </w:rPr>
      </w:pPr>
      <w:r>
        <w:rPr>
          <w:rFonts w:hint="eastAsia" w:ascii="宋体" w:hAnsi="宋体" w:cs="宋体"/>
          <w:color w:val="auto"/>
          <w:sz w:val="24"/>
          <w:highlight w:val="none"/>
        </w:rPr>
        <w:t>1.1本招标文件仅适用于本次公开招标所述的货物项目采购。</w:t>
      </w:r>
    </w:p>
    <w:p w14:paraId="2B304F2D">
      <w:pPr>
        <w:spacing w:line="360" w:lineRule="auto"/>
        <w:ind w:firstLine="550"/>
        <w:outlineLvl w:val="2"/>
        <w:rPr>
          <w:rFonts w:hint="eastAsia" w:ascii="宋体" w:hAnsi="宋体" w:cs="宋体"/>
          <w:b/>
          <w:color w:val="auto"/>
          <w:sz w:val="24"/>
          <w:highlight w:val="none"/>
        </w:rPr>
      </w:pPr>
      <w:r>
        <w:rPr>
          <w:rFonts w:hint="eastAsia" w:ascii="宋体" w:hAnsi="宋体" w:cs="宋体"/>
          <w:b/>
          <w:color w:val="auto"/>
          <w:sz w:val="24"/>
          <w:highlight w:val="none"/>
        </w:rPr>
        <w:t>2.有关定义</w:t>
      </w:r>
    </w:p>
    <w:p w14:paraId="513D25E0">
      <w:pPr>
        <w:spacing w:line="360" w:lineRule="auto"/>
        <w:ind w:firstLine="550"/>
        <w:outlineLvl w:val="3"/>
        <w:rPr>
          <w:rFonts w:hint="eastAsia" w:ascii="宋体" w:hAnsi="宋体" w:cs="宋体"/>
          <w:color w:val="auto"/>
          <w:sz w:val="24"/>
          <w:highlight w:val="none"/>
        </w:rPr>
      </w:pPr>
      <w:r>
        <w:rPr>
          <w:rFonts w:hint="eastAsia" w:ascii="宋体" w:hAnsi="宋体" w:cs="宋体"/>
          <w:color w:val="auto"/>
          <w:sz w:val="24"/>
          <w:highlight w:val="none"/>
        </w:rPr>
        <w:t>2.1招标人（采购人）：</w:t>
      </w:r>
      <w:r>
        <w:rPr>
          <w:rFonts w:hint="eastAsia" w:ascii="宋体" w:hAnsi="宋体" w:cs="宋体"/>
          <w:color w:val="auto"/>
          <w:sz w:val="24"/>
          <w:szCs w:val="24"/>
          <w:highlight w:val="none"/>
          <w:lang w:eastAsia="zh-CN"/>
        </w:rPr>
        <w:t>周口市淮阳区教育体育局</w:t>
      </w:r>
      <w:r>
        <w:rPr>
          <w:rFonts w:hint="eastAsia" w:ascii="宋体" w:hAnsi="宋体" w:cs="宋体"/>
          <w:color w:val="auto"/>
          <w:sz w:val="24"/>
          <w:highlight w:val="none"/>
        </w:rPr>
        <w:t>。</w:t>
      </w:r>
    </w:p>
    <w:p w14:paraId="4D6B6A4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2.2招标代理机构（集中采购机构）：系指周口市公共资源交易中心政府采购中心，以下简称“采购中心”。</w:t>
      </w:r>
    </w:p>
    <w:p w14:paraId="2F98461C">
      <w:pPr>
        <w:spacing w:line="360" w:lineRule="auto"/>
        <w:ind w:firstLine="550"/>
        <w:outlineLvl w:val="3"/>
        <w:rPr>
          <w:rFonts w:hint="eastAsia" w:ascii="宋体" w:hAnsi="宋体" w:cs="宋体"/>
          <w:color w:val="auto"/>
          <w:sz w:val="24"/>
          <w:highlight w:val="none"/>
        </w:rPr>
      </w:pPr>
      <w:r>
        <w:rPr>
          <w:rFonts w:hint="eastAsia" w:ascii="宋体" w:hAnsi="宋体" w:cs="宋体"/>
          <w:color w:val="auto"/>
          <w:sz w:val="24"/>
          <w:highlight w:val="none"/>
        </w:rPr>
        <w:t>2.3政府采购监督管理部门：系指</w:t>
      </w:r>
      <w:r>
        <w:rPr>
          <w:rFonts w:hint="eastAsia" w:ascii="宋体" w:hAnsi="宋体" w:cs="宋体"/>
          <w:color w:val="auto"/>
          <w:sz w:val="24"/>
          <w:szCs w:val="24"/>
          <w:highlight w:val="none"/>
          <w:lang w:eastAsia="zh-CN"/>
        </w:rPr>
        <w:t>周口市淮阳区</w:t>
      </w:r>
      <w:r>
        <w:rPr>
          <w:rFonts w:hint="eastAsia" w:ascii="宋体" w:hAnsi="宋体" w:cs="宋体"/>
          <w:color w:val="auto"/>
          <w:sz w:val="24"/>
          <w:szCs w:val="24"/>
          <w:highlight w:val="none"/>
          <w:lang w:val="en-US" w:eastAsia="zh-CN"/>
        </w:rPr>
        <w:t>财政局</w:t>
      </w:r>
      <w:r>
        <w:rPr>
          <w:rFonts w:hint="eastAsia" w:ascii="宋体" w:hAnsi="宋体" w:cs="宋体"/>
          <w:color w:val="auto"/>
          <w:sz w:val="24"/>
          <w:highlight w:val="none"/>
        </w:rPr>
        <w:t>。</w:t>
      </w:r>
    </w:p>
    <w:p w14:paraId="660620D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2.4投标人：系指已经在周口市公共资源交易中心网上报名，且已经提交或准备提交本次投标文件的制造商、供应商或服务商。</w:t>
      </w:r>
    </w:p>
    <w:p w14:paraId="74B7CC7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2.5货物：系指各种形态和种类的物品，包括原材料、燃料、设备、产品等，包括与之相关的备品备件、工具、手册及安装、调试、技术协助、校准、培训、售后服务等。</w:t>
      </w:r>
    </w:p>
    <w:p w14:paraId="54FFEDF7">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2.6业绩：系指符合本招标文件规定且已供货（安装）完毕的合同及相关证明。</w:t>
      </w:r>
    </w:p>
    <w:p w14:paraId="0ADB95E6">
      <w:pPr>
        <w:spacing w:line="360" w:lineRule="auto"/>
        <w:ind w:firstLine="550"/>
        <w:outlineLvl w:val="3"/>
        <w:rPr>
          <w:rFonts w:hint="eastAsia" w:ascii="宋体" w:hAnsi="宋体" w:cs="宋体"/>
          <w:color w:val="auto"/>
          <w:sz w:val="24"/>
          <w:highlight w:val="none"/>
        </w:rPr>
      </w:pPr>
      <w:r>
        <w:rPr>
          <w:rFonts w:hint="eastAsia" w:ascii="宋体" w:hAnsi="宋体" w:cs="宋体"/>
          <w:color w:val="auto"/>
          <w:sz w:val="24"/>
          <w:highlight w:val="none"/>
        </w:rPr>
        <w:t>2.7投标人公章：在电子投标文件中系指投标人电子签章。</w:t>
      </w:r>
    </w:p>
    <w:p w14:paraId="7BBB6C81">
      <w:pPr>
        <w:spacing w:line="360" w:lineRule="auto"/>
        <w:ind w:firstLine="550"/>
        <w:outlineLvl w:val="3"/>
        <w:rPr>
          <w:rFonts w:hint="eastAsia" w:ascii="宋体" w:hAnsi="宋体" w:cs="宋体"/>
          <w:color w:val="auto"/>
          <w:sz w:val="24"/>
          <w:highlight w:val="none"/>
        </w:rPr>
      </w:pPr>
      <w:r>
        <w:rPr>
          <w:rFonts w:hint="eastAsia" w:ascii="宋体" w:hAnsi="宋体" w:cs="宋体"/>
          <w:color w:val="auto"/>
          <w:sz w:val="24"/>
          <w:highlight w:val="none"/>
        </w:rPr>
        <w:t>2.8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284C3ACF">
      <w:pPr>
        <w:spacing w:line="360" w:lineRule="auto"/>
        <w:ind w:firstLine="550"/>
        <w:outlineLvl w:val="2"/>
        <w:rPr>
          <w:rFonts w:hint="eastAsia" w:ascii="宋体" w:hAnsi="宋体" w:cs="宋体"/>
          <w:b/>
          <w:color w:val="auto"/>
          <w:sz w:val="24"/>
          <w:highlight w:val="none"/>
        </w:rPr>
      </w:pPr>
      <w:r>
        <w:rPr>
          <w:rFonts w:hint="eastAsia" w:ascii="宋体" w:hAnsi="宋体" w:cs="宋体"/>
          <w:b/>
          <w:color w:val="auto"/>
          <w:sz w:val="24"/>
          <w:highlight w:val="none"/>
        </w:rPr>
        <w:t>3.投标费用</w:t>
      </w:r>
    </w:p>
    <w:p w14:paraId="777E066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3.1无论投标结果如何，投标人应自行承担其编制与递交投标文件所涉及的一切费用，并提供承诺书。</w:t>
      </w:r>
    </w:p>
    <w:p w14:paraId="7E233294">
      <w:pPr>
        <w:spacing w:line="360" w:lineRule="auto"/>
        <w:ind w:firstLine="550"/>
        <w:rPr>
          <w:rFonts w:hint="eastAsia" w:ascii="宋体" w:hAnsi="宋体" w:cs="宋体"/>
          <w:color w:val="auto"/>
          <w:sz w:val="24"/>
          <w:highlight w:val="none"/>
        </w:rPr>
      </w:pPr>
      <w:r>
        <w:rPr>
          <w:rFonts w:hint="eastAsia" w:ascii="宋体" w:hAnsi="宋体" w:cs="宋体"/>
          <w:b/>
          <w:color w:val="auto"/>
          <w:sz w:val="24"/>
          <w:highlight w:val="none"/>
        </w:rPr>
        <w:t>评标费用由采购人自行解决。</w:t>
      </w:r>
    </w:p>
    <w:p w14:paraId="6B2A5B4F">
      <w:pPr>
        <w:spacing w:line="360" w:lineRule="auto"/>
        <w:ind w:firstLine="550"/>
        <w:outlineLvl w:val="2"/>
        <w:rPr>
          <w:rFonts w:hint="eastAsia" w:ascii="宋体" w:hAnsi="宋体" w:cs="宋体"/>
          <w:b/>
          <w:bCs/>
          <w:color w:val="auto"/>
          <w:sz w:val="24"/>
          <w:highlight w:val="none"/>
        </w:rPr>
      </w:pPr>
      <w:r>
        <w:rPr>
          <w:rFonts w:hint="eastAsia" w:ascii="宋体" w:hAnsi="宋体" w:cs="宋体"/>
          <w:b/>
          <w:bCs/>
          <w:color w:val="auto"/>
          <w:sz w:val="24"/>
          <w:highlight w:val="none"/>
        </w:rPr>
        <w:t>4.合格的投标人</w:t>
      </w:r>
    </w:p>
    <w:p w14:paraId="11EF7161">
      <w:pPr>
        <w:spacing w:line="360" w:lineRule="auto"/>
        <w:ind w:firstLine="523" w:firstLineChars="218"/>
        <w:outlineLvl w:val="3"/>
        <w:rPr>
          <w:rFonts w:hint="eastAsia" w:ascii="宋体" w:hAnsi="宋体" w:cs="宋体"/>
          <w:color w:val="auto"/>
          <w:sz w:val="24"/>
          <w:highlight w:val="none"/>
        </w:rPr>
      </w:pPr>
      <w:r>
        <w:rPr>
          <w:rFonts w:hint="eastAsia" w:ascii="宋体" w:hAnsi="宋体" w:cs="宋体"/>
          <w:color w:val="auto"/>
          <w:sz w:val="24"/>
          <w:highlight w:val="none"/>
        </w:rPr>
        <w:t>4.1合格的投标人应符合招标文件载明的投标资格。</w:t>
      </w:r>
    </w:p>
    <w:p w14:paraId="72C06342">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4.2投标人之间如果存在下列情形之一的，不得同时参加同一标段（包别）或者不分标段（包别）的同一项目投标：</w:t>
      </w:r>
    </w:p>
    <w:p w14:paraId="265C9244">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4.2.1法定代表人为同一个人的两个及两个以上法人；</w:t>
      </w:r>
    </w:p>
    <w:p w14:paraId="01101FF4">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4.2.2母公司、全资子公司及其控股公司；</w:t>
      </w:r>
    </w:p>
    <w:p w14:paraId="79B02AAB">
      <w:pPr>
        <w:pStyle w:val="7"/>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4.2.3参加投标的其他组织之间存在特殊的利害关系的；</w:t>
      </w:r>
    </w:p>
    <w:p w14:paraId="653415C7">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4.2.4法律和行政法规规定的其他情形。</w:t>
      </w:r>
    </w:p>
    <w:p w14:paraId="772CFE37">
      <w:pPr>
        <w:pStyle w:val="7"/>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4.3投标人提供廉洁自律承诺书</w:t>
      </w:r>
    </w:p>
    <w:p w14:paraId="655E6657">
      <w:pPr>
        <w:pStyle w:val="7"/>
        <w:spacing w:line="360" w:lineRule="auto"/>
        <w:ind w:firstLine="480" w:firstLineChars="200"/>
        <w:rPr>
          <w:rFonts w:hint="default" w:ascii="宋体" w:hAnsi="宋体" w:eastAsia="宋体" w:cs="宋体"/>
          <w:color w:val="auto"/>
          <w:sz w:val="24"/>
          <w:highlight w:val="none"/>
          <w:lang w:val="en-US" w:eastAsia="zh-CN"/>
        </w:rPr>
      </w:pPr>
      <w:r>
        <w:rPr>
          <w:rFonts w:ascii="宋体" w:hAnsi="宋体" w:cs="宋体"/>
          <w:color w:val="auto"/>
          <w:sz w:val="24"/>
          <w:highlight w:val="none"/>
        </w:rPr>
        <w:t>4.</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未被工商行政管理机关在全国企业信用信息公示系统中列入严重违法失信企业名单和经营异常名录。(查询时间发布公告之后）</w:t>
      </w:r>
      <w:r>
        <w:rPr>
          <w:rFonts w:hint="eastAsia" w:ascii="宋体" w:hAnsi="宋体" w:cs="宋体"/>
          <w:color w:val="auto"/>
          <w:sz w:val="24"/>
          <w:highlight w:val="none"/>
          <w:lang w:val="en-US" w:eastAsia="zh-CN"/>
        </w:rPr>
        <w:t xml:space="preserve">  </w:t>
      </w:r>
    </w:p>
    <w:p w14:paraId="5E11F2BE">
      <w:pPr>
        <w:pStyle w:val="7"/>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4.5投标人</w:t>
      </w:r>
      <w:r>
        <w:rPr>
          <w:rFonts w:ascii="宋体" w:hAnsi="宋体" w:cs="宋体"/>
          <w:color w:val="auto"/>
          <w:sz w:val="24"/>
          <w:highlight w:val="none"/>
        </w:rPr>
        <w:t>需提供售后服务体系与承诺。</w:t>
      </w:r>
    </w:p>
    <w:p w14:paraId="2B3E0FC8">
      <w:pPr>
        <w:spacing w:line="360" w:lineRule="auto"/>
        <w:ind w:firstLine="550"/>
        <w:outlineLvl w:val="2"/>
        <w:rPr>
          <w:rFonts w:hint="eastAsia" w:ascii="宋体" w:hAnsi="宋体" w:cs="宋体"/>
          <w:b/>
          <w:color w:val="auto"/>
          <w:sz w:val="24"/>
          <w:highlight w:val="none"/>
        </w:rPr>
      </w:pPr>
      <w:r>
        <w:rPr>
          <w:rFonts w:hint="eastAsia" w:ascii="宋体" w:hAnsi="宋体" w:cs="宋体"/>
          <w:b/>
          <w:color w:val="auto"/>
          <w:sz w:val="24"/>
          <w:highlight w:val="none"/>
        </w:rPr>
        <w:t>5.勘察现场</w:t>
      </w:r>
    </w:p>
    <w:p w14:paraId="18EF2460">
      <w:pPr>
        <w:spacing w:line="360" w:lineRule="auto"/>
        <w:ind w:firstLine="550"/>
        <w:rPr>
          <w:rFonts w:hint="eastAsia" w:ascii="宋体" w:hAnsi="宋体" w:cs="宋体"/>
          <w:color w:val="auto"/>
          <w:sz w:val="24"/>
          <w:highlight w:val="green"/>
        </w:rPr>
      </w:pPr>
      <w:r>
        <w:rPr>
          <w:rFonts w:hint="eastAsia" w:ascii="宋体" w:hAnsi="宋体" w:cs="宋体"/>
          <w:color w:val="auto"/>
          <w:sz w:val="24"/>
          <w:highlight w:val="none"/>
        </w:rPr>
        <w:t>5.1投标人应自行对供货现场和周围环境进行勘察，以获取编制投标文件和签署合同所需的资料。</w:t>
      </w:r>
    </w:p>
    <w:p w14:paraId="5AB14C9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22D9046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5.3除非有特殊要求，招标文件不单独提供供货使用地的自然环境、气候条件、公用设施等情况，投标人被视为熟悉上述与履行合同有关的一切情况。</w:t>
      </w:r>
    </w:p>
    <w:p w14:paraId="7625449C">
      <w:pPr>
        <w:spacing w:line="360" w:lineRule="auto"/>
        <w:ind w:firstLine="550"/>
        <w:outlineLvl w:val="2"/>
        <w:rPr>
          <w:rFonts w:hint="eastAsia" w:ascii="宋体" w:hAnsi="宋体" w:cs="宋体"/>
          <w:bCs/>
          <w:color w:val="auto"/>
          <w:sz w:val="24"/>
          <w:highlight w:val="none"/>
        </w:rPr>
      </w:pPr>
      <w:r>
        <w:rPr>
          <w:rFonts w:hint="eastAsia" w:ascii="宋体" w:hAnsi="宋体" w:cs="宋体"/>
          <w:b/>
          <w:color w:val="auto"/>
          <w:sz w:val="24"/>
          <w:highlight w:val="none"/>
        </w:rPr>
        <w:t>6.知识产权</w:t>
      </w:r>
    </w:p>
    <w:p w14:paraId="383B1843">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6.1</w:t>
      </w:r>
      <w:r>
        <w:rPr>
          <w:rFonts w:hint="eastAsia" w:ascii="宋体" w:hAnsi="宋体" w:cs="宋体"/>
          <w:bCs/>
          <w:color w:val="auto"/>
          <w:sz w:val="24"/>
          <w:highlight w:val="none"/>
        </w:rPr>
        <w:t>投标人须</w:t>
      </w:r>
      <w:r>
        <w:rPr>
          <w:rFonts w:hint="eastAsia" w:ascii="宋体" w:hAnsi="宋体" w:cs="宋体"/>
          <w:bCs/>
          <w:color w:val="auto"/>
          <w:sz w:val="24"/>
          <w:highlight w:val="none"/>
          <w:lang w:val="en-US" w:eastAsia="zh-CN"/>
        </w:rPr>
        <w:t>在投标文件中</w:t>
      </w:r>
      <w:r>
        <w:rPr>
          <w:rFonts w:hint="eastAsia" w:ascii="宋体" w:hAnsi="宋体" w:cs="宋体"/>
          <w:bCs/>
          <w:color w:val="auto"/>
          <w:sz w:val="24"/>
          <w:highlight w:val="none"/>
        </w:rPr>
        <w:t>书面保证</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采</w:t>
      </w:r>
      <w:r>
        <w:rPr>
          <w:rFonts w:hint="eastAsia" w:ascii="宋体" w:hAnsi="宋体" w:cs="宋体"/>
          <w:bCs/>
          <w:color w:val="auto"/>
          <w:sz w:val="24"/>
          <w:highlight w:val="none"/>
        </w:rPr>
        <w:t>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auto"/>
          <w:sz w:val="24"/>
          <w:highlight w:val="none"/>
        </w:rPr>
        <w:t>如因此导致采购人损失的，投标人须承担全部赔偿责任。</w:t>
      </w:r>
    </w:p>
    <w:p w14:paraId="173C5DBB">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w:t>
      </w:r>
    </w:p>
    <w:p w14:paraId="3B3023AF">
      <w:pPr>
        <w:spacing w:line="360" w:lineRule="auto"/>
        <w:ind w:firstLine="549"/>
        <w:outlineLvl w:val="2"/>
        <w:rPr>
          <w:rFonts w:hint="eastAsia" w:ascii="宋体" w:hAnsi="宋体" w:cs="宋体"/>
          <w:b/>
          <w:color w:val="auto"/>
          <w:sz w:val="24"/>
          <w:highlight w:val="none"/>
        </w:rPr>
      </w:pPr>
      <w:r>
        <w:rPr>
          <w:rFonts w:hint="eastAsia" w:ascii="宋体" w:hAnsi="宋体" w:cs="宋体"/>
          <w:b/>
          <w:color w:val="auto"/>
          <w:sz w:val="24"/>
          <w:highlight w:val="none"/>
        </w:rPr>
        <w:t>7.纪律与保密</w:t>
      </w:r>
    </w:p>
    <w:p w14:paraId="527E258F">
      <w:pPr>
        <w:spacing w:line="360" w:lineRule="auto"/>
        <w:ind w:firstLine="549"/>
        <w:outlineLvl w:val="3"/>
        <w:rPr>
          <w:rFonts w:hint="eastAsia" w:ascii="宋体" w:hAnsi="宋体" w:cs="宋体"/>
          <w:color w:val="auto"/>
          <w:sz w:val="24"/>
          <w:highlight w:val="none"/>
        </w:rPr>
      </w:pPr>
      <w:r>
        <w:rPr>
          <w:rFonts w:hint="eastAsia" w:ascii="宋体" w:hAnsi="宋体" w:cs="宋体"/>
          <w:color w:val="auto"/>
          <w:sz w:val="24"/>
          <w:highlight w:val="none"/>
        </w:rPr>
        <w:t>7.1投标人的投标行为应遵守中国的有关法律、法规和规章。</w:t>
      </w:r>
    </w:p>
    <w:p w14:paraId="645BBA6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7.2投标人须</w:t>
      </w:r>
      <w:r>
        <w:rPr>
          <w:rFonts w:hint="eastAsia" w:ascii="宋体" w:hAnsi="宋体" w:cs="宋体"/>
          <w:color w:val="auto"/>
          <w:sz w:val="24"/>
          <w:highlight w:val="none"/>
          <w:lang w:val="en-US" w:eastAsia="zh-CN"/>
        </w:rPr>
        <w:t>在投标文件中</w:t>
      </w:r>
      <w:r>
        <w:rPr>
          <w:rFonts w:hint="eastAsia" w:ascii="宋体" w:hAnsi="宋体" w:cs="宋体"/>
          <w:color w:val="auto"/>
          <w:sz w:val="24"/>
          <w:highlight w:val="none"/>
          <w:lang w:eastAsia="zh-CN"/>
        </w:rPr>
        <w:t>书面声明</w:t>
      </w:r>
      <w:r>
        <w:rPr>
          <w:rFonts w:hint="eastAsia" w:ascii="宋体" w:hAnsi="宋体" w:cs="宋体"/>
          <w:color w:val="auto"/>
          <w:sz w:val="24"/>
          <w:highlight w:val="none"/>
        </w:rPr>
        <w:t>不得相互串通投标报价，不得妨碍其他投标人的公平竞争，不得损害采购人或其他投标人的合法权益，投标人不得以向采购人、评委会成员行贿或者采取其他不正当手段谋取中标</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否则视为无效投标文件</w:t>
      </w:r>
      <w:r>
        <w:rPr>
          <w:rFonts w:hint="eastAsia" w:ascii="宋体" w:hAnsi="宋体" w:cs="宋体"/>
          <w:color w:val="auto"/>
          <w:sz w:val="24"/>
          <w:highlight w:val="none"/>
        </w:rPr>
        <w:t>。</w:t>
      </w:r>
    </w:p>
    <w:p w14:paraId="6FF7CC4D">
      <w:pPr>
        <w:spacing w:line="360" w:lineRule="auto"/>
        <w:ind w:firstLine="549"/>
        <w:outlineLvl w:val="4"/>
        <w:rPr>
          <w:rFonts w:hint="eastAsia" w:ascii="宋体" w:hAnsi="宋体" w:cs="宋体"/>
          <w:color w:val="auto"/>
          <w:sz w:val="24"/>
          <w:highlight w:val="none"/>
        </w:rPr>
      </w:pPr>
      <w:r>
        <w:rPr>
          <w:rFonts w:hint="eastAsia" w:ascii="宋体" w:hAnsi="宋体" w:cs="宋体"/>
          <w:color w:val="auto"/>
          <w:sz w:val="24"/>
          <w:highlight w:val="none"/>
        </w:rPr>
        <w:t>7.2.1有下列情形之一的，属于投标人相互串通投标：</w:t>
      </w:r>
    </w:p>
    <w:p w14:paraId="7B50BCD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7.2.1.1投标人之间协商投标报价等投标文件的实质性内容；</w:t>
      </w:r>
    </w:p>
    <w:p w14:paraId="25F7FEC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7.2.1.2投标人之间约定中标人；</w:t>
      </w:r>
    </w:p>
    <w:p w14:paraId="72DD379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7.2.1.3投标人之间约定部分投标人放弃投标或者中标；</w:t>
      </w:r>
    </w:p>
    <w:p w14:paraId="6C17135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7.2.1.4属于同一集团、协会、商会等组织成员的投标人按照该组织要求协同投标；</w:t>
      </w:r>
    </w:p>
    <w:p w14:paraId="191B424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7.2.1.5投标人之间为谋取中标或者排斥特定投标人而采取的其他联合行动。</w:t>
      </w:r>
    </w:p>
    <w:p w14:paraId="32311418">
      <w:pPr>
        <w:spacing w:line="360" w:lineRule="auto"/>
        <w:ind w:firstLine="549"/>
        <w:outlineLvl w:val="4"/>
        <w:rPr>
          <w:rFonts w:hint="eastAsia" w:ascii="宋体" w:hAnsi="宋体" w:cs="宋体"/>
          <w:color w:val="auto"/>
          <w:sz w:val="24"/>
          <w:highlight w:val="none"/>
        </w:rPr>
      </w:pPr>
      <w:r>
        <w:rPr>
          <w:rFonts w:hint="eastAsia" w:ascii="宋体" w:hAnsi="宋体" w:cs="宋体"/>
          <w:color w:val="auto"/>
          <w:sz w:val="24"/>
          <w:highlight w:val="none"/>
        </w:rPr>
        <w:t>7.2.2 有下列情形之一的，视为投标人相互串通投标：</w:t>
      </w:r>
    </w:p>
    <w:p w14:paraId="41D2886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7.2.2.1不同投标人的投标文件由同一单位或者个人编制；</w:t>
      </w:r>
    </w:p>
    <w:p w14:paraId="5432A02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7.2.2.2不同投标人委托同一单位或者个人办理投标事宜，或提交电子投标文件的网卡地址一致；</w:t>
      </w:r>
    </w:p>
    <w:p w14:paraId="07733A6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7.2.2.3不同投标人的投标文件载明的项目管理成员为同一人；</w:t>
      </w:r>
    </w:p>
    <w:p w14:paraId="7877A75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7.2.2.4不同投标人的投标文件异常一致或者投标报价呈规律性差异；</w:t>
      </w:r>
    </w:p>
    <w:p w14:paraId="23E3AB8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7.2.2.5不同投标人的投标文件相互混装；</w:t>
      </w:r>
    </w:p>
    <w:p w14:paraId="369767D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7.2.2.6不同投标人的投标保证金从同一单位或者个人的账户转出。</w:t>
      </w:r>
    </w:p>
    <w:p w14:paraId="5791F7C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7.3在确定中标人之前，投标人不得与采购人就投标价格、投标方案等实质性内容进行谈判，也不得私下接触评委会成员。</w:t>
      </w:r>
    </w:p>
    <w:p w14:paraId="63C7E7A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7.4在确定中标人之前，投标人试图在投标文件审查、澄清、比较和评价时对评委会、采购人和采购中心施加任何影响都可能导致其投标无效。</w:t>
      </w:r>
    </w:p>
    <w:p w14:paraId="122A49C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22E54D46">
      <w:pPr>
        <w:spacing w:line="360" w:lineRule="auto"/>
        <w:ind w:firstLine="549"/>
        <w:rPr>
          <w:rFonts w:hint="eastAsia" w:ascii="宋体" w:hAnsi="宋体" w:cs="宋体"/>
          <w:b/>
          <w:bCs/>
          <w:color w:val="auto"/>
          <w:sz w:val="24"/>
          <w:highlight w:val="none"/>
        </w:rPr>
      </w:pPr>
      <w:r>
        <w:rPr>
          <w:rFonts w:hint="eastAsia" w:ascii="宋体" w:hAnsi="宋体" w:cs="宋体"/>
          <w:color w:val="auto"/>
          <w:sz w:val="24"/>
          <w:highlight w:val="none"/>
        </w:rPr>
        <w:t>7.6参与采购竞标活动的各方应对招标文件和招标文件中的商业和技术等秘密保密，违者应对由此造成的后果承担法律责任。对上述作出书面承诺并附投标文件中，否则视为不响应招标文件要求。</w:t>
      </w:r>
    </w:p>
    <w:p w14:paraId="03A84F57">
      <w:pPr>
        <w:spacing w:line="360" w:lineRule="auto"/>
        <w:ind w:firstLine="549"/>
        <w:outlineLvl w:val="2"/>
        <w:rPr>
          <w:rFonts w:hint="eastAsia" w:ascii="宋体" w:hAnsi="宋体" w:cs="宋体"/>
          <w:b/>
          <w:color w:val="auto"/>
          <w:sz w:val="24"/>
          <w:highlight w:val="none"/>
        </w:rPr>
      </w:pPr>
      <w:r>
        <w:rPr>
          <w:rFonts w:hint="eastAsia" w:ascii="宋体" w:hAnsi="宋体" w:cs="宋体"/>
          <w:b/>
          <w:color w:val="auto"/>
          <w:sz w:val="24"/>
          <w:highlight w:val="none"/>
        </w:rPr>
        <w:t>8.联合体投标</w:t>
      </w:r>
    </w:p>
    <w:p w14:paraId="1261AB2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不接受联合体投标</w:t>
      </w:r>
    </w:p>
    <w:p w14:paraId="780787FB">
      <w:pPr>
        <w:spacing w:line="360" w:lineRule="auto"/>
        <w:ind w:firstLine="482" w:firstLineChars="200"/>
        <w:outlineLvl w:val="2"/>
        <w:rPr>
          <w:rFonts w:hint="eastAsia" w:ascii="宋体" w:hAnsi="宋体" w:cs="宋体"/>
          <w:b/>
          <w:bCs/>
          <w:color w:val="auto"/>
          <w:sz w:val="24"/>
          <w:highlight w:val="none"/>
        </w:rPr>
      </w:pPr>
      <w:r>
        <w:rPr>
          <w:rFonts w:hint="eastAsia" w:ascii="宋体" w:hAnsi="宋体" w:cs="宋体"/>
          <w:b/>
          <w:bCs/>
          <w:color w:val="auto"/>
          <w:sz w:val="24"/>
          <w:highlight w:val="none"/>
        </w:rPr>
        <w:t>9.投标品牌</w:t>
      </w:r>
    </w:p>
    <w:p w14:paraId="69B16EC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18088CE6">
      <w:pPr>
        <w:spacing w:line="360" w:lineRule="auto"/>
        <w:ind w:firstLine="525"/>
        <w:outlineLvl w:val="2"/>
        <w:rPr>
          <w:rFonts w:hint="eastAsia" w:ascii="宋体" w:hAnsi="宋体" w:cs="宋体"/>
          <w:b/>
          <w:bCs/>
          <w:color w:val="auto"/>
          <w:sz w:val="24"/>
          <w:highlight w:val="none"/>
        </w:rPr>
      </w:pPr>
      <w:r>
        <w:rPr>
          <w:rFonts w:hint="eastAsia" w:ascii="宋体" w:hAnsi="宋体" w:cs="宋体"/>
          <w:b/>
          <w:bCs/>
          <w:color w:val="auto"/>
          <w:sz w:val="24"/>
          <w:highlight w:val="none"/>
        </w:rPr>
        <w:t>10.投标专用章的效力</w:t>
      </w:r>
    </w:p>
    <w:p w14:paraId="0FA6E103">
      <w:pPr>
        <w:spacing w:line="360" w:lineRule="auto"/>
        <w:ind w:firstLine="525"/>
        <w:rPr>
          <w:rFonts w:hint="eastAsia" w:ascii="宋体" w:hAnsi="宋体" w:cs="宋体"/>
          <w:color w:val="auto"/>
          <w:sz w:val="24"/>
          <w:highlight w:val="none"/>
        </w:rPr>
      </w:pPr>
      <w:r>
        <w:rPr>
          <w:rFonts w:hint="eastAsia" w:ascii="宋体" w:hAnsi="宋体" w:cs="宋体"/>
          <w:color w:val="auto"/>
          <w:sz w:val="24"/>
          <w:highlight w:val="none"/>
        </w:rPr>
        <w:t>10.1招标文件中明确要求加盖电子签章的，投标人必须加盖投标人电子签章。</w:t>
      </w:r>
    </w:p>
    <w:p w14:paraId="6F477905">
      <w:pPr>
        <w:spacing w:line="360" w:lineRule="auto"/>
        <w:ind w:firstLine="550"/>
        <w:outlineLvl w:val="2"/>
        <w:rPr>
          <w:rFonts w:hint="eastAsia" w:ascii="宋体" w:hAnsi="宋体" w:cs="宋体"/>
          <w:b/>
          <w:bCs/>
          <w:color w:val="auto"/>
          <w:sz w:val="24"/>
          <w:highlight w:val="none"/>
        </w:rPr>
      </w:pPr>
      <w:r>
        <w:rPr>
          <w:rFonts w:hint="eastAsia" w:ascii="宋体" w:hAnsi="宋体" w:cs="宋体"/>
          <w:b/>
          <w:bCs/>
          <w:color w:val="auto"/>
          <w:sz w:val="24"/>
          <w:highlight w:val="none"/>
        </w:rPr>
        <w:t>11.合同标的转让</w:t>
      </w:r>
    </w:p>
    <w:p w14:paraId="4FA56A3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 xml:space="preserve">11.1合同未约定或者未经采购人同意，中标人不得向他人转让中标项目，也不得将中标项目肢解后分别向他人转让。 </w:t>
      </w:r>
    </w:p>
    <w:p w14:paraId="4ABAFAB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2CDF199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11.3中标人应当就分包项目向采购人负责，接受分包的人就分包项目承担连带责任。</w:t>
      </w:r>
    </w:p>
    <w:p w14:paraId="5A3C0DE6">
      <w:pPr>
        <w:spacing w:line="360" w:lineRule="auto"/>
        <w:ind w:firstLine="523" w:firstLineChars="218"/>
        <w:outlineLvl w:val="3"/>
        <w:rPr>
          <w:rFonts w:hint="eastAsia" w:ascii="宋体" w:hAnsi="宋体" w:cs="宋体"/>
          <w:color w:val="auto"/>
          <w:sz w:val="24"/>
          <w:highlight w:val="none"/>
        </w:rPr>
      </w:pPr>
      <w:r>
        <w:rPr>
          <w:rFonts w:hint="eastAsia" w:ascii="宋体" w:hAnsi="宋体" w:cs="宋体"/>
          <w:color w:val="auto"/>
          <w:sz w:val="24"/>
          <w:highlight w:val="none"/>
        </w:rPr>
        <w:t>11.4未经政府采购管理部门批准，进口设备不得转包。</w:t>
      </w:r>
    </w:p>
    <w:p w14:paraId="64AF996B">
      <w:pPr>
        <w:spacing w:line="360" w:lineRule="auto"/>
        <w:ind w:firstLine="525" w:firstLineChars="218"/>
        <w:outlineLvl w:val="2"/>
        <w:rPr>
          <w:rFonts w:hint="eastAsia" w:ascii="宋体" w:hAnsi="宋体" w:cs="宋体"/>
          <w:color w:val="auto"/>
          <w:sz w:val="24"/>
          <w:highlight w:val="none"/>
        </w:rPr>
      </w:pPr>
      <w:r>
        <w:rPr>
          <w:rFonts w:hint="eastAsia" w:ascii="宋体" w:hAnsi="宋体" w:cs="宋体"/>
          <w:b/>
          <w:bCs/>
          <w:color w:val="auto"/>
          <w:sz w:val="24"/>
          <w:highlight w:val="none"/>
        </w:rPr>
        <w:t>12.会员信息库</w:t>
      </w:r>
    </w:p>
    <w:p w14:paraId="68C227C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7C233EB0">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03F0D88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为确保投标文件通过评审，投标人应及时对入库资料进行补充、更新。</w:t>
      </w:r>
    </w:p>
    <w:p w14:paraId="28BE67D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如因前款原因未通过本项目评委会评审，由投标人承担全部责任。</w:t>
      </w:r>
    </w:p>
    <w:p w14:paraId="4EFF0AC0">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12.3网上会员库中文字资料与扫描件资料不一致时，以扫描件资料为准。</w:t>
      </w:r>
    </w:p>
    <w:p w14:paraId="79C9B13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12.4有关会员库的更多信息，请登陆周口市公共资源交易中心网查询。</w:t>
      </w:r>
    </w:p>
    <w:p w14:paraId="39541DC9">
      <w:pPr>
        <w:spacing w:line="360" w:lineRule="auto"/>
        <w:ind w:firstLine="550"/>
        <w:outlineLvl w:val="2"/>
        <w:rPr>
          <w:rFonts w:hint="eastAsia" w:ascii="宋体" w:hAnsi="宋体" w:cs="宋体"/>
          <w:b/>
          <w:bCs/>
          <w:color w:val="auto"/>
          <w:sz w:val="24"/>
          <w:highlight w:val="none"/>
        </w:rPr>
      </w:pPr>
      <w:r>
        <w:rPr>
          <w:rFonts w:hint="eastAsia" w:ascii="宋体" w:hAnsi="宋体" w:cs="宋体"/>
          <w:b/>
          <w:bCs/>
          <w:color w:val="auto"/>
          <w:sz w:val="24"/>
          <w:highlight w:val="none"/>
        </w:rPr>
        <w:t>13.采购信息的发布</w:t>
      </w:r>
    </w:p>
    <w:p w14:paraId="0C635AC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13.1与本次采购活动相关的信息，将发布在周口市公共资源交易中心网(</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 </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http://jyzx.zhoukou.gov.cn</w:t>
      </w:r>
      <w:r>
        <w:rPr>
          <w:rFonts w:hint="eastAsia" w:ascii="宋体" w:hAnsi="宋体" w:cs="宋体"/>
          <w:color w:val="auto"/>
          <w:sz w:val="24"/>
          <w:highlight w:val="none"/>
        </w:rPr>
        <w:fldChar w:fldCharType="end"/>
      </w:r>
      <w:r>
        <w:rPr>
          <w:rFonts w:hint="eastAsia" w:ascii="宋体" w:hAnsi="宋体" w:cs="宋体"/>
          <w:color w:val="auto"/>
          <w:sz w:val="24"/>
          <w:highlight w:val="none"/>
        </w:rPr>
        <w:t>)及河南省政府采购网（www.hngp.gov.cn），以下简称“网站”。</w:t>
      </w:r>
    </w:p>
    <w:p w14:paraId="1427CB34">
      <w:pPr>
        <w:pStyle w:val="5"/>
        <w:spacing w:line="360" w:lineRule="auto"/>
        <w:ind w:firstLine="3418" w:firstLineChars="1216"/>
        <w:jc w:val="both"/>
        <w:outlineLvl w:val="1"/>
        <w:rPr>
          <w:rFonts w:hint="eastAsia" w:hAnsi="宋体" w:cs="宋体"/>
          <w:color w:val="auto"/>
          <w:sz w:val="28"/>
          <w:highlight w:val="none"/>
        </w:rPr>
      </w:pPr>
      <w:bookmarkStart w:id="79" w:name="_Hlt509650936"/>
      <w:bookmarkEnd w:id="79"/>
      <w:bookmarkStart w:id="80" w:name="_Hlt509650929"/>
      <w:bookmarkEnd w:id="80"/>
      <w:bookmarkStart w:id="81" w:name="_Hlt509650690"/>
      <w:bookmarkEnd w:id="81"/>
      <w:bookmarkStart w:id="82" w:name="_Hlt509650103"/>
      <w:bookmarkEnd w:id="82"/>
      <w:bookmarkStart w:id="83" w:name="_Hlt509649330"/>
      <w:bookmarkEnd w:id="83"/>
      <w:bookmarkStart w:id="84" w:name="_Hlt509650116"/>
      <w:bookmarkEnd w:id="84"/>
      <w:bookmarkStart w:id="85" w:name="_Hlt509649669"/>
      <w:bookmarkEnd w:id="85"/>
      <w:bookmarkStart w:id="86" w:name="_Hlt509649645"/>
      <w:bookmarkEnd w:id="86"/>
      <w:bookmarkStart w:id="87" w:name="_Hlt526418153"/>
      <w:bookmarkEnd w:id="87"/>
      <w:bookmarkStart w:id="88" w:name="_Hlt509649795"/>
      <w:bookmarkEnd w:id="88"/>
      <w:bookmarkStart w:id="89" w:name="_Hlt509650961"/>
      <w:bookmarkEnd w:id="89"/>
      <w:bookmarkStart w:id="90" w:name="_Hlt509650932"/>
      <w:bookmarkEnd w:id="90"/>
      <w:bookmarkStart w:id="91" w:name="_Hlt509649678"/>
      <w:bookmarkEnd w:id="91"/>
      <w:bookmarkStart w:id="92" w:name="_Hlt509650333"/>
      <w:bookmarkEnd w:id="92"/>
      <w:bookmarkStart w:id="93" w:name="_Toc527725923"/>
      <w:bookmarkStart w:id="94" w:name="_Toc40975443"/>
      <w:r>
        <w:rPr>
          <w:rFonts w:hint="eastAsia" w:hAnsi="宋体" w:cs="宋体"/>
          <w:color w:val="auto"/>
          <w:sz w:val="28"/>
          <w:highlight w:val="none"/>
        </w:rPr>
        <w:t>二．招标文件</w:t>
      </w:r>
      <w:bookmarkEnd w:id="93"/>
      <w:bookmarkEnd w:id="94"/>
      <w:bookmarkStart w:id="95" w:name="_Hlt509649930"/>
      <w:bookmarkEnd w:id="95"/>
      <w:bookmarkStart w:id="96" w:name="_Hlt509650361"/>
      <w:bookmarkEnd w:id="96"/>
      <w:bookmarkStart w:id="97" w:name="_Hlt509649791"/>
      <w:bookmarkEnd w:id="97"/>
    </w:p>
    <w:p w14:paraId="4439846A">
      <w:pPr>
        <w:spacing w:line="360" w:lineRule="auto"/>
        <w:ind w:firstLine="549"/>
        <w:outlineLvl w:val="2"/>
        <w:rPr>
          <w:rFonts w:hint="eastAsia" w:ascii="宋体" w:hAnsi="宋体" w:cs="宋体"/>
          <w:b/>
          <w:color w:val="auto"/>
          <w:sz w:val="24"/>
          <w:highlight w:val="none"/>
        </w:rPr>
      </w:pPr>
      <w:bookmarkStart w:id="98" w:name="_Hlt509650734"/>
      <w:bookmarkEnd w:id="98"/>
      <w:r>
        <w:rPr>
          <w:rFonts w:hint="eastAsia" w:ascii="宋体" w:hAnsi="宋体" w:cs="宋体"/>
          <w:b/>
          <w:color w:val="auto"/>
          <w:sz w:val="24"/>
          <w:highlight w:val="none"/>
        </w:rPr>
        <w:t>14.招标文件构成</w:t>
      </w:r>
    </w:p>
    <w:p w14:paraId="5B6F3B35">
      <w:pPr>
        <w:spacing w:line="360" w:lineRule="auto"/>
        <w:ind w:firstLine="549"/>
        <w:outlineLvl w:val="3"/>
        <w:rPr>
          <w:rFonts w:hint="eastAsia" w:ascii="宋体" w:hAnsi="宋体" w:cs="宋体"/>
          <w:color w:val="auto"/>
          <w:sz w:val="24"/>
          <w:highlight w:val="none"/>
        </w:rPr>
      </w:pPr>
      <w:r>
        <w:rPr>
          <w:rFonts w:hint="eastAsia" w:ascii="宋体" w:hAnsi="宋体" w:cs="宋体"/>
          <w:color w:val="auto"/>
          <w:sz w:val="24"/>
          <w:highlight w:val="none"/>
        </w:rPr>
        <w:t>14.1招标文件包括以下部分：</w:t>
      </w:r>
    </w:p>
    <w:p w14:paraId="61234934">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14.1.1第一章：</w:t>
      </w:r>
      <w:r>
        <w:rPr>
          <w:rFonts w:hint="eastAsia" w:ascii="宋体" w:hAnsi="宋体" w:cs="宋体"/>
          <w:bCs/>
          <w:color w:val="auto"/>
          <w:sz w:val="24"/>
          <w:highlight w:val="none"/>
        </w:rPr>
        <w:t>投标邀请（招标公告）；</w:t>
      </w:r>
    </w:p>
    <w:p w14:paraId="565101C4">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14.1.2第二章：</w:t>
      </w:r>
      <w:bookmarkStart w:id="99" w:name="_Hlt509650925"/>
      <w:bookmarkEnd w:id="99"/>
      <w:r>
        <w:rPr>
          <w:rFonts w:hint="eastAsia" w:ascii="宋体" w:hAnsi="宋体" w:cs="宋体"/>
          <w:bCs/>
          <w:color w:val="auto"/>
          <w:sz w:val="24"/>
          <w:highlight w:val="none"/>
        </w:rPr>
        <w:t>投标人须知前附表；</w:t>
      </w:r>
    </w:p>
    <w:p w14:paraId="369D0BA1">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14.1.3第三章：</w:t>
      </w:r>
      <w:r>
        <w:rPr>
          <w:rFonts w:hint="eastAsia" w:ascii="宋体" w:hAnsi="宋体" w:cs="宋体"/>
          <w:bCs/>
          <w:color w:val="auto"/>
          <w:sz w:val="24"/>
          <w:highlight w:val="none"/>
        </w:rPr>
        <w:t>货物需求一览表；</w:t>
      </w:r>
    </w:p>
    <w:p w14:paraId="7E82D41F">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14.1.4第四章：</w:t>
      </w:r>
      <w:r>
        <w:rPr>
          <w:rFonts w:hint="eastAsia" w:ascii="宋体" w:hAnsi="宋体" w:cs="宋体"/>
          <w:bCs/>
          <w:color w:val="auto"/>
          <w:sz w:val="24"/>
          <w:highlight w:val="none"/>
        </w:rPr>
        <w:t>评标办法；</w:t>
      </w:r>
    </w:p>
    <w:p w14:paraId="7A691158">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14.1.5第五章：</w:t>
      </w:r>
      <w:r>
        <w:rPr>
          <w:rFonts w:hint="eastAsia" w:ascii="宋体" w:hAnsi="宋体" w:cs="宋体"/>
          <w:bCs/>
          <w:color w:val="auto"/>
          <w:sz w:val="24"/>
          <w:highlight w:val="none"/>
        </w:rPr>
        <w:t>投标人须知；</w:t>
      </w:r>
    </w:p>
    <w:p w14:paraId="3A844E37">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14.1.6第六章：</w:t>
      </w:r>
      <w:r>
        <w:rPr>
          <w:rFonts w:hint="eastAsia" w:ascii="宋体" w:hAnsi="宋体" w:cs="宋体"/>
          <w:bCs/>
          <w:color w:val="auto"/>
          <w:sz w:val="24"/>
          <w:highlight w:val="none"/>
        </w:rPr>
        <w:t>采购合同；</w:t>
      </w:r>
    </w:p>
    <w:p w14:paraId="07C49E79">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14.1.7第七章：</w:t>
      </w:r>
      <w:r>
        <w:rPr>
          <w:rFonts w:hint="eastAsia" w:ascii="宋体" w:hAnsi="宋体" w:cs="宋体"/>
          <w:bCs/>
          <w:color w:val="auto"/>
          <w:sz w:val="24"/>
          <w:highlight w:val="none"/>
        </w:rPr>
        <w:t>投标文件格式；</w:t>
      </w:r>
    </w:p>
    <w:p w14:paraId="401B5AE7">
      <w:pPr>
        <w:spacing w:line="360" w:lineRule="auto"/>
        <w:ind w:firstLine="523" w:firstLineChars="218"/>
        <w:rPr>
          <w:rFonts w:hint="eastAsia" w:ascii="宋体" w:hAnsi="宋体" w:cs="宋体"/>
          <w:color w:val="auto"/>
          <w:sz w:val="24"/>
          <w:highlight w:val="none"/>
        </w:rPr>
      </w:pPr>
      <w:r>
        <w:rPr>
          <w:rFonts w:hint="eastAsia" w:ascii="宋体" w:hAnsi="宋体" w:cs="宋体"/>
          <w:bCs/>
          <w:color w:val="auto"/>
          <w:sz w:val="24"/>
          <w:highlight w:val="none"/>
        </w:rPr>
        <w:t>14.1.8周口市公共资源交易中心政府采购中心发布的</w:t>
      </w:r>
      <w:r>
        <w:rPr>
          <w:rFonts w:hint="eastAsia" w:ascii="宋体" w:hAnsi="宋体" w:cs="宋体"/>
          <w:color w:val="auto"/>
          <w:sz w:val="24"/>
          <w:highlight w:val="none"/>
        </w:rPr>
        <w:t>图纸、答疑、补遗、补充通知等。</w:t>
      </w:r>
    </w:p>
    <w:p w14:paraId="5E8039C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14.2投标人应认真阅读招标文件中所有的事项、格式、条件、条款和规范等要求。</w:t>
      </w:r>
    </w:p>
    <w:p w14:paraId="1CB2D24A">
      <w:pPr>
        <w:spacing w:line="360" w:lineRule="auto"/>
        <w:ind w:firstLine="550"/>
        <w:rPr>
          <w:rFonts w:hint="eastAsia" w:ascii="宋体" w:hAnsi="宋体" w:cs="宋体"/>
          <w:color w:val="auto"/>
          <w:sz w:val="24"/>
          <w:highlight w:val="none"/>
          <w:lang w:val="en-US" w:eastAsia="zh-CN"/>
        </w:rPr>
      </w:pPr>
      <w:r>
        <w:rPr>
          <w:rFonts w:hint="eastAsia" w:ascii="宋体" w:hAnsi="宋体" w:cs="宋体"/>
          <w:color w:val="auto"/>
          <w:sz w:val="24"/>
          <w:highlight w:val="none"/>
        </w:rPr>
        <w:t>14.3投标人应当按照招标文件的要求编制投标文件。投标文件应对招标文件提出的要求和条件作出实质性响应。按文件要求和规定顺序编制投标文件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供 应商提交的资料应证明其满足招标文件要求并在材料上面标注“与原件一致”字样，该文件包括资格材料、文字资料、图纸和数据等详细描述的资料,否则视为不响应招标文件。</w:t>
      </w:r>
    </w:p>
    <w:p w14:paraId="40560BA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14.4投标人获取招标文件后，应仔细检查招标文件的所有内容，如有残缺等问题应在获得招标文件3日内向周口市公共资源交易中</w:t>
      </w:r>
      <w:r>
        <w:rPr>
          <w:rFonts w:hint="eastAsia" w:ascii="宋体" w:hAnsi="宋体" w:cs="宋体"/>
          <w:bCs/>
          <w:color w:val="auto"/>
          <w:sz w:val="24"/>
          <w:highlight w:val="none"/>
        </w:rPr>
        <w:t>心政府采购中心或采购人</w:t>
      </w:r>
      <w:r>
        <w:rPr>
          <w:rFonts w:hint="eastAsia" w:ascii="宋体" w:hAnsi="宋体" w:cs="宋体"/>
          <w:color w:val="auto"/>
          <w:sz w:val="24"/>
          <w:highlight w:val="none"/>
        </w:rPr>
        <w:t>提出，否则，由此引起的损失由投标人自行承担。</w:t>
      </w:r>
    </w:p>
    <w:p w14:paraId="5F9FFE30">
      <w:pPr>
        <w:spacing w:line="360" w:lineRule="auto"/>
        <w:ind w:firstLine="550"/>
        <w:outlineLvl w:val="2"/>
        <w:rPr>
          <w:rFonts w:hint="eastAsia" w:ascii="宋体" w:hAnsi="宋体" w:cs="宋体"/>
          <w:color w:val="auto"/>
          <w:sz w:val="24"/>
          <w:highlight w:val="none"/>
        </w:rPr>
      </w:pPr>
      <w:r>
        <w:rPr>
          <w:rFonts w:hint="eastAsia" w:ascii="宋体" w:hAnsi="宋体" w:cs="宋体"/>
          <w:color w:val="auto"/>
          <w:sz w:val="24"/>
          <w:highlight w:val="none"/>
        </w:rPr>
        <w:t>15.招标文件的澄清与修改</w:t>
      </w:r>
    </w:p>
    <w:p w14:paraId="34B2A49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15.1</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256B308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15.2在投标截止时间前，</w:t>
      </w:r>
      <w:r>
        <w:rPr>
          <w:rFonts w:hint="eastAsia" w:ascii="宋体" w:hAnsi="宋体" w:cs="宋体"/>
          <w:bCs/>
          <w:color w:val="auto"/>
          <w:sz w:val="24"/>
          <w:highlight w:val="none"/>
        </w:rPr>
        <w:t>采购人</w:t>
      </w:r>
      <w:r>
        <w:rPr>
          <w:rFonts w:hint="eastAsia" w:ascii="宋体" w:hAnsi="宋体" w:cs="宋体"/>
          <w:color w:val="auto"/>
          <w:sz w:val="24"/>
          <w:highlight w:val="none"/>
        </w:rPr>
        <w:t>可以视采购具体情况，延长投标截止时间和开标时间，在网站上发布变更公告。在上述情况下，</w:t>
      </w:r>
      <w:r>
        <w:rPr>
          <w:rFonts w:hint="eastAsia" w:ascii="宋体" w:hAnsi="宋体" w:cs="宋体"/>
          <w:bCs/>
          <w:color w:val="auto"/>
          <w:sz w:val="24"/>
          <w:highlight w:val="none"/>
        </w:rPr>
        <w:t>采购人</w:t>
      </w:r>
      <w:r>
        <w:rPr>
          <w:rFonts w:hint="eastAsia" w:ascii="宋体" w:hAnsi="宋体" w:cs="宋体"/>
          <w:color w:val="auto"/>
          <w:sz w:val="24"/>
          <w:highlight w:val="none"/>
        </w:rPr>
        <w:t>和投标人在投标截止期方面的全部权力、责任和义务，将适用于延长后新的投标截止期。</w:t>
      </w:r>
    </w:p>
    <w:p w14:paraId="70A877ED">
      <w:pPr>
        <w:spacing w:line="360" w:lineRule="auto"/>
        <w:ind w:firstLine="550"/>
        <w:rPr>
          <w:rFonts w:hint="eastAsia" w:ascii="宋体" w:hAnsi="宋体" w:cs="宋体"/>
          <w:color w:val="auto"/>
          <w:sz w:val="28"/>
          <w:highlight w:val="none"/>
        </w:rPr>
      </w:pPr>
      <w:r>
        <w:rPr>
          <w:rFonts w:hint="eastAsia" w:ascii="宋体" w:hAnsi="宋体" w:cs="宋体"/>
          <w:color w:val="auto"/>
          <w:sz w:val="24"/>
          <w:highlight w:val="none"/>
        </w:rPr>
        <w:t>15.3特殊情况下，</w:t>
      </w:r>
      <w:r>
        <w:rPr>
          <w:rFonts w:hint="eastAsia" w:ascii="宋体" w:hAnsi="宋体" w:cs="宋体"/>
          <w:bCs/>
          <w:color w:val="auto"/>
          <w:sz w:val="24"/>
          <w:highlight w:val="none"/>
        </w:rPr>
        <w:t>采购人</w:t>
      </w:r>
      <w:r>
        <w:rPr>
          <w:rFonts w:hint="eastAsia" w:ascii="宋体" w:hAnsi="宋体" w:cs="宋体"/>
          <w:color w:val="auto"/>
          <w:sz w:val="24"/>
          <w:highlight w:val="none"/>
        </w:rPr>
        <w:t>发布澄清、更正或更改公告后，可不改变投标截止时间和开标时间。</w:t>
      </w:r>
    </w:p>
    <w:p w14:paraId="795ABEAD">
      <w:pPr>
        <w:pStyle w:val="5"/>
        <w:spacing w:line="360" w:lineRule="auto"/>
        <w:ind w:firstLine="2715" w:firstLineChars="966"/>
        <w:jc w:val="both"/>
        <w:outlineLvl w:val="1"/>
        <w:rPr>
          <w:rFonts w:hint="eastAsia" w:hAnsi="宋体" w:cs="宋体"/>
          <w:color w:val="auto"/>
          <w:sz w:val="28"/>
          <w:highlight w:val="none"/>
        </w:rPr>
      </w:pPr>
      <w:bookmarkStart w:id="100" w:name="_Hlt509650697"/>
      <w:bookmarkEnd w:id="100"/>
      <w:bookmarkStart w:id="101" w:name="_Hlt509649724"/>
      <w:bookmarkEnd w:id="101"/>
      <w:bookmarkStart w:id="102" w:name="_Hlt510342861"/>
      <w:bookmarkEnd w:id="102"/>
      <w:bookmarkStart w:id="103" w:name="_Toc527725924"/>
      <w:bookmarkStart w:id="104" w:name="_Toc40975444"/>
      <w:r>
        <w:rPr>
          <w:rFonts w:hint="eastAsia" w:hAnsi="宋体" w:cs="宋体"/>
          <w:color w:val="auto"/>
          <w:sz w:val="28"/>
          <w:highlight w:val="none"/>
        </w:rPr>
        <w:t>三．投标文件的编制</w:t>
      </w:r>
      <w:bookmarkEnd w:id="103"/>
      <w:bookmarkEnd w:id="104"/>
    </w:p>
    <w:p w14:paraId="244CBBF8">
      <w:pPr>
        <w:spacing w:line="360" w:lineRule="auto"/>
        <w:ind w:firstLine="550"/>
        <w:outlineLvl w:val="2"/>
        <w:rPr>
          <w:rFonts w:hint="eastAsia" w:ascii="宋体" w:hAnsi="宋体" w:cs="宋体"/>
          <w:b/>
          <w:color w:val="auto"/>
          <w:sz w:val="24"/>
          <w:highlight w:val="none"/>
        </w:rPr>
      </w:pPr>
      <w:r>
        <w:rPr>
          <w:rFonts w:hint="eastAsia" w:ascii="宋体" w:hAnsi="宋体" w:cs="宋体"/>
          <w:b/>
          <w:color w:val="auto"/>
          <w:sz w:val="24"/>
          <w:highlight w:val="none"/>
        </w:rPr>
        <w:t>16.投标文件构成与格式</w:t>
      </w:r>
    </w:p>
    <w:p w14:paraId="6096A659">
      <w:pPr>
        <w:spacing w:line="360" w:lineRule="auto"/>
        <w:ind w:firstLine="550"/>
        <w:outlineLvl w:val="3"/>
        <w:rPr>
          <w:rFonts w:hint="eastAsia" w:ascii="宋体" w:hAnsi="宋体" w:cs="宋体"/>
          <w:color w:val="auto"/>
          <w:sz w:val="24"/>
          <w:highlight w:val="none"/>
        </w:rPr>
      </w:pPr>
      <w:bookmarkStart w:id="105" w:name="_Hlt509650345"/>
      <w:bookmarkEnd w:id="105"/>
      <w:r>
        <w:rPr>
          <w:rFonts w:hint="eastAsia" w:ascii="宋体" w:hAnsi="宋体" w:cs="宋体"/>
          <w:color w:val="auto"/>
          <w:sz w:val="24"/>
          <w:highlight w:val="none"/>
        </w:rPr>
        <w:t>16.1投标文件是对招标文件的实质性响应及承诺文件。</w:t>
      </w:r>
    </w:p>
    <w:p w14:paraId="78C8B350">
      <w:pPr>
        <w:spacing w:line="360" w:lineRule="auto"/>
        <w:ind w:firstLine="550"/>
        <w:jc w:val="left"/>
        <w:rPr>
          <w:rFonts w:hint="eastAsia" w:ascii="宋体" w:hAnsi="宋体" w:cs="宋体"/>
          <w:color w:val="auto"/>
          <w:sz w:val="24"/>
          <w:highlight w:val="none"/>
        </w:rPr>
      </w:pPr>
      <w:r>
        <w:rPr>
          <w:rFonts w:hint="eastAsia" w:ascii="宋体" w:hAnsi="宋体" w:cs="宋体"/>
          <w:color w:val="auto"/>
          <w:sz w:val="24"/>
          <w:highlight w:val="none"/>
        </w:rPr>
        <w:t>16.2</w:t>
      </w:r>
      <w:r>
        <w:rPr>
          <w:rFonts w:hint="eastAsia" w:ascii="宋体" w:hAnsi="宋体" w:cs="宋体"/>
          <w:bCs/>
          <w:color w:val="auto"/>
          <w:sz w:val="24"/>
          <w:highlight w:val="none"/>
        </w:rPr>
        <w:t>除非注明“投标人可自行制作格式”，投标文件应使用招标文件提供的格式。</w:t>
      </w:r>
    </w:p>
    <w:p w14:paraId="7E784C70">
      <w:pPr>
        <w:spacing w:line="360" w:lineRule="auto"/>
        <w:ind w:firstLine="550"/>
        <w:rPr>
          <w:rFonts w:hint="eastAsia" w:ascii="宋体" w:hAnsi="宋体" w:cs="宋体"/>
          <w:color w:val="auto"/>
          <w:sz w:val="24"/>
          <w:highlight w:val="none"/>
        </w:rPr>
      </w:pPr>
      <w:r>
        <w:rPr>
          <w:rFonts w:hint="eastAsia" w:ascii="宋体" w:hAnsi="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BF432A2">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16.4除非招标文件另有规定，投标文件应使用中华人民共和国法定计量单位。</w:t>
      </w:r>
    </w:p>
    <w:p w14:paraId="594BAEA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3F43F4A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16.6投标文件应编制详细目录、连续页码，</w:t>
      </w:r>
      <w:r>
        <w:rPr>
          <w:rFonts w:hint="eastAsia" w:ascii="宋体" w:hAnsi="宋体" w:cs="宋体"/>
          <w:color w:val="auto"/>
          <w:sz w:val="24"/>
          <w:highlight w:val="none"/>
          <w:lang w:eastAsia="zh-CN"/>
        </w:rPr>
        <w:t>除封面外，</w:t>
      </w:r>
      <w:r>
        <w:rPr>
          <w:rFonts w:hint="eastAsia" w:ascii="宋体" w:hAnsi="宋体" w:cs="宋体"/>
          <w:color w:val="auto"/>
          <w:sz w:val="24"/>
          <w:highlight w:val="none"/>
        </w:rPr>
        <w:t>每个页面应在明显位置编制页码和总页码</w:t>
      </w:r>
      <w:r>
        <w:rPr>
          <w:rFonts w:hint="eastAsia" w:ascii="宋体" w:hAnsi="宋体" w:cs="宋体"/>
          <w:color w:val="auto"/>
          <w:sz w:val="24"/>
          <w:highlight w:val="none"/>
          <w:lang w:eastAsia="zh-CN"/>
        </w:rPr>
        <w:t>。</w:t>
      </w:r>
      <w:r>
        <w:rPr>
          <w:rFonts w:hint="eastAsia" w:ascii="宋体" w:hAnsi="宋体" w:cs="宋体"/>
          <w:color w:val="auto"/>
          <w:sz w:val="24"/>
          <w:highlight w:val="none"/>
        </w:rPr>
        <w:t>除特殊规格的图纸或方案、图片资料等外，均应按A4规格制作。</w:t>
      </w:r>
    </w:p>
    <w:p w14:paraId="638BED52">
      <w:pPr>
        <w:spacing w:line="360" w:lineRule="auto"/>
        <w:ind w:firstLine="550"/>
        <w:outlineLvl w:val="3"/>
        <w:rPr>
          <w:rFonts w:hint="eastAsia" w:ascii="宋体" w:hAnsi="宋体" w:cs="宋体"/>
          <w:color w:val="auto"/>
          <w:sz w:val="24"/>
          <w:highlight w:val="none"/>
        </w:rPr>
      </w:pPr>
      <w:r>
        <w:rPr>
          <w:rFonts w:hint="eastAsia" w:ascii="宋体" w:hAnsi="宋体" w:cs="宋体"/>
          <w:color w:val="auto"/>
          <w:sz w:val="24"/>
          <w:highlight w:val="none"/>
        </w:rPr>
        <w:t>16.7电报、电话、传真形式的投标概不接受。</w:t>
      </w:r>
    </w:p>
    <w:p w14:paraId="517F3AE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16.8电子投标文件制作，见周口市公共资源交易中心网站下载中心版块《投标单位-电子投标文件视频制作手册》的相关规定。</w:t>
      </w:r>
    </w:p>
    <w:p w14:paraId="4B9FABF8">
      <w:pPr>
        <w:spacing w:line="360" w:lineRule="auto"/>
        <w:ind w:firstLine="550"/>
        <w:outlineLvl w:val="2"/>
        <w:rPr>
          <w:rFonts w:hint="eastAsia" w:ascii="宋体" w:hAnsi="宋体" w:cs="宋体"/>
          <w:color w:val="auto"/>
          <w:sz w:val="24"/>
          <w:highlight w:val="none"/>
        </w:rPr>
      </w:pPr>
      <w:r>
        <w:rPr>
          <w:rFonts w:hint="eastAsia" w:ascii="宋体" w:hAnsi="宋体" w:cs="宋体"/>
          <w:b/>
          <w:color w:val="auto"/>
          <w:sz w:val="24"/>
          <w:highlight w:val="none"/>
        </w:rPr>
        <w:t>17.报价</w:t>
      </w:r>
    </w:p>
    <w:p w14:paraId="1D39454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239943B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3FE16711">
      <w:pPr>
        <w:spacing w:line="360" w:lineRule="auto"/>
        <w:ind w:firstLine="550"/>
        <w:outlineLvl w:val="3"/>
        <w:rPr>
          <w:rFonts w:hint="eastAsia" w:ascii="宋体" w:hAnsi="宋体" w:cs="宋体"/>
          <w:color w:val="auto"/>
          <w:sz w:val="24"/>
          <w:highlight w:val="none"/>
        </w:rPr>
      </w:pPr>
      <w:r>
        <w:rPr>
          <w:rFonts w:hint="eastAsia" w:ascii="宋体" w:hAnsi="宋体" w:cs="宋体"/>
          <w:color w:val="auto"/>
          <w:sz w:val="24"/>
          <w:highlight w:val="none"/>
        </w:rPr>
        <w:t>17.3投标人应在投标文件中注明拟提供货物的单价明细和总价。</w:t>
      </w:r>
    </w:p>
    <w:p w14:paraId="1E2EE49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17.4除非招标文件另有规定，每一包只允许有一个最终报价，任何有选择的报价或替代方案将导致投标无效。</w:t>
      </w:r>
    </w:p>
    <w:p w14:paraId="6F6532FB">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17.5采购人不建议投标人采用总价优惠或以总价百分比优惠的方式进行投标报价，其优惠可直接计算并体现在各项投标报价的单价中。</w:t>
      </w:r>
    </w:p>
    <w:p w14:paraId="1B10DCB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17.6除政策性文件规定以外，投标人所报价格在合同实施期间不因市场变化因素而变动。</w:t>
      </w:r>
    </w:p>
    <w:p w14:paraId="5DFBF91D">
      <w:pPr>
        <w:spacing w:line="360" w:lineRule="auto"/>
        <w:ind w:firstLine="549"/>
        <w:outlineLvl w:val="2"/>
        <w:rPr>
          <w:rFonts w:hint="eastAsia" w:ascii="宋体" w:hAnsi="宋体" w:cs="宋体"/>
          <w:b/>
          <w:bCs/>
          <w:color w:val="auto"/>
          <w:sz w:val="24"/>
          <w:highlight w:val="none"/>
        </w:rPr>
      </w:pPr>
      <w:r>
        <w:rPr>
          <w:rFonts w:hint="eastAsia" w:ascii="宋体" w:hAnsi="宋体" w:cs="宋体"/>
          <w:b/>
          <w:bCs/>
          <w:color w:val="auto"/>
          <w:sz w:val="24"/>
          <w:highlight w:val="none"/>
        </w:rPr>
        <w:t>18.投标内容填写及说明</w:t>
      </w:r>
    </w:p>
    <w:p w14:paraId="20FCB26B">
      <w:pPr>
        <w:spacing w:line="360" w:lineRule="auto"/>
        <w:ind w:firstLine="549"/>
        <w:rPr>
          <w:rFonts w:hint="eastAsia" w:ascii="宋体" w:hAnsi="宋体" w:cs="宋体"/>
          <w:color w:val="auto"/>
          <w:sz w:val="24"/>
          <w:highlight w:val="none"/>
          <w:u w:val="single"/>
        </w:rPr>
      </w:pPr>
      <w:r>
        <w:rPr>
          <w:rFonts w:hint="eastAsia" w:ascii="宋体" w:hAnsi="宋体" w:cs="宋体"/>
          <w:color w:val="auto"/>
          <w:sz w:val="24"/>
          <w:highlight w:val="none"/>
        </w:rPr>
        <w:t>18.</w:t>
      </w:r>
      <w:r>
        <w:rPr>
          <w:rFonts w:hint="eastAsia" w:ascii="宋体" w:hAnsi="宋体" w:cs="宋体"/>
          <w:color w:val="auto"/>
          <w:sz w:val="24"/>
          <w:highlight w:val="none"/>
        </w:rPr>
        <w:t>1投标文件须对招标文件载明的投标资格、技术、资信、服务、报价等全部要求和条件做出实质性和完整的响应，并</w:t>
      </w:r>
      <w:r>
        <w:rPr>
          <w:rFonts w:hint="eastAsia" w:ascii="宋体" w:hAnsi="宋体" w:cs="宋体"/>
          <w:color w:val="auto"/>
          <w:sz w:val="24"/>
          <w:highlight w:val="none"/>
          <w:lang w:val="en-US" w:eastAsia="zh-CN"/>
        </w:rPr>
        <w:t>在投标文件中</w:t>
      </w:r>
      <w:r>
        <w:rPr>
          <w:rFonts w:hint="eastAsia" w:ascii="宋体" w:hAnsi="宋体" w:cs="宋体"/>
          <w:color w:val="auto"/>
          <w:sz w:val="24"/>
          <w:highlight w:val="none"/>
        </w:rPr>
        <w:t>书面承诺所提供的全部资料的真实性、合法性，如果未提供承诺、投标文</w:t>
      </w:r>
      <w:r>
        <w:rPr>
          <w:rFonts w:hint="eastAsia" w:ascii="宋体" w:hAnsi="宋体" w:cs="宋体"/>
          <w:color w:val="auto"/>
          <w:sz w:val="24"/>
          <w:highlight w:val="none"/>
        </w:rPr>
        <w:t>件填报的内容资料不详，或没有提供招标文件中所要求的全部资料、证明及数据，将导致投标无效。</w:t>
      </w:r>
    </w:p>
    <w:p w14:paraId="2631EBA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18.2投标人应在投标文件中提交招标文件要求的有关证明文件（扫描或影印件上传），作为其投标文件的一部分。</w:t>
      </w:r>
    </w:p>
    <w:p w14:paraId="500C547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0E84D2DC">
      <w:pPr>
        <w:spacing w:line="360" w:lineRule="auto"/>
        <w:ind w:firstLine="54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18.</w:t>
      </w:r>
      <w:r>
        <w:rPr>
          <w:rFonts w:hint="eastAsia" w:ascii="宋体" w:hAnsi="宋体" w:cs="宋体"/>
          <w:color w:val="auto"/>
          <w:sz w:val="24"/>
          <w:highlight w:val="none"/>
        </w:rPr>
        <w:t>3.1</w:t>
      </w:r>
      <w:r>
        <w:rPr>
          <w:rFonts w:hint="eastAsia" w:ascii="宋体" w:hAnsi="宋体" w:eastAsia="宋体" w:cs="宋体"/>
          <w:color w:val="auto"/>
          <w:sz w:val="24"/>
          <w:highlight w:val="none"/>
        </w:rPr>
        <w:t>供应商响应本项目时，应单独对所使用货物的合法及功能性做出承诺，附在响应文件中，否则不作为中标推荐供应商</w:t>
      </w:r>
      <w:r>
        <w:rPr>
          <w:rFonts w:hint="eastAsia" w:ascii="宋体" w:hAnsi="宋体" w:eastAsia="宋体" w:cs="宋体"/>
          <w:color w:val="auto"/>
          <w:sz w:val="24"/>
          <w:highlight w:val="none"/>
          <w:lang w:eastAsia="zh-CN"/>
        </w:rPr>
        <w:t>。</w:t>
      </w:r>
    </w:p>
    <w:p w14:paraId="04B8E4C4">
      <w:pPr>
        <w:spacing w:line="360" w:lineRule="auto"/>
        <w:ind w:firstLine="523" w:firstLineChars="218"/>
        <w:outlineLvl w:val="3"/>
        <w:rPr>
          <w:rFonts w:hint="eastAsia" w:ascii="宋体" w:hAnsi="宋体" w:cs="宋体"/>
          <w:color w:val="auto"/>
          <w:sz w:val="24"/>
          <w:highlight w:val="none"/>
        </w:rPr>
      </w:pPr>
      <w:r>
        <w:rPr>
          <w:rFonts w:hint="eastAsia" w:ascii="宋体" w:hAnsi="宋体" w:cs="宋体"/>
          <w:color w:val="auto"/>
          <w:sz w:val="24"/>
          <w:highlight w:val="none"/>
        </w:rPr>
        <w:t>18.3.</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货物主要性能（内容）的详细描述；</w:t>
      </w:r>
    </w:p>
    <w:p w14:paraId="73B60E90">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保证所投货物正常、安全、连续运行期间所需的所有备品、备件及专用工具的详细清单。</w:t>
      </w:r>
    </w:p>
    <w:p w14:paraId="5D70830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18.4投标文件应编排有序、内容齐全、不得任意涂改或增删。如有错漏处必须修改，应在修改处加盖投标人电子公章。</w:t>
      </w:r>
    </w:p>
    <w:p w14:paraId="35DC0834">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19.投标保证金（免收）</w:t>
      </w:r>
    </w:p>
    <w:p w14:paraId="08E125FA">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20.投标有效期</w:t>
      </w:r>
    </w:p>
    <w:p w14:paraId="19EB45E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20.1为保证采购人有足够的时间完成评标和与中标人签订合同，规定投标有效期。投标有效期期限见投标人须知前附表。</w:t>
      </w:r>
    </w:p>
    <w:p w14:paraId="0F12911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20.2在投标有效期内，投标人的投标保持有效，投标人不得要求撤销或修改其投标文件。</w:t>
      </w:r>
    </w:p>
    <w:p w14:paraId="674AEDE2">
      <w:pPr>
        <w:spacing w:line="360" w:lineRule="auto"/>
        <w:ind w:firstLine="550"/>
        <w:outlineLvl w:val="4"/>
        <w:rPr>
          <w:rFonts w:hint="eastAsia" w:ascii="宋体" w:hAnsi="宋体" w:cs="宋体"/>
          <w:color w:val="auto"/>
          <w:sz w:val="24"/>
          <w:highlight w:val="none"/>
        </w:rPr>
      </w:pPr>
      <w:r>
        <w:rPr>
          <w:rFonts w:hint="eastAsia" w:ascii="宋体" w:hAnsi="宋体" w:cs="宋体"/>
          <w:color w:val="auto"/>
          <w:sz w:val="24"/>
          <w:highlight w:val="none"/>
        </w:rPr>
        <w:t>20.3投标有效期从投标截止日起计算。</w:t>
      </w:r>
    </w:p>
    <w:p w14:paraId="7D36672F">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20.4在原定投标有效期满之前，如果出现特殊情况，</w:t>
      </w:r>
      <w:r>
        <w:rPr>
          <w:rFonts w:hint="eastAsia" w:ascii="宋体" w:hAnsi="宋体" w:cs="宋体"/>
          <w:bCs/>
          <w:color w:val="auto"/>
          <w:sz w:val="24"/>
          <w:highlight w:val="none"/>
        </w:rPr>
        <w:t>采购人</w:t>
      </w:r>
      <w:r>
        <w:rPr>
          <w:rFonts w:hint="eastAsia" w:ascii="宋体" w:hAnsi="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784F7B9C">
      <w:pPr>
        <w:spacing w:line="360" w:lineRule="auto"/>
        <w:ind w:firstLine="550"/>
        <w:outlineLvl w:val="2"/>
        <w:rPr>
          <w:rFonts w:hint="eastAsia" w:ascii="宋体" w:hAnsi="宋体" w:cs="宋体"/>
          <w:b/>
          <w:color w:val="auto"/>
          <w:sz w:val="24"/>
          <w:highlight w:val="none"/>
        </w:rPr>
      </w:pPr>
      <w:r>
        <w:rPr>
          <w:rFonts w:hint="eastAsia" w:ascii="宋体" w:hAnsi="宋体" w:cs="宋体"/>
          <w:b/>
          <w:color w:val="auto"/>
          <w:sz w:val="24"/>
          <w:highlight w:val="none"/>
        </w:rPr>
        <w:t>21.投标文件份数和签署</w:t>
      </w:r>
    </w:p>
    <w:p w14:paraId="3A822EDF">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21.1 投标人应按照投标人须知前附表的要求准备投标文件</w:t>
      </w:r>
      <w:r>
        <w:rPr>
          <w:rFonts w:hint="eastAsia" w:ascii="宋体" w:hAnsi="宋体" w:cs="宋体"/>
          <w:color w:val="auto"/>
          <w:sz w:val="24"/>
          <w:highlight w:val="none"/>
        </w:rPr>
        <w:t>，并由法定代表人或授权代表逐页签字</w:t>
      </w:r>
      <w:r>
        <w:rPr>
          <w:rFonts w:hint="eastAsia" w:ascii="宋体" w:hAnsi="宋体" w:cs="宋体"/>
          <w:color w:val="auto"/>
          <w:sz w:val="24"/>
          <w:highlight w:val="none"/>
          <w:lang w:val="en-US" w:eastAsia="zh-CN"/>
        </w:rPr>
        <w:t>、盖章</w:t>
      </w:r>
      <w:r>
        <w:rPr>
          <w:rFonts w:hint="eastAsia" w:ascii="宋体" w:hAnsi="宋体" w:cs="宋体"/>
          <w:color w:val="auto"/>
          <w:sz w:val="24"/>
          <w:highlight w:val="none"/>
        </w:rPr>
        <w:t>。</w:t>
      </w:r>
    </w:p>
    <w:p w14:paraId="02A90C7C">
      <w:pPr>
        <w:spacing w:line="360" w:lineRule="auto"/>
        <w:ind w:firstLine="550"/>
        <w:rPr>
          <w:rFonts w:hint="eastAsia" w:ascii="宋体" w:hAnsi="宋体" w:cs="宋体"/>
          <w:b/>
          <w:color w:val="auto"/>
          <w:sz w:val="24"/>
          <w:highlight w:val="none"/>
        </w:rPr>
      </w:pPr>
      <w:r>
        <w:rPr>
          <w:rFonts w:hint="eastAsia" w:ascii="宋体" w:hAnsi="宋体" w:cs="宋体"/>
          <w:color w:val="auto"/>
          <w:sz w:val="24"/>
          <w:highlight w:val="none"/>
        </w:rPr>
        <w:t>21.2投标文件均应依招标文件要求加盖投标人电子签章</w:t>
      </w:r>
      <w:r>
        <w:rPr>
          <w:rFonts w:hint="eastAsia" w:ascii="宋体" w:hAnsi="宋体" w:cs="宋体"/>
          <w:b/>
          <w:color w:val="auto"/>
          <w:sz w:val="24"/>
          <w:highlight w:val="none"/>
        </w:rPr>
        <w:t>。</w:t>
      </w:r>
    </w:p>
    <w:p w14:paraId="535D8F9F">
      <w:pPr>
        <w:pStyle w:val="5"/>
        <w:spacing w:line="360" w:lineRule="auto"/>
        <w:ind w:firstLine="2715" w:firstLineChars="966"/>
        <w:jc w:val="both"/>
        <w:outlineLvl w:val="1"/>
        <w:rPr>
          <w:rFonts w:hint="eastAsia" w:hAnsi="宋体" w:cs="宋体"/>
          <w:color w:val="auto"/>
          <w:sz w:val="28"/>
          <w:highlight w:val="none"/>
        </w:rPr>
      </w:pPr>
      <w:bookmarkStart w:id="106" w:name="_Hlt509650572"/>
      <w:bookmarkEnd w:id="106"/>
      <w:bookmarkStart w:id="107" w:name="_Toc527725925"/>
      <w:bookmarkStart w:id="108" w:name="_Toc40975445"/>
      <w:r>
        <w:rPr>
          <w:rFonts w:hint="eastAsia" w:hAnsi="宋体" w:cs="宋体"/>
          <w:color w:val="auto"/>
          <w:sz w:val="28"/>
          <w:highlight w:val="none"/>
        </w:rPr>
        <w:t>四．投标文件的递交</w:t>
      </w:r>
      <w:bookmarkEnd w:id="107"/>
      <w:bookmarkEnd w:id="108"/>
      <w:bookmarkStart w:id="109" w:name="_Hlt509649414"/>
      <w:bookmarkEnd w:id="109"/>
    </w:p>
    <w:p w14:paraId="6F9DDDB1">
      <w:pPr>
        <w:spacing w:line="360" w:lineRule="auto"/>
        <w:ind w:firstLine="550"/>
        <w:outlineLvl w:val="2"/>
        <w:rPr>
          <w:rFonts w:hint="eastAsia" w:ascii="宋体" w:hAnsi="宋体" w:cs="宋体"/>
          <w:b/>
          <w:color w:val="auto"/>
          <w:sz w:val="24"/>
          <w:highlight w:val="none"/>
        </w:rPr>
      </w:pPr>
      <w:r>
        <w:rPr>
          <w:rFonts w:hint="eastAsia" w:ascii="宋体" w:hAnsi="宋体" w:cs="宋体"/>
          <w:b/>
          <w:color w:val="auto"/>
          <w:sz w:val="24"/>
          <w:highlight w:val="none"/>
        </w:rPr>
        <w:t>22.投标文件的密封和标记</w:t>
      </w:r>
    </w:p>
    <w:p w14:paraId="0DAAE28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加密的电子投标文件的递交，见周口市公共资源交易中心网站下载中心版块《投标单位-电子投标文件视频制作手册》的相关规定。</w:t>
      </w:r>
    </w:p>
    <w:p w14:paraId="194EE6D5">
      <w:pPr>
        <w:spacing w:line="360" w:lineRule="auto"/>
        <w:ind w:firstLine="550"/>
        <w:outlineLvl w:val="2"/>
        <w:rPr>
          <w:rFonts w:hint="eastAsia" w:ascii="宋体" w:hAnsi="宋体" w:cs="宋体"/>
          <w:b/>
          <w:color w:val="auto"/>
          <w:sz w:val="24"/>
          <w:highlight w:val="none"/>
        </w:rPr>
      </w:pPr>
      <w:r>
        <w:rPr>
          <w:rFonts w:hint="eastAsia" w:ascii="宋体" w:hAnsi="宋体" w:cs="宋体"/>
          <w:b/>
          <w:color w:val="auto"/>
          <w:sz w:val="24"/>
          <w:highlight w:val="none"/>
        </w:rPr>
        <w:t xml:space="preserve">23.投标文件的递交 </w:t>
      </w:r>
    </w:p>
    <w:p w14:paraId="3307F7C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23.1投标人应当在招标文件要求提交投标文件的截止时间前网上投标。</w:t>
      </w:r>
    </w:p>
    <w:p w14:paraId="35337ECF">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23.2在招标文件要求提交投标文件的截止时间之后制作上传的投标文件为无效投标文件，</w:t>
      </w:r>
      <w:r>
        <w:rPr>
          <w:rFonts w:hint="eastAsia" w:ascii="宋体" w:hAnsi="宋体" w:cs="宋体"/>
          <w:bCs/>
          <w:color w:val="auto"/>
          <w:sz w:val="24"/>
          <w:highlight w:val="none"/>
        </w:rPr>
        <w:t>采购人</w:t>
      </w:r>
      <w:r>
        <w:rPr>
          <w:rFonts w:hint="eastAsia" w:ascii="宋体" w:hAnsi="宋体" w:cs="宋体"/>
          <w:color w:val="auto"/>
          <w:sz w:val="24"/>
          <w:highlight w:val="none"/>
        </w:rPr>
        <w:t>将拒绝接收。</w:t>
      </w:r>
    </w:p>
    <w:p w14:paraId="0FFCFA53">
      <w:pPr>
        <w:spacing w:line="360" w:lineRule="auto"/>
        <w:ind w:firstLine="550"/>
        <w:outlineLvl w:val="2"/>
        <w:rPr>
          <w:rFonts w:hint="eastAsia" w:ascii="宋体" w:hAnsi="宋体" w:cs="宋体"/>
          <w:b/>
          <w:color w:val="auto"/>
          <w:sz w:val="24"/>
          <w:highlight w:val="none"/>
        </w:rPr>
      </w:pPr>
      <w:r>
        <w:rPr>
          <w:rFonts w:hint="eastAsia" w:ascii="宋体" w:hAnsi="宋体" w:cs="宋体"/>
          <w:b/>
          <w:color w:val="auto"/>
          <w:sz w:val="24"/>
          <w:highlight w:val="none"/>
        </w:rPr>
        <w:t>24.投标文件的修改和撤回</w:t>
      </w:r>
    </w:p>
    <w:p w14:paraId="205C31BB">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投标截止日期前，投标人可以修改或撤回其投标文件；在投标截止时间后，投标人不得再要求修改或撤回其投标文件。</w:t>
      </w:r>
    </w:p>
    <w:p w14:paraId="39E5C311">
      <w:pPr>
        <w:pStyle w:val="5"/>
        <w:spacing w:line="360" w:lineRule="auto"/>
        <w:ind w:firstLine="2996" w:firstLineChars="1066"/>
        <w:jc w:val="both"/>
        <w:outlineLvl w:val="1"/>
        <w:rPr>
          <w:rFonts w:hint="eastAsia" w:hAnsi="宋体" w:cs="宋体"/>
          <w:color w:val="auto"/>
          <w:sz w:val="28"/>
          <w:highlight w:val="none"/>
        </w:rPr>
      </w:pPr>
      <w:bookmarkStart w:id="110" w:name="_Hlt509649294"/>
      <w:bookmarkEnd w:id="110"/>
      <w:bookmarkStart w:id="111" w:name="_Toc527725926"/>
      <w:bookmarkStart w:id="112" w:name="_Toc40975446"/>
      <w:r>
        <w:rPr>
          <w:rFonts w:hint="eastAsia" w:hAnsi="宋体" w:cs="宋体"/>
          <w:color w:val="auto"/>
          <w:sz w:val="28"/>
          <w:highlight w:val="none"/>
        </w:rPr>
        <w:t>五．开标与评标</w:t>
      </w:r>
      <w:bookmarkEnd w:id="111"/>
      <w:bookmarkEnd w:id="112"/>
    </w:p>
    <w:p w14:paraId="1FA7E056">
      <w:pPr>
        <w:snapToGrid w:val="0"/>
        <w:spacing w:line="300" w:lineRule="auto"/>
        <w:ind w:firstLine="550"/>
        <w:outlineLvl w:val="2"/>
        <w:rPr>
          <w:rFonts w:hint="eastAsia" w:ascii="宋体" w:hAnsi="宋体" w:cs="宋体"/>
          <w:b/>
          <w:color w:val="auto"/>
          <w:sz w:val="24"/>
          <w:szCs w:val="24"/>
          <w:highlight w:val="none"/>
        </w:rPr>
      </w:pPr>
      <w:r>
        <w:rPr>
          <w:rFonts w:hint="eastAsia" w:ascii="宋体" w:hAnsi="宋体" w:cs="宋体"/>
          <w:b/>
          <w:color w:val="auto"/>
          <w:sz w:val="24"/>
          <w:szCs w:val="24"/>
          <w:highlight w:val="none"/>
        </w:rPr>
        <w:t>25.开标</w:t>
      </w:r>
    </w:p>
    <w:p w14:paraId="301B09CA">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25.1本项目实行网上远程开标无须到现场提交投标文件。投标文件提交及解密详见周口市公共资源交易中心网</w:t>
      </w:r>
      <w:r>
        <w:rPr>
          <w:rFonts w:hint="eastAsia" w:ascii="宋体" w:hAnsi="宋体" w:cs="宋体"/>
          <w:color w:val="auto"/>
          <w:sz w:val="24"/>
          <w:szCs w:val="24"/>
          <w:highlight w:val="none"/>
        </w:rPr>
        <w:t>办事指南《不见面开标远程在线解密会员端操作手册操作指南》</w:t>
      </w:r>
    </w:p>
    <w:p w14:paraId="6639AA09">
      <w:pPr>
        <w:spacing w:line="360" w:lineRule="auto"/>
        <w:ind w:firstLine="549"/>
        <w:jc w:val="left"/>
        <w:rPr>
          <w:rFonts w:hint="eastAsia" w:ascii="宋体" w:hAnsi="宋体" w:cs="宋体"/>
          <w:bCs/>
          <w:color w:val="auto"/>
          <w:sz w:val="24"/>
          <w:highlight w:val="none"/>
        </w:rPr>
      </w:pPr>
      <w:r>
        <w:rPr>
          <w:rFonts w:hint="eastAsia" w:ascii="宋体" w:hAnsi="宋体" w:cs="宋体"/>
          <w:bCs/>
          <w:color w:val="auto"/>
          <w:sz w:val="24"/>
          <w:highlight w:val="none"/>
        </w:rPr>
        <w:t>25.2开标时，各投标单位应在规定时间内对本单位的投标文件现场解密，项目负责人在监督员或公证员监督下解密所有投标文件。在解密投标文件开始时30分钟内进行解密，超时视为放弃递交投标文件。</w:t>
      </w:r>
    </w:p>
    <w:p w14:paraId="7D2453E5">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25.3投标资格及投标文件的法律文本将由评审委员会在评标前进行审查。资格不符合招标文件要求和相关法律规定的，投标无效。</w:t>
      </w:r>
    </w:p>
    <w:p w14:paraId="71417F78">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32FBF237">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25.5投标人不得以任何方式干扰、影响评标</w:t>
      </w:r>
      <w:r>
        <w:rPr>
          <w:rFonts w:hint="eastAsia" w:ascii="宋体" w:hAnsi="宋体" w:cs="宋体"/>
          <w:color w:val="auto"/>
          <w:sz w:val="24"/>
          <w:highlight w:val="none"/>
        </w:rPr>
        <w:t>工作，投标人</w:t>
      </w:r>
      <w:r>
        <w:rPr>
          <w:rFonts w:hint="eastAsia" w:ascii="宋体" w:hAnsi="宋体" w:cs="宋体"/>
          <w:color w:val="auto"/>
          <w:sz w:val="24"/>
          <w:highlight w:val="none"/>
          <w:lang w:val="en-US" w:eastAsia="zh-CN"/>
        </w:rPr>
        <w:t>在投标文件中</w:t>
      </w:r>
      <w:r>
        <w:rPr>
          <w:rFonts w:hint="eastAsia" w:ascii="宋体" w:hAnsi="宋体" w:cs="宋体"/>
          <w:color w:val="auto"/>
          <w:sz w:val="24"/>
          <w:highlight w:val="none"/>
        </w:rPr>
        <w:t>对上述做出书面保证，否</w:t>
      </w:r>
      <w:r>
        <w:rPr>
          <w:rFonts w:hint="eastAsia" w:ascii="宋体" w:hAnsi="宋体" w:cs="宋体"/>
          <w:bCs/>
          <w:color w:val="auto"/>
          <w:sz w:val="24"/>
          <w:highlight w:val="none"/>
        </w:rPr>
        <w:t>则视为不响应招标文件实质性内容。</w:t>
      </w:r>
    </w:p>
    <w:p w14:paraId="0AD88053">
      <w:pPr>
        <w:spacing w:line="360" w:lineRule="auto"/>
        <w:ind w:firstLine="549"/>
        <w:outlineLvl w:val="2"/>
        <w:rPr>
          <w:rFonts w:hint="eastAsia" w:ascii="宋体" w:hAnsi="宋体" w:cs="宋体"/>
          <w:b/>
          <w:color w:val="auto"/>
          <w:sz w:val="24"/>
          <w:highlight w:val="none"/>
        </w:rPr>
      </w:pPr>
      <w:r>
        <w:rPr>
          <w:rFonts w:hint="eastAsia" w:ascii="宋体" w:hAnsi="宋体" w:cs="宋体"/>
          <w:b/>
          <w:color w:val="auto"/>
          <w:sz w:val="24"/>
          <w:highlight w:val="none"/>
        </w:rPr>
        <w:t>26.投标文件的澄清、说明或补正</w:t>
      </w:r>
    </w:p>
    <w:p w14:paraId="53148EA1">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6E98D481">
      <w:pPr>
        <w:spacing w:line="360" w:lineRule="auto"/>
        <w:ind w:firstLine="549"/>
        <w:rPr>
          <w:rFonts w:hint="eastAsia"/>
          <w:color w:val="auto"/>
          <w:highlight w:val="none"/>
        </w:rPr>
      </w:pPr>
      <w:r>
        <w:rPr>
          <w:rFonts w:hint="eastAsia" w:ascii="宋体" w:hAnsi="宋体" w:cs="宋体"/>
          <w:bCs/>
          <w:color w:val="auto"/>
          <w:sz w:val="24"/>
          <w:highlight w:val="none"/>
        </w:rPr>
        <w:t>26.2供应商应仔细阅读招标文件的所有内容，如果有异议在规定时间内提出，没有异议须做出“无异议”承诺书，承诺书作为</w:t>
      </w:r>
      <w:r>
        <w:rPr>
          <w:rFonts w:hint="eastAsia" w:ascii="宋体" w:hAnsi="宋体" w:cs="宋体"/>
          <w:bCs/>
          <w:color w:val="auto"/>
          <w:sz w:val="24"/>
          <w:highlight w:val="none"/>
          <w:lang w:eastAsia="zh-CN"/>
        </w:rPr>
        <w:t>投标文件</w:t>
      </w:r>
      <w:r>
        <w:rPr>
          <w:rFonts w:hint="eastAsia" w:ascii="宋体" w:hAnsi="宋体" w:cs="宋体"/>
          <w:bCs/>
          <w:color w:val="auto"/>
          <w:sz w:val="24"/>
          <w:highlight w:val="none"/>
        </w:rPr>
        <w:t>的组成部分，否则为无效</w:t>
      </w:r>
      <w:r>
        <w:rPr>
          <w:rFonts w:hint="eastAsia" w:ascii="宋体" w:hAnsi="宋体" w:cs="宋体"/>
          <w:bCs/>
          <w:color w:val="auto"/>
          <w:sz w:val="24"/>
          <w:highlight w:val="none"/>
          <w:lang w:eastAsia="zh-CN"/>
        </w:rPr>
        <w:t>投标文件</w:t>
      </w:r>
      <w:r>
        <w:rPr>
          <w:rFonts w:hint="eastAsia" w:ascii="宋体" w:hAnsi="宋体" w:cs="宋体"/>
          <w:bCs/>
          <w:color w:val="auto"/>
          <w:sz w:val="24"/>
          <w:highlight w:val="none"/>
        </w:rPr>
        <w:t>。</w:t>
      </w:r>
    </w:p>
    <w:p w14:paraId="591F11D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26.3投标文件中大写金额和小写金额不一致的，以大写金额为准；总价金额与按单价汇总金额不一致的，以单价金额计算结果为准</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在开标一览表大写处加盖公章和法定代表人签字，</w:t>
      </w:r>
      <w:r>
        <w:rPr>
          <w:rFonts w:hint="eastAsia" w:ascii="宋体" w:hAnsi="宋体" w:cs="宋体"/>
          <w:color w:val="auto"/>
          <w:sz w:val="24"/>
          <w:highlight w:val="none"/>
        </w:rPr>
        <w:t>单价金额小数点有明显错位的，应以总价为准，并</w:t>
      </w:r>
      <w:r>
        <w:rPr>
          <w:rFonts w:hint="eastAsia" w:ascii="宋体" w:hAnsi="宋体" w:cs="宋体"/>
          <w:color w:val="auto"/>
          <w:sz w:val="24"/>
          <w:highlight w:val="none"/>
        </w:rPr>
        <w:t>修改单价。</w:t>
      </w:r>
    </w:p>
    <w:p w14:paraId="19F86B54">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26.4</w:t>
      </w:r>
      <w:r>
        <w:rPr>
          <w:rFonts w:hint="eastAsia" w:ascii="宋体" w:hAnsi="宋体" w:cs="宋体"/>
          <w:bCs/>
          <w:color w:val="auto"/>
          <w:sz w:val="24"/>
          <w:highlight w:val="none"/>
        </w:rPr>
        <w:t>开标一览表内容与投标文件中明细表内容不一致的，以开标一览表为准。</w:t>
      </w:r>
    </w:p>
    <w:p w14:paraId="31BCC406">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26.5 如同时出现26.2条和26.3条所述的不一致情况，以开标一览表为准。</w:t>
      </w:r>
    </w:p>
    <w:p w14:paraId="703F72EE">
      <w:pPr>
        <w:spacing w:line="360" w:lineRule="auto"/>
        <w:ind w:firstLine="549"/>
        <w:outlineLvl w:val="2"/>
        <w:rPr>
          <w:rFonts w:hint="eastAsia" w:ascii="宋体" w:hAnsi="宋体" w:cs="宋体"/>
          <w:b/>
          <w:color w:val="auto"/>
          <w:sz w:val="24"/>
          <w:highlight w:val="none"/>
        </w:rPr>
      </w:pPr>
      <w:r>
        <w:rPr>
          <w:rFonts w:hint="eastAsia" w:ascii="宋体" w:hAnsi="宋体" w:cs="宋体"/>
          <w:b/>
          <w:color w:val="auto"/>
          <w:sz w:val="24"/>
          <w:highlight w:val="none"/>
        </w:rPr>
        <w:t>27.评标</w:t>
      </w:r>
    </w:p>
    <w:p w14:paraId="7EC570E7">
      <w:pPr>
        <w:spacing w:line="360" w:lineRule="auto"/>
        <w:ind w:firstLine="523" w:firstLineChars="218"/>
        <w:rPr>
          <w:rFonts w:hint="eastAsia" w:ascii="宋体" w:hAnsi="宋体" w:cs="宋体"/>
          <w:b/>
          <w:color w:val="auto"/>
          <w:sz w:val="24"/>
          <w:highlight w:val="none"/>
        </w:rPr>
      </w:pPr>
      <w:r>
        <w:rPr>
          <w:rFonts w:hint="eastAsia" w:ascii="宋体" w:hAnsi="宋体" w:cs="宋体"/>
          <w:color w:val="auto"/>
          <w:sz w:val="24"/>
          <w:highlight w:val="none"/>
        </w:rPr>
        <w:t>27.1 评委会将按照招标文件规定的评标办法对投标人独立进行投标评审。投标评审分为符合性审查和综合评分。</w:t>
      </w:r>
    </w:p>
    <w:p w14:paraId="490F346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A8089F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有下列情形之一的，评标委员会应当否决其投标：</w:t>
      </w:r>
    </w:p>
    <w:p w14:paraId="68AD8B3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27.2.1投标文件未经投标单位电子签章的；</w:t>
      </w:r>
    </w:p>
    <w:p w14:paraId="7A9CD24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27.2.2</w:t>
      </w:r>
      <w:r>
        <w:rPr>
          <w:rFonts w:hint="eastAsia" w:ascii="宋体" w:hAnsi="宋体" w:eastAsia="宋体" w:cs="宋体"/>
          <w:color w:val="auto"/>
          <w:sz w:val="24"/>
          <w:szCs w:val="24"/>
          <w:highlight w:val="none"/>
          <w:lang w:val="en-US" w:eastAsia="zh-CN"/>
        </w:rPr>
        <w:t>未提供健全完整的</w:t>
      </w:r>
      <w:r>
        <w:rPr>
          <w:rFonts w:hint="eastAsia" w:ascii="宋体" w:hAnsi="宋体" w:eastAsia="宋体" w:cs="宋体"/>
          <w:color w:val="auto"/>
          <w:sz w:val="24"/>
          <w:szCs w:val="24"/>
          <w:highlight w:val="none"/>
        </w:rPr>
        <w:t>财务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会计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公司管理</w:t>
      </w:r>
      <w:r>
        <w:rPr>
          <w:rFonts w:hint="eastAsia" w:ascii="宋体" w:hAnsi="宋体" w:eastAsia="宋体" w:cs="宋体"/>
          <w:color w:val="auto"/>
          <w:sz w:val="24"/>
          <w:szCs w:val="24"/>
          <w:highlight w:val="none"/>
        </w:rPr>
        <w:t>制度</w:t>
      </w:r>
      <w:r>
        <w:rPr>
          <w:rFonts w:hint="eastAsia" w:ascii="宋体" w:hAnsi="宋体" w:cs="宋体"/>
          <w:color w:val="auto"/>
          <w:sz w:val="24"/>
          <w:highlight w:val="none"/>
        </w:rPr>
        <w:t>；</w:t>
      </w:r>
    </w:p>
    <w:p w14:paraId="5B9A778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27.2.3投标人不符合国家或者招标文件规定的资格条件；</w:t>
      </w:r>
    </w:p>
    <w:p w14:paraId="51272A9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27.2.4同一投标人提交两个以上不同的投标文件或者投标报价，但招标文件要求提交备选投标的除外；</w:t>
      </w:r>
    </w:p>
    <w:p w14:paraId="457B9DB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27.2.5投标报价或者某些分项报价明显不合理或者低于成本，有可能影响商品质量和不能诚信履约；</w:t>
      </w:r>
    </w:p>
    <w:p w14:paraId="6C078063">
      <w:pPr>
        <w:spacing w:line="360" w:lineRule="auto"/>
        <w:ind w:firstLine="549"/>
        <w:outlineLvl w:val="3"/>
        <w:rPr>
          <w:rFonts w:hint="eastAsia" w:ascii="宋体" w:hAnsi="宋体" w:cs="宋体"/>
          <w:color w:val="auto"/>
          <w:sz w:val="24"/>
          <w:highlight w:val="none"/>
        </w:rPr>
      </w:pPr>
      <w:r>
        <w:rPr>
          <w:rFonts w:hint="eastAsia" w:ascii="宋体" w:hAnsi="宋体" w:cs="宋体"/>
          <w:color w:val="auto"/>
          <w:sz w:val="24"/>
          <w:highlight w:val="none"/>
        </w:rPr>
        <w:t>27.2.6投标报价高于招标文件设定的最高投标限价；</w:t>
      </w:r>
    </w:p>
    <w:p w14:paraId="76CA7E1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27.2.7投标文件没有对招标文件的实质性要求和条件作出响应；</w:t>
      </w:r>
    </w:p>
    <w:p w14:paraId="6DC15DE1">
      <w:pPr>
        <w:spacing w:line="360" w:lineRule="auto"/>
        <w:ind w:firstLine="549"/>
        <w:outlineLvl w:val="3"/>
        <w:rPr>
          <w:rFonts w:hint="eastAsia" w:ascii="宋体" w:hAnsi="宋体" w:cs="宋体"/>
          <w:color w:val="auto"/>
          <w:sz w:val="24"/>
          <w:highlight w:val="none"/>
        </w:rPr>
      </w:pPr>
      <w:r>
        <w:rPr>
          <w:rFonts w:hint="eastAsia" w:ascii="宋体" w:hAnsi="宋体" w:cs="宋体"/>
          <w:color w:val="auto"/>
          <w:sz w:val="24"/>
          <w:highlight w:val="none"/>
        </w:rPr>
        <w:t>27.2.8投标人有串通投标、弄虚作假、行贿等违法行为。</w:t>
      </w:r>
    </w:p>
    <w:p w14:paraId="133384CD">
      <w:pPr>
        <w:spacing w:line="360" w:lineRule="auto"/>
        <w:ind w:firstLine="549"/>
        <w:outlineLvl w:val="3"/>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供应商没有在投标（响应）文件中附“廉洁自律承诺书”。</w:t>
      </w:r>
    </w:p>
    <w:p w14:paraId="1BC5AA46">
      <w:pPr>
        <w:spacing w:line="360" w:lineRule="auto"/>
        <w:ind w:firstLine="549"/>
        <w:outlineLvl w:val="3"/>
        <w:rPr>
          <w:rFonts w:hint="eastAsia" w:ascii="宋体" w:hAnsi="宋体" w:cs="宋体"/>
          <w:color w:val="auto"/>
          <w:sz w:val="24"/>
          <w:highlight w:val="none"/>
        </w:rPr>
      </w:pPr>
      <w:r>
        <w:rPr>
          <w:rFonts w:hint="eastAsia" w:ascii="宋体" w:hAnsi="宋体" w:cs="宋体"/>
          <w:color w:val="auto"/>
          <w:sz w:val="24"/>
          <w:highlight w:val="none"/>
        </w:rPr>
        <w:t>27.3如果投标文件未通过投标符合性审查，投标无效。</w:t>
      </w:r>
    </w:p>
    <w:p w14:paraId="2013AF0C">
      <w:pPr>
        <w:spacing w:line="360" w:lineRule="auto"/>
        <w:ind w:firstLine="549"/>
        <w:outlineLvl w:val="3"/>
        <w:rPr>
          <w:rFonts w:hint="eastAsia" w:ascii="宋体" w:hAnsi="宋体" w:cs="宋体"/>
          <w:color w:val="auto"/>
          <w:sz w:val="24"/>
          <w:highlight w:val="none"/>
        </w:rPr>
      </w:pPr>
      <w:r>
        <w:rPr>
          <w:rFonts w:hint="eastAsia" w:ascii="宋体" w:hAnsi="宋体" w:cs="宋体"/>
          <w:color w:val="auto"/>
          <w:sz w:val="24"/>
          <w:highlight w:val="none"/>
        </w:rPr>
        <w:t>27.3．1法定代表人和委托代理人未在身份证</w:t>
      </w:r>
      <w:r>
        <w:rPr>
          <w:rFonts w:hint="eastAsia" w:ascii="宋体" w:hAnsi="宋体" w:cs="宋体"/>
          <w:color w:val="auto"/>
          <w:sz w:val="24"/>
          <w:highlight w:val="none"/>
          <w:lang w:val="en-US" w:eastAsia="zh-CN"/>
        </w:rPr>
        <w:t>正面</w:t>
      </w:r>
      <w:r>
        <w:rPr>
          <w:rFonts w:hint="eastAsia" w:ascii="宋体" w:hAnsi="宋体" w:cs="宋体"/>
          <w:color w:val="auto"/>
          <w:sz w:val="24"/>
          <w:highlight w:val="none"/>
        </w:rPr>
        <w:t>上签字的；</w:t>
      </w:r>
    </w:p>
    <w:p w14:paraId="3EC1297C">
      <w:pPr>
        <w:spacing w:line="360" w:lineRule="auto"/>
        <w:ind w:firstLine="549"/>
        <w:rPr>
          <w:rFonts w:hint="eastAsia" w:ascii="宋体" w:hAnsi="宋体" w:eastAsia="宋体" w:cs="宋体"/>
          <w:color w:val="auto"/>
          <w:sz w:val="24"/>
          <w:highlight w:val="none"/>
          <w:lang w:eastAsia="zh-CN"/>
        </w:rPr>
      </w:pPr>
      <w:r>
        <w:rPr>
          <w:rFonts w:hint="eastAsia" w:ascii="宋体" w:hAnsi="宋体" w:cs="宋体"/>
          <w:color w:val="auto"/>
          <w:sz w:val="24"/>
          <w:highlight w:val="none"/>
        </w:rPr>
        <w:t>27.3．2未提供经会计师事务所或审计机构审计的财务会计报表，包括资产负债表、现金流量表、利润表、</w:t>
      </w:r>
      <w:r>
        <w:rPr>
          <w:rFonts w:hint="eastAsia" w:ascii="宋体" w:hAnsi="宋体" w:cs="宋体"/>
          <w:color w:val="auto"/>
          <w:sz w:val="24"/>
          <w:highlight w:val="none"/>
          <w:lang w:val="en-US" w:eastAsia="zh-CN"/>
        </w:rPr>
        <w:t>损益表</w:t>
      </w:r>
      <w:r>
        <w:rPr>
          <w:rFonts w:hint="eastAsia" w:ascii="宋体" w:hAnsi="宋体" w:cs="宋体"/>
          <w:color w:val="auto"/>
          <w:sz w:val="24"/>
          <w:highlight w:val="none"/>
        </w:rPr>
        <w:t>的</w:t>
      </w:r>
      <w:r>
        <w:rPr>
          <w:rFonts w:hint="eastAsia" w:ascii="宋体" w:hAnsi="宋体" w:cs="宋体"/>
          <w:color w:val="auto"/>
          <w:sz w:val="24"/>
          <w:highlight w:val="none"/>
          <w:lang w:eastAsia="zh-CN"/>
        </w:rPr>
        <w:t>；</w:t>
      </w:r>
    </w:p>
    <w:p w14:paraId="678A5DF6">
      <w:pPr>
        <w:spacing w:line="360" w:lineRule="auto"/>
        <w:ind w:firstLine="549"/>
        <w:outlineLvl w:val="4"/>
        <w:rPr>
          <w:rFonts w:hint="eastAsia" w:ascii="宋体" w:hAnsi="宋体" w:cs="宋体"/>
          <w:color w:val="auto"/>
          <w:sz w:val="24"/>
          <w:highlight w:val="none"/>
        </w:rPr>
      </w:pPr>
      <w:r>
        <w:rPr>
          <w:rFonts w:hint="eastAsia" w:ascii="宋体" w:hAnsi="宋体" w:cs="宋体"/>
          <w:color w:val="auto"/>
          <w:sz w:val="24"/>
          <w:highlight w:val="none"/>
        </w:rPr>
        <w:t>27.3如果投标文件未通过投标符合性审查，投标无效。</w:t>
      </w:r>
    </w:p>
    <w:p w14:paraId="444BEE9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27.4评委会决定投标文件的响应性及符合性只根据投标文件本身的内容，不寻求其他外部证据。</w:t>
      </w:r>
    </w:p>
    <w:p w14:paraId="58449429">
      <w:pPr>
        <w:spacing w:line="360" w:lineRule="auto"/>
        <w:ind w:firstLine="549"/>
        <w:outlineLvl w:val="2"/>
        <w:rPr>
          <w:rFonts w:hint="eastAsia" w:ascii="宋体" w:hAnsi="宋体" w:cs="宋体"/>
          <w:b/>
          <w:bCs/>
          <w:color w:val="auto"/>
          <w:sz w:val="24"/>
          <w:highlight w:val="none"/>
        </w:rPr>
      </w:pPr>
      <w:r>
        <w:rPr>
          <w:rFonts w:hint="eastAsia" w:ascii="宋体" w:hAnsi="宋体" w:cs="宋体"/>
          <w:b/>
          <w:bCs/>
          <w:color w:val="auto"/>
          <w:sz w:val="24"/>
          <w:highlight w:val="none"/>
        </w:rPr>
        <w:t>28</w:t>
      </w:r>
      <w:r>
        <w:rPr>
          <w:rFonts w:hint="eastAsia" w:ascii="宋体" w:hAnsi="宋体" w:cs="宋体"/>
          <w:b/>
          <w:color w:val="auto"/>
          <w:sz w:val="24"/>
          <w:highlight w:val="none"/>
        </w:rPr>
        <w:t>.</w:t>
      </w:r>
      <w:r>
        <w:rPr>
          <w:rFonts w:hint="eastAsia" w:ascii="宋体" w:hAnsi="宋体" w:cs="宋体"/>
          <w:b/>
          <w:bCs/>
          <w:color w:val="auto"/>
          <w:sz w:val="24"/>
          <w:highlight w:val="none"/>
        </w:rPr>
        <w:t>废标处理</w:t>
      </w:r>
    </w:p>
    <w:p w14:paraId="4E0DAA7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28.1在招标采购中，出现下列情形之一的，周口市公共资源交易中心政府采购中心有权宣布废标：</w:t>
      </w:r>
    </w:p>
    <w:p w14:paraId="2320AA6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28.1.1符合专业条件的投标人或对招标文件作实质响应的投标人不足三家的；</w:t>
      </w:r>
    </w:p>
    <w:p w14:paraId="6132D6C3">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28.1.2投标人的报价均超过采购预算，采购人不能支付的；</w:t>
      </w:r>
    </w:p>
    <w:p w14:paraId="44CD15BF">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28.1.3出现影响采购公正的违法、违规行为的；</w:t>
      </w:r>
    </w:p>
    <w:p w14:paraId="1E095C0F">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28.1.4因重大变故，采购任务取消的。</w:t>
      </w:r>
    </w:p>
    <w:p w14:paraId="47962EC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废标后，周口市公共资源交易中心政府采购中心会把废标理由通知所有投标人。</w:t>
      </w:r>
    </w:p>
    <w:p w14:paraId="0571996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645A0B16">
      <w:pPr>
        <w:spacing w:line="360" w:lineRule="auto"/>
        <w:ind w:firstLine="523" w:firstLineChars="218"/>
        <w:outlineLvl w:val="3"/>
        <w:rPr>
          <w:rFonts w:hint="eastAsia" w:ascii="宋体" w:hAnsi="宋体" w:cs="宋体"/>
          <w:color w:val="auto"/>
          <w:sz w:val="24"/>
          <w:highlight w:val="none"/>
        </w:rPr>
      </w:pPr>
      <w:r>
        <w:rPr>
          <w:rFonts w:hint="eastAsia" w:ascii="宋体" w:hAnsi="宋体" w:cs="宋体"/>
          <w:color w:val="auto"/>
          <w:sz w:val="24"/>
          <w:highlight w:val="none"/>
        </w:rPr>
        <w:t>28.2.1放弃参加投标的；</w:t>
      </w:r>
    </w:p>
    <w:p w14:paraId="44AA5CE3">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28.2.2未经周口市公共资源交易中心政府采购中心允许，离开开标现场通知不上的；</w:t>
      </w:r>
    </w:p>
    <w:p w14:paraId="4C5EA8E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28.2.3不符合招标文件列明的专业条件的；</w:t>
      </w:r>
    </w:p>
    <w:p w14:paraId="36C3207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28.2.4未按规定交纳谈判保证金的；</w:t>
      </w:r>
    </w:p>
    <w:p w14:paraId="5462B3A3">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28.2.5有影响采购公正的违法、违规行为造成项目废标的；</w:t>
      </w:r>
    </w:p>
    <w:p w14:paraId="71B04CC4">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28.2.6其他不符合竞争性谈判条件的情况。</w:t>
      </w:r>
    </w:p>
    <w:p w14:paraId="260CBE4B">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28.3采购方式现场改为竞争性谈判时，</w:t>
      </w:r>
      <w:r>
        <w:rPr>
          <w:rFonts w:hint="eastAsia" w:ascii="宋体" w:hAnsi="宋体" w:cs="宋体"/>
          <w:color w:val="auto"/>
          <w:sz w:val="24"/>
          <w:highlight w:val="none"/>
        </w:rPr>
        <w:t>周口市公共资源交易中心政府采购中心</w:t>
      </w:r>
      <w:r>
        <w:rPr>
          <w:rFonts w:hint="eastAsia" w:ascii="宋体" w:hAnsi="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CF18647">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39D80E2F">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2D1C86D7">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28.3.3在谈判内容不作实质性变更及重大调整的前提下，投标人次轮报价不得高于上一轮报价。</w:t>
      </w:r>
    </w:p>
    <w:p w14:paraId="293611CF">
      <w:pPr>
        <w:spacing w:line="360" w:lineRule="auto"/>
        <w:ind w:firstLine="482" w:firstLineChars="200"/>
        <w:outlineLvl w:val="2"/>
        <w:rPr>
          <w:rFonts w:hint="eastAsia" w:ascii="宋体" w:hAnsi="宋体" w:cs="宋体"/>
          <w:b/>
          <w:bCs/>
          <w:color w:val="auto"/>
          <w:sz w:val="24"/>
          <w:highlight w:val="none"/>
        </w:rPr>
      </w:pPr>
      <w:r>
        <w:rPr>
          <w:rFonts w:hint="eastAsia" w:ascii="宋体" w:hAnsi="宋体" w:cs="宋体"/>
          <w:b/>
          <w:bCs/>
          <w:color w:val="auto"/>
          <w:sz w:val="24"/>
          <w:highlight w:val="none"/>
        </w:rPr>
        <w:t>29</w:t>
      </w:r>
      <w:r>
        <w:rPr>
          <w:rFonts w:hint="eastAsia" w:ascii="宋体" w:hAnsi="宋体" w:cs="宋体"/>
          <w:b/>
          <w:color w:val="auto"/>
          <w:sz w:val="24"/>
          <w:highlight w:val="none"/>
        </w:rPr>
        <w:t>.</w:t>
      </w:r>
      <w:r>
        <w:rPr>
          <w:rFonts w:hint="eastAsia" w:ascii="宋体" w:hAnsi="宋体" w:cs="宋体"/>
          <w:b/>
          <w:bCs/>
          <w:color w:val="auto"/>
          <w:sz w:val="24"/>
          <w:highlight w:val="none"/>
        </w:rPr>
        <w:t>二次采购</w:t>
      </w:r>
    </w:p>
    <w:p w14:paraId="6DC3FAA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项目废标后，周口市公共资源交易中心政府采购中心可能发布二次公告（投标邀请），进行二次采购。</w:t>
      </w:r>
    </w:p>
    <w:p w14:paraId="3308727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前款所述“二次”，系指项目废标后的重新公告及采购，并不仅限于项目的第二次公告及采购。</w:t>
      </w:r>
    </w:p>
    <w:p w14:paraId="6F642F99">
      <w:pPr>
        <w:pStyle w:val="5"/>
        <w:spacing w:line="360" w:lineRule="auto"/>
        <w:ind w:firstLine="2715" w:firstLineChars="966"/>
        <w:jc w:val="both"/>
        <w:outlineLvl w:val="1"/>
        <w:rPr>
          <w:rFonts w:hint="eastAsia" w:hAnsi="宋体" w:cs="宋体"/>
          <w:color w:val="auto"/>
          <w:sz w:val="28"/>
          <w:highlight w:val="none"/>
        </w:rPr>
      </w:pPr>
      <w:bookmarkStart w:id="113" w:name="_Toc527725927"/>
      <w:bookmarkStart w:id="114" w:name="_Toc40975447"/>
      <w:bookmarkStart w:id="115" w:name="_Toc516969091"/>
      <w:r>
        <w:rPr>
          <w:rFonts w:hint="eastAsia" w:hAnsi="宋体" w:cs="宋体"/>
          <w:color w:val="auto"/>
          <w:sz w:val="28"/>
          <w:highlight w:val="none"/>
        </w:rPr>
        <w:t>六．定标与签订合同</w:t>
      </w:r>
      <w:bookmarkEnd w:id="113"/>
      <w:bookmarkEnd w:id="114"/>
      <w:bookmarkEnd w:id="115"/>
    </w:p>
    <w:p w14:paraId="082CFAD2">
      <w:pPr>
        <w:spacing w:line="360" w:lineRule="auto"/>
        <w:ind w:firstLine="549"/>
        <w:outlineLvl w:val="2"/>
        <w:rPr>
          <w:rFonts w:hint="eastAsia" w:ascii="宋体" w:hAnsi="宋体" w:cs="宋体"/>
          <w:b/>
          <w:color w:val="auto"/>
          <w:sz w:val="24"/>
          <w:highlight w:val="none"/>
        </w:rPr>
      </w:pPr>
      <w:r>
        <w:rPr>
          <w:rFonts w:hint="eastAsia" w:ascii="宋体" w:hAnsi="宋体" w:cs="宋体"/>
          <w:b/>
          <w:color w:val="auto"/>
          <w:sz w:val="24"/>
          <w:highlight w:val="none"/>
        </w:rPr>
        <w:t>30.定标</w:t>
      </w:r>
    </w:p>
    <w:p w14:paraId="2CBCB8E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30.1 投标符合性审查后，评委会应当按招标文件规定的综合评分办法提出独立评审意见，推荐中标候选人。</w:t>
      </w:r>
    </w:p>
    <w:p w14:paraId="543CB711">
      <w:pPr>
        <w:pStyle w:val="22"/>
        <w:ind w:right="-21" w:firstLine="540"/>
        <w:rPr>
          <w:rFonts w:hint="eastAsia" w:ascii="宋体" w:hAnsi="宋体" w:eastAsia="宋体" w:cs="宋体"/>
          <w:color w:val="auto"/>
          <w:kern w:val="2"/>
          <w:szCs w:val="20"/>
          <w:highlight w:val="none"/>
          <w:lang w:val="en-US" w:eastAsia="zh-CN"/>
        </w:rPr>
      </w:pPr>
      <w:r>
        <w:rPr>
          <w:rFonts w:hint="eastAsia" w:ascii="宋体" w:hAnsi="宋体" w:eastAsia="宋体" w:cs="宋体"/>
          <w:color w:val="auto"/>
          <w:kern w:val="2"/>
          <w:szCs w:val="20"/>
          <w:highlight w:val="none"/>
          <w:lang w:val="en-US" w:eastAsia="zh-CN"/>
        </w:rPr>
        <w:t>30.2采购人应当自收到评审报告之日起5个工作日内在评审报告推荐的中标或者成交候选人中按顺序确定中标或者成交供应商。</w:t>
      </w:r>
    </w:p>
    <w:p w14:paraId="79D7FBE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09E1EEA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668A968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30.4原则上把合同授予实质上响应招标文件要求的排名最前的中标候选人或通过上条资格审查的中标候选人。</w:t>
      </w:r>
    </w:p>
    <w:p w14:paraId="00A6FD75">
      <w:pPr>
        <w:spacing w:line="360" w:lineRule="auto"/>
        <w:ind w:firstLine="549"/>
        <w:outlineLvl w:val="3"/>
        <w:rPr>
          <w:rFonts w:hint="eastAsia" w:ascii="宋体" w:hAnsi="宋体" w:cs="宋体"/>
          <w:color w:val="auto"/>
          <w:sz w:val="24"/>
          <w:highlight w:val="none"/>
        </w:rPr>
      </w:pPr>
      <w:r>
        <w:rPr>
          <w:rFonts w:hint="eastAsia" w:ascii="宋体" w:hAnsi="宋体" w:cs="宋体"/>
          <w:color w:val="auto"/>
          <w:sz w:val="24"/>
          <w:highlight w:val="none"/>
        </w:rPr>
        <w:t>30.5 最低报价并不是中标的保证。</w:t>
      </w:r>
    </w:p>
    <w:p w14:paraId="3D13445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30.6凡发现中标候选人有下列行为之一的，其中标无效，并移交政府采购监督管理部门依法处理：</w:t>
      </w:r>
    </w:p>
    <w:p w14:paraId="62FCCE83">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 以他人名义投标、或提供虚假材料弄虚作假谋取中标的；</w:t>
      </w:r>
    </w:p>
    <w:p w14:paraId="661A1C1A">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30.6.1.1以他人名义投标，是指使用通过受让或者租借等方式获取的资格、资质证书投标。</w:t>
      </w:r>
    </w:p>
    <w:p w14:paraId="7149023B">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30.6.1.2有投标人有下列情形之一的，属于弄虚作假的行为：</w:t>
      </w:r>
    </w:p>
    <w:p w14:paraId="401D4CB1">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30.6.1.2.1使用伪造、变造的许可证件；</w:t>
      </w:r>
    </w:p>
    <w:p w14:paraId="3BCC9320">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30.6.1.2.2提供虚假的财务状况或者业绩；</w:t>
      </w:r>
    </w:p>
    <w:p w14:paraId="223E5A8D">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30.6.1.2.3提供虚假的项目负责人或者主要技术人员简历、劳动关系证明；</w:t>
      </w:r>
    </w:p>
    <w:p w14:paraId="451ED41D">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30.6.1.2.4提供虚假的信用状况；</w:t>
      </w:r>
    </w:p>
    <w:p w14:paraId="1FDC7A11">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30.6.1.2.5其他弄虚作假的行为。</w:t>
      </w:r>
    </w:p>
    <w:p w14:paraId="3A655CCD">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30.6.2与采购人、其他供应商或者采购代理机构名称工作人员恶意串通的；</w:t>
      </w:r>
    </w:p>
    <w:p w14:paraId="5DF3DE4C">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30.6.3向采购人、评审专家、采购代理机构工作人员行贿或者提供其他不正当利益的；</w:t>
      </w:r>
    </w:p>
    <w:p w14:paraId="40B5784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30.6.4有法律、法规规定的其他损害采购人利益和社会公共利益情形的；</w:t>
      </w:r>
    </w:p>
    <w:p w14:paraId="0BBD7205">
      <w:pPr>
        <w:spacing w:line="360" w:lineRule="auto"/>
        <w:ind w:firstLine="549"/>
        <w:outlineLvl w:val="4"/>
        <w:rPr>
          <w:rFonts w:hint="eastAsia" w:ascii="宋体" w:hAnsi="宋体" w:cs="宋体"/>
          <w:color w:val="auto"/>
          <w:sz w:val="24"/>
          <w:highlight w:val="none"/>
        </w:rPr>
      </w:pPr>
      <w:r>
        <w:rPr>
          <w:rFonts w:hint="eastAsia" w:ascii="宋体" w:hAnsi="宋体" w:cs="宋体"/>
          <w:color w:val="auto"/>
          <w:sz w:val="24"/>
          <w:highlight w:val="none"/>
        </w:rPr>
        <w:t>30.6.5其他违反招投标法律、法规和规章强制性规定的行为。</w:t>
      </w:r>
    </w:p>
    <w:p w14:paraId="31ABF1D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30.7周口市公共资源交易中心政府采购中心将在政府采购相关网站上发布评审结果公告。</w:t>
      </w:r>
    </w:p>
    <w:p w14:paraId="37F6883E">
      <w:pPr>
        <w:spacing w:line="360" w:lineRule="auto"/>
        <w:ind w:firstLine="549"/>
        <w:outlineLvl w:val="2"/>
        <w:rPr>
          <w:rFonts w:hint="eastAsia" w:ascii="宋体" w:hAnsi="宋体" w:cs="宋体"/>
          <w:b/>
          <w:color w:val="auto"/>
          <w:sz w:val="24"/>
          <w:highlight w:val="none"/>
        </w:rPr>
      </w:pPr>
      <w:r>
        <w:rPr>
          <w:rFonts w:hint="eastAsia" w:ascii="宋体" w:hAnsi="宋体" w:cs="宋体"/>
          <w:b/>
          <w:color w:val="auto"/>
          <w:sz w:val="24"/>
          <w:highlight w:val="none"/>
        </w:rPr>
        <w:t>31.中标通知书</w:t>
      </w:r>
    </w:p>
    <w:p w14:paraId="7DCFE20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31.1在发出中标公告后请采购人、中标人登录周口市公共资源</w:t>
      </w:r>
      <w:r>
        <w:rPr>
          <w:rFonts w:hint="eastAsia" w:ascii="宋体" w:hAnsi="宋体" w:cs="宋体"/>
          <w:color w:val="auto"/>
          <w:sz w:val="24"/>
          <w:szCs w:val="24"/>
          <w:highlight w:val="none"/>
        </w:rPr>
        <w:t>交易</w:t>
      </w:r>
      <w:r>
        <w:rPr>
          <w:rFonts w:hint="eastAsia" w:ascii="宋体" w:hAnsi="宋体" w:cs="宋体"/>
          <w:color w:val="auto"/>
          <w:sz w:val="24"/>
          <w:highlight w:val="none"/>
        </w:rPr>
        <w:t>中心网</w:t>
      </w:r>
      <w:r>
        <w:rPr>
          <w:rFonts w:hint="eastAsia" w:ascii="宋体" w:hAnsi="宋体" w:cs="宋体"/>
          <w:color w:val="auto"/>
          <w:sz w:val="24"/>
          <w:szCs w:val="24"/>
          <w:highlight w:val="none"/>
        </w:rPr>
        <w:t>（http://jyzx.zhoukou.gov.cn）自行下载</w:t>
      </w:r>
      <w:r>
        <w:rPr>
          <w:rFonts w:hint="eastAsia" w:ascii="宋体" w:hAnsi="宋体" w:cs="宋体"/>
          <w:color w:val="auto"/>
          <w:sz w:val="24"/>
          <w:highlight w:val="none"/>
        </w:rPr>
        <w:t>中标通知书。</w:t>
      </w:r>
    </w:p>
    <w:p w14:paraId="089558A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31.2周口市公共资源交易中心政府采购中心对未中标的投标人不做未中标原因的解释。</w:t>
      </w:r>
    </w:p>
    <w:p w14:paraId="494C7A1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31.3评审结果确定后，中标人请及时到周口市公共资源交易中心政府采购中心领取中标通知书。</w:t>
      </w:r>
    </w:p>
    <w:p w14:paraId="1D9ADD74">
      <w:pPr>
        <w:spacing w:line="360" w:lineRule="auto"/>
        <w:ind w:firstLine="549"/>
        <w:outlineLvl w:val="2"/>
        <w:rPr>
          <w:rFonts w:hint="eastAsia" w:ascii="宋体" w:hAnsi="宋体" w:cs="宋体"/>
          <w:color w:val="auto"/>
          <w:sz w:val="24"/>
          <w:szCs w:val="22"/>
          <w:highlight w:val="none"/>
        </w:rPr>
      </w:pPr>
      <w:r>
        <w:rPr>
          <w:rFonts w:hint="eastAsia" w:ascii="宋体" w:hAnsi="宋体" w:cs="宋体"/>
          <w:color w:val="auto"/>
          <w:sz w:val="24"/>
          <w:szCs w:val="22"/>
          <w:highlight w:val="none"/>
        </w:rPr>
        <w:t>32.中标服务费</w:t>
      </w:r>
    </w:p>
    <w:p w14:paraId="6CBC847E">
      <w:pPr>
        <w:spacing w:line="360" w:lineRule="auto"/>
        <w:rPr>
          <w:rFonts w:hint="eastAsia" w:ascii="宋体" w:hAnsi="宋体" w:cs="宋体"/>
          <w:bCs/>
          <w:color w:val="auto"/>
          <w:sz w:val="24"/>
          <w:highlight w:val="none"/>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本项目免收中标服务费</w:t>
      </w:r>
    </w:p>
    <w:p w14:paraId="05A392E5">
      <w:pPr>
        <w:spacing w:line="360" w:lineRule="auto"/>
        <w:ind w:firstLine="549"/>
        <w:outlineLvl w:val="2"/>
        <w:rPr>
          <w:rFonts w:hint="eastAsia" w:ascii="宋体" w:hAnsi="宋体" w:cs="宋体"/>
          <w:b/>
          <w:color w:val="auto"/>
          <w:sz w:val="24"/>
          <w:highlight w:val="none"/>
        </w:rPr>
      </w:pPr>
      <w:r>
        <w:rPr>
          <w:rFonts w:hint="eastAsia" w:ascii="宋体" w:hAnsi="宋体" w:cs="宋体"/>
          <w:b/>
          <w:color w:val="auto"/>
          <w:sz w:val="24"/>
          <w:highlight w:val="none"/>
        </w:rPr>
        <w:t>33.履约保证金</w:t>
      </w:r>
    </w:p>
    <w:p w14:paraId="0EB5444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无</w:t>
      </w:r>
    </w:p>
    <w:p w14:paraId="66DC1CCC">
      <w:pPr>
        <w:spacing w:line="360" w:lineRule="auto"/>
        <w:ind w:firstLine="549"/>
        <w:outlineLvl w:val="2"/>
        <w:rPr>
          <w:rFonts w:hint="eastAsia" w:ascii="宋体" w:hAnsi="宋体" w:cs="宋体"/>
          <w:b/>
          <w:color w:val="auto"/>
          <w:sz w:val="24"/>
          <w:highlight w:val="none"/>
        </w:rPr>
      </w:pPr>
      <w:r>
        <w:rPr>
          <w:rFonts w:hint="eastAsia" w:ascii="宋体" w:hAnsi="宋体" w:cs="宋体"/>
          <w:b/>
          <w:color w:val="auto"/>
          <w:sz w:val="24"/>
          <w:highlight w:val="none"/>
        </w:rPr>
        <w:t>34.签订合同</w:t>
      </w:r>
    </w:p>
    <w:p w14:paraId="16423AF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34.1中标人应在中标通知书发出之日起七日历日内（具体时间、地点见中标通知书）与采购人签订合同。招标文件、中标人的投标文件及澄清文件等，均作为合同的附件。</w:t>
      </w:r>
    </w:p>
    <w:p w14:paraId="24D5526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34.2 采购双方必须严格按照招标文件、投标文件及有关承诺签订采购合同，不得擅自变更。</w:t>
      </w:r>
      <w:r>
        <w:rPr>
          <w:rFonts w:hint="eastAsia" w:ascii="宋体" w:hAnsi="宋体" w:cs="宋体"/>
          <w:color w:val="auto"/>
          <w:sz w:val="24"/>
          <w:highlight w:val="none"/>
          <w:lang w:eastAsia="zh-CN"/>
        </w:rPr>
        <w:t>投标人书面声明</w:t>
      </w:r>
      <w:r>
        <w:rPr>
          <w:rFonts w:hint="eastAsia" w:ascii="宋体" w:hAnsi="宋体" w:cs="宋体"/>
          <w:color w:val="auto"/>
          <w:sz w:val="24"/>
          <w:highlight w:val="none"/>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67567E6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34.3采购人保留以书面形式要求合同的卖方对其所投货物的装运方式、交货地点及服务细则等作适当调整的权利。</w:t>
      </w:r>
    </w:p>
    <w:p w14:paraId="0B941376">
      <w:pPr>
        <w:spacing w:line="360" w:lineRule="auto"/>
        <w:ind w:firstLine="549"/>
        <w:outlineLvl w:val="2"/>
        <w:rPr>
          <w:rFonts w:hint="eastAsia" w:ascii="宋体" w:hAnsi="宋体" w:cs="宋体"/>
          <w:color w:val="auto"/>
          <w:sz w:val="24"/>
          <w:highlight w:val="none"/>
        </w:rPr>
      </w:pPr>
      <w:r>
        <w:rPr>
          <w:rFonts w:hint="eastAsia" w:ascii="宋体" w:hAnsi="宋体" w:cs="宋体"/>
          <w:b/>
          <w:color w:val="auto"/>
          <w:sz w:val="24"/>
          <w:highlight w:val="none"/>
        </w:rPr>
        <w:t>35.验收</w:t>
      </w:r>
    </w:p>
    <w:p w14:paraId="178F1F4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由采购人自行组织对供应商的履约验收。</w:t>
      </w:r>
    </w:p>
    <w:p w14:paraId="30086C43">
      <w:pPr>
        <w:spacing w:line="360" w:lineRule="auto"/>
        <w:ind w:firstLine="549"/>
        <w:outlineLvl w:val="2"/>
        <w:rPr>
          <w:rFonts w:hint="eastAsia" w:ascii="宋体" w:hAnsi="宋体" w:cs="宋体"/>
          <w:b/>
          <w:bCs/>
          <w:color w:val="auto"/>
          <w:sz w:val="24"/>
          <w:highlight w:val="none"/>
        </w:rPr>
      </w:pPr>
      <w:r>
        <w:rPr>
          <w:rFonts w:hint="eastAsia" w:ascii="宋体" w:hAnsi="宋体" w:cs="宋体"/>
          <w:b/>
          <w:bCs/>
          <w:color w:val="auto"/>
          <w:sz w:val="24"/>
          <w:highlight w:val="none"/>
        </w:rPr>
        <w:t>36</w:t>
      </w:r>
      <w:r>
        <w:rPr>
          <w:rFonts w:hint="eastAsia" w:ascii="宋体" w:hAnsi="宋体" w:cs="宋体"/>
          <w:b/>
          <w:color w:val="auto"/>
          <w:sz w:val="24"/>
          <w:highlight w:val="none"/>
        </w:rPr>
        <w:t>.</w:t>
      </w:r>
      <w:r>
        <w:rPr>
          <w:rFonts w:hint="eastAsia" w:ascii="宋体" w:hAnsi="宋体" w:cs="宋体"/>
          <w:b/>
          <w:bCs/>
          <w:color w:val="auto"/>
          <w:sz w:val="24"/>
          <w:highlight w:val="none"/>
        </w:rPr>
        <w:t>质疑</w:t>
      </w:r>
    </w:p>
    <w:p w14:paraId="5C563EA7">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36.1投标人认为采购过程、中标结果使自己的合法权益受到损害的，可以在知道或应当知道自己的权益受到损害之日起</w:t>
      </w:r>
      <w:r>
        <w:rPr>
          <w:rFonts w:hint="eastAsia" w:ascii="宋体" w:hAnsi="宋体" w:cs="宋体"/>
          <w:bCs/>
          <w:color w:val="auto"/>
          <w:sz w:val="24"/>
          <w:highlight w:val="none"/>
          <w:lang w:val="en-US" w:eastAsia="zh-CN"/>
        </w:rPr>
        <w:t>3</w:t>
      </w:r>
      <w:r>
        <w:rPr>
          <w:rFonts w:hint="eastAsia" w:ascii="宋体" w:hAnsi="宋体" w:cs="宋体"/>
          <w:bCs/>
          <w:color w:val="auto"/>
          <w:sz w:val="24"/>
          <w:highlight w:val="none"/>
        </w:rPr>
        <w:t>个工作日内，由投标人授权代表（或法人代表）按照相关规定，向采购人</w:t>
      </w:r>
      <w:r>
        <w:rPr>
          <w:rFonts w:hint="eastAsia" w:ascii="宋体" w:hAnsi="宋体" w:cs="宋体"/>
          <w:bCs/>
          <w:color w:val="auto"/>
          <w:sz w:val="24"/>
          <w:highlight w:val="none"/>
          <w:lang w:eastAsia="zh-CN"/>
        </w:rPr>
        <w:t>当面递交</w:t>
      </w:r>
      <w:r>
        <w:rPr>
          <w:rFonts w:hint="eastAsia" w:ascii="宋体" w:hAnsi="宋体" w:cs="宋体"/>
          <w:bCs/>
          <w:color w:val="auto"/>
          <w:sz w:val="24"/>
          <w:highlight w:val="none"/>
        </w:rPr>
        <w:t>质疑，逾期不予受理。</w:t>
      </w:r>
    </w:p>
    <w:p w14:paraId="5922314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36.2质疑书内容应包括质疑的详细理由和依据，并提供有关证明资料。</w:t>
      </w:r>
    </w:p>
    <w:p w14:paraId="724FFC0F">
      <w:pPr>
        <w:spacing w:line="360" w:lineRule="auto"/>
        <w:ind w:firstLine="549"/>
        <w:outlineLvl w:val="3"/>
        <w:rPr>
          <w:rFonts w:hint="eastAsia" w:ascii="宋体" w:hAnsi="宋体" w:cs="宋体"/>
          <w:bCs/>
          <w:color w:val="auto"/>
          <w:sz w:val="24"/>
          <w:highlight w:val="none"/>
        </w:rPr>
      </w:pPr>
      <w:r>
        <w:rPr>
          <w:rFonts w:hint="eastAsia" w:ascii="宋体" w:hAnsi="宋体" w:cs="宋体"/>
          <w:bCs/>
          <w:color w:val="auto"/>
          <w:sz w:val="24"/>
          <w:highlight w:val="none"/>
        </w:rPr>
        <w:t>36.3 有以下情形之一的，视为无效质疑：</w:t>
      </w:r>
    </w:p>
    <w:p w14:paraId="38991349">
      <w:pPr>
        <w:spacing w:line="360" w:lineRule="auto"/>
        <w:ind w:firstLine="549"/>
        <w:outlineLvl w:val="4"/>
        <w:rPr>
          <w:rFonts w:hint="eastAsia" w:ascii="宋体" w:hAnsi="宋体" w:cs="宋体"/>
          <w:bCs/>
          <w:color w:val="auto"/>
          <w:sz w:val="24"/>
          <w:highlight w:val="none"/>
        </w:rPr>
      </w:pPr>
      <w:r>
        <w:rPr>
          <w:rFonts w:hint="eastAsia" w:ascii="宋体" w:hAnsi="宋体" w:cs="宋体"/>
          <w:bCs/>
          <w:color w:val="auto"/>
          <w:sz w:val="24"/>
          <w:highlight w:val="none"/>
        </w:rPr>
        <w:t>36.3.1 未按规定时间或规定手续提交质疑的；</w:t>
      </w:r>
    </w:p>
    <w:p w14:paraId="2566EFCD">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36.3.2 质疑内容含糊不清、没有提供详细理由和依据，无法进行核查的；</w:t>
      </w:r>
    </w:p>
    <w:p w14:paraId="2F86F3F1">
      <w:pPr>
        <w:spacing w:line="360" w:lineRule="auto"/>
        <w:ind w:firstLine="549"/>
        <w:outlineLvl w:val="4"/>
        <w:rPr>
          <w:rFonts w:hint="eastAsia" w:ascii="宋体" w:hAnsi="宋体" w:cs="宋体"/>
          <w:bCs/>
          <w:color w:val="auto"/>
          <w:sz w:val="24"/>
          <w:highlight w:val="none"/>
        </w:rPr>
      </w:pPr>
      <w:r>
        <w:rPr>
          <w:rFonts w:hint="eastAsia" w:ascii="宋体" w:hAnsi="宋体" w:cs="宋体"/>
          <w:bCs/>
          <w:color w:val="auto"/>
          <w:sz w:val="24"/>
          <w:highlight w:val="none"/>
        </w:rPr>
        <w:t>36.3.3 其他不符合质疑程序和有关规定的。</w:t>
      </w:r>
    </w:p>
    <w:p w14:paraId="4636FD4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被判定无效质疑的，采购人将书面回复投标单位其质疑无效的理由，并记录无效质疑一次。</w:t>
      </w:r>
    </w:p>
    <w:p w14:paraId="48272615">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36.4</w:t>
      </w:r>
      <w:r>
        <w:rPr>
          <w:rFonts w:hint="eastAsia" w:ascii="宋体" w:hAnsi="宋体" w:cs="宋体"/>
          <w:color w:val="auto"/>
          <w:sz w:val="24"/>
          <w:highlight w:val="none"/>
        </w:rPr>
        <w:t>采购人</w:t>
      </w:r>
      <w:r>
        <w:rPr>
          <w:rFonts w:hint="eastAsia" w:ascii="宋体" w:hAnsi="宋体" w:cs="宋体"/>
          <w:bCs/>
          <w:color w:val="auto"/>
          <w:sz w:val="24"/>
          <w:highlight w:val="none"/>
        </w:rPr>
        <w:t>将在受到书面质疑后7个工作日内审查质疑事项，作出答复或相关处理决定，并以书面形式通知质疑人，但答复的内容不涉及商业秘密。</w:t>
      </w:r>
    </w:p>
    <w:p w14:paraId="5543B7A3">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36.5</w:t>
      </w:r>
      <w:r>
        <w:rPr>
          <w:rFonts w:hint="eastAsia" w:ascii="宋体" w:hAnsi="宋体" w:cs="宋体"/>
          <w:bCs/>
          <w:color w:val="auto"/>
          <w:sz w:val="24"/>
          <w:highlight w:val="none"/>
        </w:rPr>
        <w:t>投诉人有下列情形之一的，属于虚假、恶意投诉，</w:t>
      </w:r>
      <w:r>
        <w:rPr>
          <w:rFonts w:hint="eastAsia" w:ascii="宋体" w:hAnsi="宋体" w:cs="宋体"/>
          <w:color w:val="auto"/>
          <w:sz w:val="24"/>
          <w:highlight w:val="none"/>
        </w:rPr>
        <w:t>政府采购监督管理部门</w:t>
      </w:r>
      <w:r>
        <w:rPr>
          <w:rFonts w:hint="eastAsia" w:ascii="宋体" w:hAnsi="宋体" w:cs="宋体"/>
          <w:bCs/>
          <w:color w:val="auto"/>
          <w:sz w:val="24"/>
          <w:highlight w:val="none"/>
        </w:rPr>
        <w:t>将驳回投诉，将其列入不良行为记录名单，并依法予以处罚：</w:t>
      </w:r>
    </w:p>
    <w:p w14:paraId="36CAEA93">
      <w:pPr>
        <w:spacing w:line="360" w:lineRule="auto"/>
        <w:ind w:firstLine="523" w:firstLineChars="218"/>
        <w:outlineLvl w:val="4"/>
        <w:rPr>
          <w:rFonts w:hint="eastAsia" w:ascii="宋体" w:hAnsi="宋体" w:cs="宋体"/>
          <w:bCs/>
          <w:color w:val="auto"/>
          <w:sz w:val="24"/>
          <w:highlight w:val="none"/>
        </w:rPr>
      </w:pPr>
      <w:r>
        <w:rPr>
          <w:rFonts w:hint="eastAsia" w:ascii="宋体" w:hAnsi="宋体" w:cs="宋体"/>
          <w:bCs/>
          <w:color w:val="auto"/>
          <w:sz w:val="24"/>
          <w:highlight w:val="none"/>
        </w:rPr>
        <w:t>36.5.1一年内三次以上投诉均查无实据的；</w:t>
      </w:r>
    </w:p>
    <w:p w14:paraId="7DDFA93F">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36.5.2捏造事实、提供虚假投诉材料或提供以非法手段取得的证明材料质疑的；</w:t>
      </w:r>
    </w:p>
    <w:p w14:paraId="1F36726F">
      <w:pPr>
        <w:spacing w:line="360" w:lineRule="auto"/>
        <w:ind w:firstLine="523" w:firstLineChars="218"/>
        <w:outlineLvl w:val="4"/>
        <w:rPr>
          <w:rFonts w:hint="eastAsia" w:ascii="宋体" w:hAnsi="宋体" w:cs="宋体"/>
          <w:bCs/>
          <w:color w:val="auto"/>
          <w:sz w:val="24"/>
          <w:highlight w:val="none"/>
        </w:rPr>
      </w:pPr>
      <w:r>
        <w:rPr>
          <w:rFonts w:hint="eastAsia" w:ascii="宋体" w:hAnsi="宋体" w:cs="宋体"/>
          <w:color w:val="auto"/>
          <w:sz w:val="24"/>
          <w:highlight w:val="none"/>
        </w:rPr>
        <w:t>36.5.3其他经认定属于虚假、恶意投诉的行为</w:t>
      </w:r>
      <w:r>
        <w:rPr>
          <w:rFonts w:hint="eastAsia" w:ascii="宋体" w:hAnsi="宋体" w:cs="宋体"/>
          <w:bCs/>
          <w:color w:val="auto"/>
          <w:sz w:val="24"/>
          <w:highlight w:val="none"/>
        </w:rPr>
        <w:t>。</w:t>
      </w:r>
    </w:p>
    <w:p w14:paraId="1BA4573C">
      <w:pPr>
        <w:spacing w:line="360" w:lineRule="auto"/>
        <w:ind w:firstLine="549"/>
        <w:outlineLvl w:val="2"/>
        <w:rPr>
          <w:rFonts w:hint="eastAsia" w:ascii="宋体" w:hAnsi="宋体" w:cs="宋体"/>
          <w:b/>
          <w:color w:val="auto"/>
          <w:sz w:val="24"/>
          <w:highlight w:val="none"/>
        </w:rPr>
      </w:pPr>
      <w:r>
        <w:rPr>
          <w:rFonts w:hint="eastAsia" w:ascii="宋体" w:hAnsi="宋体" w:cs="宋体"/>
          <w:b/>
          <w:color w:val="auto"/>
          <w:sz w:val="24"/>
          <w:highlight w:val="none"/>
        </w:rPr>
        <w:t>37.未尽事宜</w:t>
      </w:r>
    </w:p>
    <w:p w14:paraId="6FC253D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37.1按《中华人民共和国政府采购法》及其他有关法律法规的规定执行。</w:t>
      </w:r>
    </w:p>
    <w:p w14:paraId="2D1060E9">
      <w:pPr>
        <w:spacing w:line="360" w:lineRule="auto"/>
        <w:ind w:firstLine="549"/>
        <w:outlineLvl w:val="2"/>
        <w:rPr>
          <w:rFonts w:hint="eastAsia" w:ascii="宋体" w:hAnsi="宋体" w:cs="宋体"/>
          <w:bCs/>
          <w:color w:val="auto"/>
          <w:sz w:val="24"/>
          <w:highlight w:val="none"/>
        </w:rPr>
      </w:pPr>
      <w:r>
        <w:rPr>
          <w:rFonts w:hint="eastAsia" w:ascii="宋体" w:hAnsi="宋体" w:cs="宋体"/>
          <w:b/>
          <w:color w:val="auto"/>
          <w:sz w:val="24"/>
          <w:highlight w:val="none"/>
        </w:rPr>
        <w:t>38.解释权</w:t>
      </w:r>
    </w:p>
    <w:p w14:paraId="2B307CF8">
      <w:pPr>
        <w:spacing w:line="360" w:lineRule="auto"/>
        <w:ind w:firstLine="549"/>
        <w:outlineLvl w:val="3"/>
        <w:rPr>
          <w:rFonts w:hint="eastAsia" w:ascii="宋体" w:hAnsi="宋体" w:cs="宋体"/>
          <w:bCs/>
          <w:color w:val="auto"/>
          <w:sz w:val="24"/>
          <w:highlight w:val="none"/>
        </w:rPr>
      </w:pPr>
      <w:r>
        <w:rPr>
          <w:rFonts w:hint="eastAsia" w:ascii="宋体" w:hAnsi="宋体" w:cs="宋体"/>
          <w:bCs/>
          <w:color w:val="auto"/>
          <w:sz w:val="24"/>
          <w:highlight w:val="none"/>
        </w:rPr>
        <w:t>38.1本招标文件的解释权属于采购人。</w:t>
      </w:r>
    </w:p>
    <w:p w14:paraId="3948581A">
      <w:pPr>
        <w:spacing w:line="360" w:lineRule="auto"/>
        <w:ind w:firstLine="549"/>
        <w:rPr>
          <w:rFonts w:hint="eastAsia" w:ascii="宋体" w:hAnsi="宋体" w:eastAsia="宋体" w:cs="宋体"/>
          <w:color w:val="auto"/>
          <w:sz w:val="24"/>
          <w:highlight w:val="none"/>
        </w:rPr>
      </w:pPr>
    </w:p>
    <w:p w14:paraId="792C1E27">
      <w:pPr>
        <w:pStyle w:val="4"/>
        <w:spacing w:before="0" w:after="0" w:line="500" w:lineRule="exact"/>
        <w:ind w:firstLine="0"/>
        <w:rPr>
          <w:rFonts w:hint="eastAsia" w:ascii="方正小标宋简体" w:hAnsi="黑体" w:eastAsia="方正小标宋简体" w:cs="黑体"/>
          <w:b w:val="0"/>
          <w:color w:val="auto"/>
          <w:sz w:val="28"/>
          <w:szCs w:val="28"/>
          <w:lang w:val="en-US"/>
        </w:rPr>
      </w:pPr>
      <w:bookmarkStart w:id="116" w:name="_Toc26087_WPSOffice_Level1"/>
      <w:bookmarkStart w:id="117" w:name="_Toc220232391"/>
      <w:r>
        <w:rPr>
          <w:rFonts w:hint="eastAsia" w:ascii="宋体" w:hAnsi="宋体" w:eastAsia="宋体" w:cs="宋体"/>
          <w:b w:val="0"/>
          <w:bCs w:val="0"/>
          <w:color w:val="auto"/>
          <w:highlight w:val="none"/>
        </w:rPr>
        <w:br w:type="page"/>
      </w:r>
      <w:bookmarkEnd w:id="116"/>
      <w:bookmarkEnd w:id="117"/>
      <w:bookmarkStart w:id="118" w:name="_Toc40975448"/>
      <w:r>
        <w:rPr>
          <w:rFonts w:hint="eastAsia" w:ascii="宋体" w:hAnsi="宋体" w:eastAsia="宋体" w:cs="宋体"/>
          <w:color w:val="auto"/>
        </w:rPr>
        <w:t>第六章</w:t>
      </w:r>
      <w:bookmarkStart w:id="119" w:name="_Toc220232392"/>
      <w:r>
        <w:rPr>
          <w:rFonts w:hint="eastAsia" w:ascii="宋体" w:hAnsi="宋体" w:eastAsia="宋体" w:cs="宋体"/>
          <w:color w:val="auto"/>
        </w:rPr>
        <w:t xml:space="preserve"> </w:t>
      </w:r>
      <w:bookmarkEnd w:id="118"/>
      <w:bookmarkEnd w:id="119"/>
      <w:r>
        <w:rPr>
          <w:rFonts w:hint="eastAsia" w:ascii="方正小标宋简体" w:hAnsi="黑体" w:eastAsia="方正小标宋简体" w:cs="黑体"/>
          <w:b w:val="0"/>
          <w:color w:val="auto"/>
          <w:w w:val="92"/>
          <w:sz w:val="28"/>
          <w:szCs w:val="28"/>
          <w:lang w:val="en-US"/>
        </w:rPr>
        <w:t>周口市</w:t>
      </w:r>
      <w:r>
        <w:rPr>
          <w:rFonts w:hint="eastAsia" w:ascii="方正小标宋简体" w:hAnsi="黑体" w:eastAsia="方正小标宋简体" w:cs="黑体"/>
          <w:b w:val="0"/>
          <w:color w:val="auto"/>
          <w:sz w:val="28"/>
          <w:szCs w:val="28"/>
          <w:lang w:val="en-US"/>
        </w:rPr>
        <w:t>政府采购合同（货物类）标准文本</w:t>
      </w:r>
    </w:p>
    <w:p w14:paraId="4B251796">
      <w:pPr>
        <w:rPr>
          <w:rFonts w:ascii="黑体" w:hAnsi="黑体" w:eastAsia="黑体" w:cs="黑体"/>
          <w:color w:val="auto"/>
          <w:sz w:val="28"/>
          <w:szCs w:val="28"/>
          <w:lang w:val="en-US"/>
        </w:rPr>
      </w:pPr>
    </w:p>
    <w:p w14:paraId="19918352">
      <w:pPr>
        <w:pStyle w:val="37"/>
        <w:spacing w:beforeLines="0" w:afterLines="0"/>
        <w:ind w:left="0"/>
        <w:rPr>
          <w:rFonts w:ascii="黑体" w:hAnsi="黑体" w:eastAsia="黑体" w:cs="黑体"/>
          <w:color w:val="auto"/>
          <w:sz w:val="32"/>
          <w:szCs w:val="32"/>
          <w:lang w:val="en-US"/>
        </w:rPr>
      </w:pPr>
    </w:p>
    <w:p w14:paraId="0BA61EA7">
      <w:pPr>
        <w:pStyle w:val="37"/>
        <w:spacing w:beforeLines="0" w:afterLines="0"/>
        <w:ind w:left="0"/>
        <w:rPr>
          <w:rFonts w:ascii="黑体" w:hAnsi="黑体" w:eastAsia="黑体" w:cs="黑体"/>
          <w:color w:val="auto"/>
          <w:sz w:val="32"/>
          <w:szCs w:val="32"/>
          <w:lang w:val="en-US"/>
        </w:rPr>
      </w:pPr>
    </w:p>
    <w:p w14:paraId="77D09918">
      <w:pPr>
        <w:pStyle w:val="37"/>
        <w:spacing w:beforeLines="0" w:afterLines="0"/>
        <w:ind w:left="0"/>
        <w:rPr>
          <w:rFonts w:ascii="黑体" w:hAnsi="黑体" w:eastAsia="黑体" w:cs="黑体"/>
          <w:color w:val="auto"/>
          <w:sz w:val="30"/>
          <w:szCs w:val="30"/>
          <w:lang w:val="en-US"/>
        </w:rPr>
      </w:pPr>
    </w:p>
    <w:p w14:paraId="0B63B6C6">
      <w:pPr>
        <w:pStyle w:val="37"/>
        <w:spacing w:beforeLines="0" w:afterLines="0"/>
        <w:ind w:left="0"/>
        <w:rPr>
          <w:rFonts w:hint="eastAsia" w:ascii="黑体" w:hAnsi="黑体" w:eastAsia="黑体" w:cs="黑体"/>
          <w:color w:val="auto"/>
          <w:sz w:val="30"/>
          <w:szCs w:val="30"/>
          <w:lang w:val="en-US"/>
        </w:rPr>
      </w:pPr>
    </w:p>
    <w:p w14:paraId="71F2A55D">
      <w:pPr>
        <w:pStyle w:val="37"/>
        <w:spacing w:beforeLines="0" w:afterLines="0"/>
        <w:ind w:left="0"/>
        <w:rPr>
          <w:rFonts w:hint="eastAsia" w:ascii="黑体" w:hAnsi="黑体" w:eastAsia="黑体" w:cs="黑体"/>
          <w:color w:val="auto"/>
          <w:sz w:val="30"/>
          <w:szCs w:val="30"/>
          <w:lang w:val="en-US"/>
        </w:rPr>
      </w:pPr>
    </w:p>
    <w:p w14:paraId="0FDEEE3A">
      <w:pPr>
        <w:pStyle w:val="37"/>
        <w:spacing w:beforeLines="0" w:afterLines="0"/>
        <w:ind w:left="0"/>
        <w:rPr>
          <w:rFonts w:ascii="黑体" w:hAnsi="黑体" w:eastAsia="黑体" w:cs="黑体"/>
          <w:color w:val="auto"/>
          <w:sz w:val="30"/>
          <w:szCs w:val="30"/>
          <w:lang w:val="en-US"/>
        </w:rPr>
      </w:pPr>
    </w:p>
    <w:p w14:paraId="69E53D10">
      <w:pPr>
        <w:pStyle w:val="37"/>
        <w:spacing w:beforeLines="0" w:afterLines="0"/>
        <w:ind w:left="0"/>
        <w:rPr>
          <w:rFonts w:ascii="黑体" w:hAnsi="黑体" w:eastAsia="黑体" w:cs="黑体"/>
          <w:color w:val="auto"/>
          <w:sz w:val="30"/>
          <w:szCs w:val="30"/>
          <w:lang w:val="en-US"/>
        </w:rPr>
      </w:pPr>
    </w:p>
    <w:p w14:paraId="44D84420">
      <w:pPr>
        <w:pStyle w:val="37"/>
        <w:spacing w:beforeLines="0" w:afterLines="0"/>
        <w:ind w:left="0"/>
        <w:rPr>
          <w:rFonts w:ascii="黑体" w:hAnsi="黑体" w:eastAsia="黑体" w:cs="黑体"/>
          <w:color w:val="auto"/>
          <w:sz w:val="30"/>
          <w:szCs w:val="30"/>
          <w:lang w:val="en-US"/>
        </w:rPr>
      </w:pPr>
    </w:p>
    <w:p w14:paraId="1AB8B46C">
      <w:pPr>
        <w:pStyle w:val="37"/>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政府采购项目名称：</w:t>
      </w:r>
    </w:p>
    <w:p w14:paraId="6126E000">
      <w:pPr>
        <w:pStyle w:val="37"/>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政府采购项目编号：</w:t>
      </w:r>
    </w:p>
    <w:p w14:paraId="1A6A5E53">
      <w:pPr>
        <w:pStyle w:val="37"/>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采      购    人：</w:t>
      </w:r>
    </w:p>
    <w:p w14:paraId="33AA64A9">
      <w:pPr>
        <w:pStyle w:val="37"/>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供      应    商：</w:t>
      </w:r>
    </w:p>
    <w:p w14:paraId="2C21E94C">
      <w:pPr>
        <w:pStyle w:val="37"/>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 订 地：</w:t>
      </w:r>
    </w:p>
    <w:p w14:paraId="0B808CDC">
      <w:pPr>
        <w:pStyle w:val="37"/>
        <w:spacing w:beforeLines="0" w:afterLines="0"/>
        <w:ind w:left="0"/>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合 同 签订 时 间：</w:t>
      </w:r>
    </w:p>
    <w:p w14:paraId="6D08C8E3">
      <w:pPr>
        <w:pStyle w:val="37"/>
        <w:spacing w:beforeLines="0" w:afterLines="0"/>
        <w:ind w:left="0"/>
        <w:rPr>
          <w:rFonts w:hint="eastAsia" w:ascii="黑体" w:hAnsi="黑体" w:eastAsia="黑体" w:cs="黑体"/>
          <w:color w:val="auto"/>
          <w:sz w:val="30"/>
          <w:szCs w:val="30"/>
          <w:lang w:val="en-US"/>
        </w:rPr>
      </w:pPr>
    </w:p>
    <w:p w14:paraId="2A4A1E89">
      <w:pPr>
        <w:pStyle w:val="37"/>
        <w:spacing w:beforeLines="0" w:afterLines="0"/>
        <w:ind w:left="0"/>
        <w:rPr>
          <w:rFonts w:ascii="黑体" w:hAnsi="黑体" w:eastAsia="黑体" w:cs="黑体"/>
          <w:color w:val="auto"/>
          <w:sz w:val="30"/>
          <w:szCs w:val="30"/>
          <w:lang w:val="en-US"/>
        </w:rPr>
      </w:pPr>
    </w:p>
    <w:p w14:paraId="32D20DB4">
      <w:pPr>
        <w:pStyle w:val="37"/>
        <w:spacing w:beforeLines="0" w:afterLines="0" w:line="460" w:lineRule="exact"/>
        <w:ind w:left="0"/>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0FBB0CD1">
      <w:pPr>
        <w:pStyle w:val="37"/>
        <w:spacing w:beforeLines="0" w:afterLines="0" w:line="460" w:lineRule="exact"/>
        <w:ind w:left="0" w:firstLine="420" w:firstLineChars="200"/>
        <w:jc w:val="both"/>
        <w:rPr>
          <w:rFonts w:hint="eastAsia"/>
          <w:color w:val="auto"/>
          <w:sz w:val="21"/>
          <w:szCs w:val="21"/>
        </w:rPr>
      </w:pPr>
    </w:p>
    <w:p w14:paraId="71A2BD7C">
      <w:pPr>
        <w:pStyle w:val="37"/>
        <w:spacing w:beforeLines="0" w:afterLines="0" w:line="460" w:lineRule="exact"/>
        <w:ind w:left="0" w:firstLine="420" w:firstLineChars="200"/>
        <w:jc w:val="both"/>
        <w:rPr>
          <w:color w:val="auto"/>
          <w:sz w:val="21"/>
          <w:szCs w:val="21"/>
        </w:rPr>
      </w:pPr>
      <w:r>
        <w:rPr>
          <w:rFonts w:hint="eastAsia"/>
          <w:color w:val="auto"/>
          <w:sz w:val="21"/>
          <w:szCs w:val="21"/>
        </w:rPr>
        <w:t>一、采购人在签订合同时应提供的资料：</w:t>
      </w:r>
    </w:p>
    <w:p w14:paraId="30E8BAA5">
      <w:pPr>
        <w:pStyle w:val="37"/>
        <w:spacing w:beforeLines="0" w:afterLines="0" w:line="46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14:paraId="6A40CFA3">
      <w:pPr>
        <w:pStyle w:val="37"/>
        <w:spacing w:beforeLines="0" w:afterLines="0" w:line="46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14:paraId="791E8601">
      <w:pPr>
        <w:pStyle w:val="37"/>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14:paraId="1EB46C00">
      <w:pPr>
        <w:pStyle w:val="37"/>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14:paraId="555E1960">
      <w:pPr>
        <w:pStyle w:val="37"/>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14:paraId="5E70073C">
      <w:pPr>
        <w:pStyle w:val="37"/>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6、采购人和中标供应商约定的其它内容（不得超出</w:t>
      </w:r>
      <w:r>
        <w:rPr>
          <w:rFonts w:hint="eastAsia"/>
          <w:color w:val="auto"/>
          <w:sz w:val="21"/>
          <w:szCs w:val="21"/>
        </w:rPr>
        <w:t>招标采购文件实质性内容</w:t>
      </w:r>
      <w:r>
        <w:rPr>
          <w:rFonts w:hint="eastAsia"/>
          <w:color w:val="auto"/>
          <w:sz w:val="21"/>
          <w:szCs w:val="21"/>
          <w:lang w:val="en-US"/>
        </w:rPr>
        <w:t>）。</w:t>
      </w:r>
    </w:p>
    <w:p w14:paraId="5CB54D1D">
      <w:pPr>
        <w:pStyle w:val="37"/>
        <w:spacing w:beforeLines="0" w:afterLines="0" w:line="46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14:paraId="2F1C7C98">
      <w:pPr>
        <w:pStyle w:val="37"/>
        <w:spacing w:beforeLines="0" w:afterLines="0" w:line="46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14:paraId="2DBCB804">
      <w:pPr>
        <w:pStyle w:val="37"/>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14:paraId="14C6A12D">
      <w:pPr>
        <w:pStyle w:val="37"/>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14:paraId="0F57E32A">
      <w:pPr>
        <w:pStyle w:val="37"/>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14:paraId="4C2628A7">
      <w:pPr>
        <w:pStyle w:val="37"/>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14:paraId="347BA040">
      <w:pPr>
        <w:pStyle w:val="37"/>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14:paraId="01287FB5">
      <w:pPr>
        <w:pStyle w:val="37"/>
        <w:spacing w:beforeLines="0" w:afterLines="0" w:line="46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14:paraId="543C28E7">
      <w:pPr>
        <w:pStyle w:val="37"/>
        <w:spacing w:beforeLines="0" w:afterLines="0" w:line="460" w:lineRule="exact"/>
        <w:ind w:left="0" w:firstLine="640" w:firstLineChars="200"/>
        <w:jc w:val="center"/>
        <w:rPr>
          <w:rFonts w:hint="eastAsia" w:ascii="方正小标宋简体" w:eastAsia="方正小标宋简体"/>
          <w:bCs/>
          <w:color w:val="auto"/>
          <w:sz w:val="32"/>
          <w:szCs w:val="32"/>
        </w:rPr>
      </w:pPr>
    </w:p>
    <w:p w14:paraId="16C7878E">
      <w:pPr>
        <w:pStyle w:val="37"/>
        <w:spacing w:beforeLines="0" w:afterLines="0" w:line="460" w:lineRule="exact"/>
        <w:ind w:left="0" w:firstLine="640" w:firstLineChars="200"/>
        <w:jc w:val="center"/>
        <w:rPr>
          <w:rFonts w:hint="eastAsia" w:ascii="方正小标宋简体" w:eastAsia="方正小标宋简体"/>
          <w:color w:val="auto"/>
          <w:sz w:val="32"/>
          <w:szCs w:val="32"/>
        </w:rPr>
      </w:pPr>
      <w:r>
        <w:rPr>
          <w:rFonts w:hint="eastAsia" w:ascii="方正小标宋简体" w:eastAsia="方正小标宋简体"/>
          <w:bCs/>
          <w:color w:val="auto"/>
          <w:sz w:val="32"/>
          <w:szCs w:val="32"/>
        </w:rPr>
        <w:t>供应商履约验收指引</w:t>
      </w:r>
    </w:p>
    <w:p w14:paraId="29404F6B">
      <w:pPr>
        <w:pStyle w:val="37"/>
        <w:numPr>
          <w:ilvl w:val="0"/>
          <w:numId w:val="3"/>
        </w:numPr>
        <w:spacing w:beforeLines="0" w:afterLines="0" w:line="460" w:lineRule="exact"/>
        <w:ind w:left="0" w:firstLine="420" w:firstLineChars="200"/>
        <w:jc w:val="both"/>
        <w:rPr>
          <w:color w:val="auto"/>
          <w:szCs w:val="27"/>
        </w:rPr>
      </w:pPr>
      <w:r>
        <w:rPr>
          <w:rFonts w:hint="eastAsia" w:ascii="宋体" w:eastAsia="宋体"/>
          <w:color w:val="auto"/>
          <w:sz w:val="21"/>
          <w:szCs w:val="21"/>
          <w:lang w:val="en-US"/>
        </w:rPr>
        <w:t>供应商不得</w:t>
      </w:r>
      <w:r>
        <w:rPr>
          <w:rFonts w:hint="eastAsia" w:ascii="宋体" w:eastAsia="宋体"/>
          <w:color w:val="auto"/>
          <w:sz w:val="21"/>
          <w:szCs w:val="21"/>
        </w:rPr>
        <w:t>擅自变更合同标的物内容；</w:t>
      </w:r>
    </w:p>
    <w:p w14:paraId="1FF4806C">
      <w:pPr>
        <w:pStyle w:val="37"/>
        <w:spacing w:before="120" w:after="120" w:line="440" w:lineRule="exact"/>
        <w:ind w:left="0" w:firstLine="420" w:firstLineChars="200"/>
        <w:rPr>
          <w:rFonts w:ascii="宋体"/>
          <w:b/>
          <w:bCs/>
          <w:color w:val="auto"/>
          <w:szCs w:val="21"/>
          <w:highlight w:val="none"/>
        </w:rPr>
      </w:pPr>
      <w:r>
        <w:rPr>
          <w:rFonts w:hint="eastAsia" w:ascii="宋体" w:eastAsia="宋体"/>
          <w:color w:val="auto"/>
          <w:sz w:val="21"/>
          <w:szCs w:val="21"/>
        </w:rPr>
        <w:t>2、在投标文件中书面声明不得以次充优，随意降低服务标准和水平；</w:t>
      </w:r>
    </w:p>
    <w:p w14:paraId="33B1B199">
      <w:pPr>
        <w:pStyle w:val="37"/>
        <w:spacing w:beforeLines="0" w:afterLines="0" w:line="46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3、</w:t>
      </w:r>
      <w:r>
        <w:rPr>
          <w:rFonts w:hint="eastAsia" w:ascii="宋体" w:eastAsia="宋体"/>
          <w:color w:val="auto"/>
          <w:sz w:val="21"/>
          <w:szCs w:val="21"/>
        </w:rPr>
        <w:t>对因客观上采购人采购需求发生变化造成的，应提供采、供双方的纸质备忘录材料；</w:t>
      </w:r>
    </w:p>
    <w:p w14:paraId="421BEBAF">
      <w:pPr>
        <w:pStyle w:val="37"/>
        <w:spacing w:beforeLines="0" w:afterLines="0" w:line="46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2466D1DF">
      <w:pPr>
        <w:pStyle w:val="37"/>
        <w:spacing w:beforeLines="0" w:afterLines="0" w:line="460" w:lineRule="exact"/>
        <w:ind w:left="0" w:firstLine="420" w:firstLineChars="200"/>
        <w:jc w:val="both"/>
        <w:rPr>
          <w:rFonts w:ascii="宋体" w:eastAsia="宋体"/>
          <w:color w:val="auto"/>
          <w:sz w:val="21"/>
          <w:szCs w:val="21"/>
          <w:lang w:val="en-US"/>
        </w:rPr>
      </w:pPr>
      <w:r>
        <w:rPr>
          <w:rFonts w:hint="eastAsia"/>
          <w:color w:val="auto"/>
          <w:sz w:val="21"/>
          <w:szCs w:val="21"/>
          <w:lang w:val="en-US"/>
        </w:rPr>
        <w:t>5、</w:t>
      </w:r>
      <w:r>
        <w:rPr>
          <w:rFonts w:hint="eastAsia" w:ascii="宋体" w:eastAsia="宋体"/>
          <w:color w:val="auto"/>
          <w:sz w:val="21"/>
          <w:szCs w:val="21"/>
          <w:lang w:val="en-US"/>
        </w:rPr>
        <w:t>供应商应提供需验收物品的清单、参数、使用手册、人员培训情况等资料；</w:t>
      </w:r>
    </w:p>
    <w:p w14:paraId="3E6E1C39">
      <w:pPr>
        <w:pStyle w:val="37"/>
        <w:spacing w:beforeLines="0" w:afterLines="0" w:line="46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6、采、供</w:t>
      </w:r>
      <w:r>
        <w:rPr>
          <w:rFonts w:hint="eastAsia" w:ascii="宋体" w:eastAsia="宋体"/>
          <w:color w:val="auto"/>
          <w:sz w:val="21"/>
          <w:szCs w:val="21"/>
        </w:rPr>
        <w:t>双方约定的验收机构及相关人员组成情况。</w:t>
      </w:r>
    </w:p>
    <w:p w14:paraId="015B53C0">
      <w:pPr>
        <w:pStyle w:val="37"/>
        <w:spacing w:beforeLines="0" w:afterLines="0" w:line="460" w:lineRule="exact"/>
        <w:ind w:left="0" w:firstLine="420" w:firstLineChars="200"/>
        <w:jc w:val="both"/>
        <w:rPr>
          <w:color w:val="auto"/>
          <w:szCs w:val="27"/>
        </w:rPr>
      </w:pPr>
      <w:r>
        <w:rPr>
          <w:rFonts w:hint="eastAsia" w:ascii="宋体" w:eastAsia="宋体"/>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424C4D75">
      <w:pPr>
        <w:pStyle w:val="4"/>
        <w:spacing w:before="0" w:after="0" w:line="520" w:lineRule="exact"/>
        <w:ind w:firstLine="0"/>
        <w:rPr>
          <w:rFonts w:hint="eastAsia" w:ascii="方正小标宋简体" w:hAnsi="宋体" w:eastAsia="方正小标宋简体"/>
          <w:b w:val="0"/>
          <w:color w:val="auto"/>
        </w:rPr>
      </w:pPr>
    </w:p>
    <w:p w14:paraId="5B33C3EA">
      <w:pPr>
        <w:pStyle w:val="4"/>
        <w:spacing w:before="0" w:after="0" w:line="520" w:lineRule="exact"/>
        <w:ind w:firstLine="0"/>
        <w:rPr>
          <w:rFonts w:hint="eastAsia" w:ascii="方正小标宋简体" w:hAnsi="宋体" w:eastAsia="方正小标宋简体"/>
          <w:b w:val="0"/>
          <w:color w:val="auto"/>
        </w:rPr>
      </w:pPr>
    </w:p>
    <w:p w14:paraId="0E46C420">
      <w:pPr>
        <w:pStyle w:val="4"/>
        <w:spacing w:before="0" w:after="0" w:line="520" w:lineRule="exact"/>
        <w:ind w:firstLine="0"/>
        <w:rPr>
          <w:rFonts w:hint="eastAsia" w:ascii="方正小标宋简体" w:hAnsi="宋体" w:eastAsia="方正小标宋简体"/>
          <w:b w:val="0"/>
          <w:color w:val="auto"/>
        </w:rPr>
      </w:pPr>
    </w:p>
    <w:p w14:paraId="5992B18D">
      <w:pPr>
        <w:pStyle w:val="4"/>
        <w:spacing w:before="0" w:after="0" w:line="520" w:lineRule="exact"/>
        <w:ind w:firstLine="0"/>
        <w:rPr>
          <w:rFonts w:hint="eastAsia" w:ascii="方正小标宋简体" w:hAnsi="宋体" w:eastAsia="方正小标宋简体"/>
          <w:b w:val="0"/>
          <w:color w:val="auto"/>
        </w:rPr>
      </w:pPr>
    </w:p>
    <w:p w14:paraId="645E8D97">
      <w:pPr>
        <w:pStyle w:val="4"/>
        <w:spacing w:before="0" w:after="0" w:line="520" w:lineRule="exact"/>
        <w:ind w:firstLine="0"/>
        <w:rPr>
          <w:rFonts w:hint="eastAsia" w:ascii="方正小标宋简体" w:hAnsi="宋体" w:eastAsia="方正小标宋简体"/>
          <w:b w:val="0"/>
          <w:color w:val="auto"/>
        </w:rPr>
      </w:pPr>
    </w:p>
    <w:p w14:paraId="6E74C71C">
      <w:pPr>
        <w:rPr>
          <w:rFonts w:hint="eastAsia" w:ascii="方正小标宋简体" w:hAnsi="宋体" w:eastAsia="方正小标宋简体"/>
          <w:b w:val="0"/>
          <w:color w:val="auto"/>
        </w:rPr>
      </w:pPr>
    </w:p>
    <w:p w14:paraId="34D07F49">
      <w:pPr>
        <w:pStyle w:val="30"/>
        <w:rPr>
          <w:rFonts w:hint="eastAsia" w:ascii="方正小标宋简体" w:hAnsi="宋体" w:eastAsia="方正小标宋简体"/>
          <w:b w:val="0"/>
          <w:color w:val="auto"/>
        </w:rPr>
      </w:pPr>
    </w:p>
    <w:p w14:paraId="76B4C9D2">
      <w:pPr>
        <w:pStyle w:val="30"/>
        <w:rPr>
          <w:rFonts w:hint="eastAsia" w:ascii="方正小标宋简体" w:hAnsi="宋体" w:eastAsia="方正小标宋简体"/>
          <w:b w:val="0"/>
          <w:color w:val="auto"/>
        </w:rPr>
      </w:pPr>
    </w:p>
    <w:p w14:paraId="1CEB4F8A">
      <w:pPr>
        <w:pStyle w:val="30"/>
        <w:rPr>
          <w:rFonts w:hint="eastAsia" w:ascii="方正小标宋简体" w:hAnsi="宋体" w:eastAsia="方正小标宋简体"/>
          <w:b w:val="0"/>
          <w:color w:val="auto"/>
        </w:rPr>
      </w:pPr>
    </w:p>
    <w:p w14:paraId="695C3B03">
      <w:pPr>
        <w:pStyle w:val="30"/>
        <w:rPr>
          <w:rFonts w:hint="eastAsia" w:ascii="方正小标宋简体" w:hAnsi="宋体" w:eastAsia="方正小标宋简体"/>
          <w:b w:val="0"/>
          <w:color w:val="auto"/>
        </w:rPr>
      </w:pPr>
    </w:p>
    <w:p w14:paraId="602ECE6A">
      <w:pPr>
        <w:pStyle w:val="30"/>
        <w:rPr>
          <w:rFonts w:hint="eastAsia" w:ascii="方正小标宋简体" w:hAnsi="宋体" w:eastAsia="方正小标宋简体"/>
          <w:b w:val="0"/>
          <w:color w:val="auto"/>
        </w:rPr>
      </w:pPr>
    </w:p>
    <w:p w14:paraId="534087CA">
      <w:pPr>
        <w:pStyle w:val="30"/>
        <w:rPr>
          <w:rFonts w:hint="eastAsia" w:ascii="方正小标宋简体" w:hAnsi="宋体" w:eastAsia="方正小标宋简体"/>
          <w:b w:val="0"/>
          <w:color w:val="auto"/>
        </w:rPr>
      </w:pPr>
    </w:p>
    <w:p w14:paraId="6AB7138C">
      <w:pPr>
        <w:pStyle w:val="30"/>
        <w:rPr>
          <w:rFonts w:hint="eastAsia" w:ascii="方正小标宋简体" w:hAnsi="宋体" w:eastAsia="方正小标宋简体"/>
          <w:b w:val="0"/>
          <w:color w:val="auto"/>
        </w:rPr>
      </w:pPr>
    </w:p>
    <w:p w14:paraId="1586C105">
      <w:pPr>
        <w:pStyle w:val="30"/>
        <w:rPr>
          <w:rFonts w:hint="eastAsia" w:ascii="方正小标宋简体" w:hAnsi="宋体" w:eastAsia="方正小标宋简体"/>
          <w:b w:val="0"/>
          <w:color w:val="auto"/>
        </w:rPr>
      </w:pPr>
    </w:p>
    <w:p w14:paraId="6AB65E78">
      <w:pPr>
        <w:pStyle w:val="30"/>
        <w:rPr>
          <w:rFonts w:hint="eastAsia" w:ascii="方正小标宋简体" w:hAnsi="宋体" w:eastAsia="方正小标宋简体"/>
          <w:b w:val="0"/>
          <w:color w:val="auto"/>
        </w:rPr>
      </w:pPr>
    </w:p>
    <w:p w14:paraId="4B0320A9">
      <w:pPr>
        <w:pStyle w:val="30"/>
        <w:rPr>
          <w:rFonts w:hint="eastAsia" w:ascii="方正小标宋简体" w:hAnsi="宋体" w:eastAsia="方正小标宋简体"/>
          <w:b w:val="0"/>
          <w:color w:val="auto"/>
        </w:rPr>
      </w:pPr>
    </w:p>
    <w:p w14:paraId="3A69CCCC">
      <w:pPr>
        <w:pStyle w:val="4"/>
        <w:spacing w:before="0" w:after="0" w:line="520" w:lineRule="exact"/>
        <w:ind w:left="0" w:leftChars="0" w:firstLine="0" w:firstLineChars="0"/>
        <w:jc w:val="both"/>
        <w:rPr>
          <w:rFonts w:hint="eastAsia" w:ascii="方正小标宋简体" w:hAnsi="宋体" w:eastAsia="方正小标宋简体"/>
          <w:b w:val="0"/>
          <w:color w:val="auto"/>
        </w:rPr>
      </w:pPr>
    </w:p>
    <w:p w14:paraId="3A132FCE">
      <w:pPr>
        <w:pStyle w:val="4"/>
        <w:spacing w:before="0" w:after="0" w:line="520" w:lineRule="exact"/>
        <w:ind w:left="0" w:leftChars="0" w:firstLine="0" w:firstLineChars="0"/>
        <w:jc w:val="center"/>
        <w:rPr>
          <w:rFonts w:hint="eastAsia" w:ascii="方正小标宋简体" w:hAnsi="宋体" w:eastAsia="方正小标宋简体"/>
          <w:b w:val="0"/>
          <w:color w:val="auto"/>
          <w:szCs w:val="36"/>
        </w:rPr>
      </w:pPr>
      <w:r>
        <w:rPr>
          <w:rFonts w:hint="eastAsia" w:ascii="方正小标宋简体" w:hAnsi="宋体" w:eastAsia="方正小标宋简体"/>
          <w:b w:val="0"/>
          <w:color w:val="auto"/>
        </w:rPr>
        <w:t>采购合同内容</w:t>
      </w:r>
    </w:p>
    <w:p w14:paraId="44CFFE67">
      <w:pPr>
        <w:spacing w:line="520" w:lineRule="exact"/>
        <w:ind w:firstLine="420" w:firstLineChars="200"/>
        <w:jc w:val="both"/>
        <w:rPr>
          <w:rFonts w:hint="eastAsia"/>
          <w:color w:val="auto"/>
          <w:szCs w:val="27"/>
        </w:rPr>
      </w:pPr>
    </w:p>
    <w:p w14:paraId="166E6047">
      <w:pPr>
        <w:spacing w:line="360" w:lineRule="auto"/>
        <w:ind w:firstLine="420" w:firstLineChars="200"/>
        <w:jc w:val="both"/>
        <w:rPr>
          <w:color w:val="auto"/>
          <w:szCs w:val="27"/>
          <w:u w:val="single"/>
        </w:rPr>
      </w:pPr>
      <w:r>
        <w:rPr>
          <w:rFonts w:hint="eastAsia"/>
          <w:color w:val="auto"/>
          <w:szCs w:val="27"/>
        </w:rPr>
        <w:t>采购人</w:t>
      </w:r>
      <w:r>
        <w:rPr>
          <w:color w:val="auto"/>
          <w:szCs w:val="27"/>
        </w:rPr>
        <w:t>（甲方）：</w:t>
      </w:r>
      <w:r>
        <w:rPr>
          <w:rFonts w:hint="eastAsia"/>
          <w:color w:val="auto"/>
          <w:szCs w:val="27"/>
        </w:rPr>
        <w:t xml:space="preserve"> </w:t>
      </w:r>
    </w:p>
    <w:p w14:paraId="679EF5D4">
      <w:pPr>
        <w:spacing w:line="360" w:lineRule="auto"/>
        <w:ind w:firstLine="420" w:firstLineChars="200"/>
        <w:jc w:val="both"/>
        <w:rPr>
          <w:color w:val="auto"/>
          <w:szCs w:val="27"/>
        </w:rPr>
      </w:pPr>
      <w:r>
        <w:rPr>
          <w:rFonts w:hint="eastAsia"/>
          <w:color w:val="auto"/>
          <w:szCs w:val="27"/>
        </w:rPr>
        <w:t>供应商</w:t>
      </w:r>
      <w:r>
        <w:rPr>
          <w:color w:val="auto"/>
          <w:szCs w:val="27"/>
        </w:rPr>
        <w:t>（乙方）</w:t>
      </w:r>
      <w:r>
        <w:rPr>
          <w:rFonts w:hint="eastAsia"/>
          <w:color w:val="auto"/>
          <w:szCs w:val="27"/>
        </w:rPr>
        <w:t>：</w:t>
      </w:r>
    </w:p>
    <w:p w14:paraId="3113326C">
      <w:pPr>
        <w:spacing w:line="360" w:lineRule="auto"/>
        <w:ind w:firstLine="420" w:firstLineChars="200"/>
        <w:jc w:val="both"/>
        <w:rPr>
          <w:color w:val="auto"/>
          <w:szCs w:val="27"/>
          <w:u w:val="single"/>
        </w:rPr>
      </w:pPr>
      <w:r>
        <w:rPr>
          <w:rFonts w:hint="eastAsia"/>
          <w:color w:val="auto"/>
          <w:szCs w:val="27"/>
        </w:rPr>
        <w:t>签订地点：</w:t>
      </w:r>
    </w:p>
    <w:p w14:paraId="2874F632">
      <w:pPr>
        <w:spacing w:line="360" w:lineRule="auto"/>
        <w:ind w:firstLine="420" w:firstLineChars="200"/>
        <w:jc w:val="both"/>
        <w:rPr>
          <w:color w:val="auto"/>
          <w:szCs w:val="27"/>
          <w:u w:val="single"/>
        </w:rPr>
      </w:pPr>
      <w:r>
        <w:rPr>
          <w:rFonts w:hint="eastAsia"/>
          <w:color w:val="auto"/>
          <w:szCs w:val="27"/>
        </w:rPr>
        <w:t>项目名称：</w:t>
      </w:r>
    </w:p>
    <w:p w14:paraId="2745F3FC">
      <w:pPr>
        <w:spacing w:line="360" w:lineRule="auto"/>
        <w:ind w:firstLine="420" w:firstLineChars="200"/>
        <w:jc w:val="both"/>
        <w:rPr>
          <w:color w:val="auto"/>
          <w:szCs w:val="27"/>
          <w:u w:val="single"/>
        </w:rPr>
      </w:pPr>
      <w:r>
        <w:rPr>
          <w:rFonts w:hint="eastAsia"/>
          <w:color w:val="auto"/>
          <w:szCs w:val="27"/>
        </w:rPr>
        <w:t>项目编号：</w:t>
      </w:r>
    </w:p>
    <w:p w14:paraId="7BC09F47">
      <w:pPr>
        <w:spacing w:line="360" w:lineRule="auto"/>
        <w:ind w:firstLine="420" w:firstLineChars="200"/>
        <w:jc w:val="both"/>
        <w:rPr>
          <w:color w:val="auto"/>
        </w:rPr>
      </w:pPr>
      <w:r>
        <w:rPr>
          <w:rFonts w:hint="eastAsia"/>
          <w:color w:val="auto"/>
          <w:szCs w:val="27"/>
        </w:rPr>
        <w:t>财政委托号：</w:t>
      </w:r>
      <w:r>
        <w:rPr>
          <w:rFonts w:hint="eastAsia"/>
          <w:color w:val="auto"/>
          <w:szCs w:val="27"/>
          <w:u w:val="single"/>
        </w:rPr>
        <w:t xml:space="preserve">      </w:t>
      </w:r>
      <w:r>
        <w:rPr>
          <w:rFonts w:hint="eastAsia"/>
          <w:color w:val="auto"/>
          <w:szCs w:val="27"/>
        </w:rPr>
        <w:t>(财政资金项目必须填写)</w:t>
      </w:r>
    </w:p>
    <w:p w14:paraId="6B292970">
      <w:pPr>
        <w:spacing w:line="360" w:lineRule="auto"/>
        <w:ind w:firstLine="420" w:firstLineChars="200"/>
        <w:jc w:val="both"/>
        <w:rPr>
          <w:color w:val="auto"/>
        </w:rPr>
      </w:pPr>
      <w:r>
        <w:rPr>
          <w:rFonts w:hint="eastAsia"/>
          <w:color w:val="auto"/>
          <w:szCs w:val="27"/>
        </w:rPr>
        <w:t>本项目经批准采用</w:t>
      </w:r>
      <w:r>
        <w:rPr>
          <w:rFonts w:hint="eastAsia"/>
          <w:color w:val="auto"/>
          <w:szCs w:val="27"/>
          <w:u w:val="single"/>
        </w:rPr>
        <w:t xml:space="preserve">           </w:t>
      </w:r>
      <w:r>
        <w:rPr>
          <w:rFonts w:hint="eastAsia"/>
          <w:color w:val="auto"/>
          <w:szCs w:val="27"/>
        </w:rPr>
        <w:t>采购方式，经本项目评审委员会认真评审，决定将采购合同授予乙方。为进一步明确双方的责任，确保合同的顺利履行，</w:t>
      </w:r>
      <w:r>
        <w:rPr>
          <w:color w:val="auto"/>
          <w:szCs w:val="27"/>
        </w:rPr>
        <w:t>根据《中华人民共和</w:t>
      </w:r>
      <w:r>
        <w:rPr>
          <w:rFonts w:hint="eastAsia"/>
          <w:color w:val="auto"/>
          <w:szCs w:val="27"/>
        </w:rPr>
        <w:t>国采购法</w:t>
      </w:r>
      <w:r>
        <w:rPr>
          <w:color w:val="auto"/>
          <w:szCs w:val="27"/>
        </w:rPr>
        <w:t>法》</w:t>
      </w:r>
      <w:r>
        <w:rPr>
          <w:rFonts w:hint="eastAsia"/>
          <w:color w:val="auto"/>
          <w:szCs w:val="27"/>
        </w:rPr>
        <w:t>、</w:t>
      </w:r>
      <w:r>
        <w:rPr>
          <w:color w:val="auto"/>
          <w:szCs w:val="27"/>
        </w:rPr>
        <w:t>《中华人民共和国合同法》之规定，经甲乙双方充分协商，特订立</w:t>
      </w:r>
      <w:r>
        <w:rPr>
          <w:rFonts w:hint="eastAsia"/>
          <w:color w:val="auto"/>
          <w:szCs w:val="27"/>
        </w:rPr>
        <w:t>本</w:t>
      </w:r>
      <w:r>
        <w:rPr>
          <w:color w:val="auto"/>
          <w:szCs w:val="27"/>
        </w:rPr>
        <w:t>合同，以便共同遵守。</w:t>
      </w:r>
    </w:p>
    <w:p w14:paraId="07E0F4DE">
      <w:pPr>
        <w:spacing w:line="360" w:lineRule="auto"/>
        <w:ind w:firstLine="422" w:firstLineChars="200"/>
        <w:jc w:val="both"/>
        <w:rPr>
          <w:color w:val="auto"/>
          <w:u w:val="single"/>
        </w:rPr>
      </w:pPr>
      <w:r>
        <w:rPr>
          <w:b/>
          <w:bCs/>
          <w:color w:val="auto"/>
          <w:szCs w:val="27"/>
        </w:rPr>
        <w:t>第一条</w:t>
      </w:r>
      <w:r>
        <w:rPr>
          <w:color w:val="auto"/>
          <w:szCs w:val="27"/>
        </w:rPr>
        <w:t> </w:t>
      </w:r>
      <w:r>
        <w:rPr>
          <w:rFonts w:hint="eastAsia"/>
          <w:color w:val="auto"/>
          <w:szCs w:val="27"/>
        </w:rPr>
        <w:t xml:space="preserve">  </w:t>
      </w:r>
      <w:r>
        <w:rPr>
          <w:color w:val="auto"/>
          <w:szCs w:val="27"/>
        </w:rPr>
        <w:t>产品的名称、品种、规格</w:t>
      </w:r>
      <w:r>
        <w:rPr>
          <w:rFonts w:hint="eastAsia"/>
          <w:color w:val="auto"/>
          <w:szCs w:val="27"/>
        </w:rPr>
        <w:t>、数量和价格：（若产品过多则见附表，如有附表则必须加盖印章）</w:t>
      </w:r>
    </w:p>
    <w:tbl>
      <w:tblPr>
        <w:tblStyle w:val="24"/>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3B21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2F7D43F">
            <w:pPr>
              <w:spacing w:line="360" w:lineRule="auto"/>
              <w:ind w:firstLine="420" w:firstLineChars="200"/>
              <w:jc w:val="both"/>
              <w:rPr>
                <w:color w:val="auto"/>
              </w:rPr>
            </w:pPr>
            <w:r>
              <w:rPr>
                <w:rFonts w:hint="eastAsia"/>
                <w:color w:val="auto"/>
              </w:rPr>
              <w:t>产品名称</w:t>
            </w:r>
          </w:p>
        </w:tc>
        <w:tc>
          <w:tcPr>
            <w:tcW w:w="1623" w:type="dxa"/>
            <w:noWrap w:val="0"/>
            <w:vAlign w:val="top"/>
          </w:tcPr>
          <w:p w14:paraId="1AFA9064">
            <w:pPr>
              <w:spacing w:line="360" w:lineRule="auto"/>
              <w:ind w:firstLine="420" w:firstLineChars="200"/>
              <w:jc w:val="both"/>
              <w:rPr>
                <w:color w:val="auto"/>
              </w:rPr>
            </w:pPr>
            <w:r>
              <w:rPr>
                <w:rFonts w:hint="eastAsia"/>
                <w:color w:val="auto"/>
              </w:rPr>
              <w:t>规格型号</w:t>
            </w:r>
          </w:p>
        </w:tc>
        <w:tc>
          <w:tcPr>
            <w:tcW w:w="902" w:type="dxa"/>
            <w:noWrap w:val="0"/>
            <w:vAlign w:val="top"/>
          </w:tcPr>
          <w:p w14:paraId="5668E13F">
            <w:pPr>
              <w:spacing w:line="360" w:lineRule="auto"/>
              <w:ind w:firstLine="420" w:firstLineChars="200"/>
              <w:jc w:val="both"/>
              <w:rPr>
                <w:color w:val="auto"/>
              </w:rPr>
            </w:pPr>
            <w:r>
              <w:rPr>
                <w:rFonts w:hint="eastAsia"/>
                <w:color w:val="auto"/>
              </w:rPr>
              <w:t>单位</w:t>
            </w:r>
          </w:p>
        </w:tc>
        <w:tc>
          <w:tcPr>
            <w:tcW w:w="902" w:type="dxa"/>
            <w:noWrap w:val="0"/>
            <w:vAlign w:val="top"/>
          </w:tcPr>
          <w:p w14:paraId="701C0511">
            <w:pPr>
              <w:spacing w:line="360" w:lineRule="auto"/>
              <w:ind w:firstLine="420" w:firstLineChars="200"/>
              <w:jc w:val="both"/>
              <w:rPr>
                <w:color w:val="auto"/>
              </w:rPr>
            </w:pPr>
            <w:r>
              <w:rPr>
                <w:rFonts w:hint="eastAsia"/>
                <w:color w:val="auto"/>
              </w:rPr>
              <w:t>数量</w:t>
            </w:r>
          </w:p>
        </w:tc>
        <w:tc>
          <w:tcPr>
            <w:tcW w:w="1071" w:type="dxa"/>
            <w:noWrap w:val="0"/>
            <w:vAlign w:val="top"/>
          </w:tcPr>
          <w:p w14:paraId="4D10A7F0">
            <w:pPr>
              <w:spacing w:line="360" w:lineRule="auto"/>
              <w:ind w:firstLine="420" w:firstLineChars="200"/>
              <w:jc w:val="both"/>
              <w:rPr>
                <w:color w:val="auto"/>
              </w:rPr>
            </w:pPr>
            <w:r>
              <w:rPr>
                <w:rFonts w:hint="eastAsia"/>
                <w:color w:val="auto"/>
              </w:rPr>
              <w:t>单价</w:t>
            </w:r>
          </w:p>
        </w:tc>
        <w:tc>
          <w:tcPr>
            <w:tcW w:w="1250" w:type="dxa"/>
            <w:noWrap w:val="0"/>
            <w:vAlign w:val="top"/>
          </w:tcPr>
          <w:p w14:paraId="05B41386">
            <w:pPr>
              <w:spacing w:line="360" w:lineRule="auto"/>
              <w:ind w:firstLine="420" w:firstLineChars="200"/>
              <w:jc w:val="both"/>
              <w:rPr>
                <w:color w:val="auto"/>
              </w:rPr>
            </w:pPr>
            <w:r>
              <w:rPr>
                <w:rFonts w:hint="eastAsia"/>
                <w:color w:val="auto"/>
              </w:rPr>
              <w:t>小计</w:t>
            </w:r>
          </w:p>
        </w:tc>
        <w:tc>
          <w:tcPr>
            <w:tcW w:w="1106" w:type="dxa"/>
            <w:noWrap w:val="0"/>
            <w:vAlign w:val="top"/>
          </w:tcPr>
          <w:p w14:paraId="0595A77A">
            <w:pPr>
              <w:spacing w:line="360" w:lineRule="auto"/>
              <w:ind w:firstLine="420" w:firstLineChars="200"/>
              <w:jc w:val="both"/>
              <w:rPr>
                <w:color w:val="auto"/>
              </w:rPr>
            </w:pPr>
            <w:r>
              <w:rPr>
                <w:rFonts w:hint="eastAsia"/>
                <w:color w:val="auto"/>
              </w:rPr>
              <w:t>备注</w:t>
            </w:r>
          </w:p>
        </w:tc>
      </w:tr>
      <w:tr w14:paraId="38E27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36EDA1B">
            <w:pPr>
              <w:spacing w:line="360" w:lineRule="auto"/>
              <w:ind w:firstLine="420" w:firstLineChars="200"/>
              <w:jc w:val="both"/>
              <w:rPr>
                <w:color w:val="auto"/>
              </w:rPr>
            </w:pPr>
          </w:p>
        </w:tc>
        <w:tc>
          <w:tcPr>
            <w:tcW w:w="1623" w:type="dxa"/>
            <w:noWrap w:val="0"/>
            <w:vAlign w:val="top"/>
          </w:tcPr>
          <w:p w14:paraId="5395695C">
            <w:pPr>
              <w:spacing w:line="360" w:lineRule="auto"/>
              <w:ind w:firstLine="420" w:firstLineChars="200"/>
              <w:jc w:val="both"/>
              <w:rPr>
                <w:color w:val="auto"/>
              </w:rPr>
            </w:pPr>
          </w:p>
        </w:tc>
        <w:tc>
          <w:tcPr>
            <w:tcW w:w="902" w:type="dxa"/>
            <w:noWrap w:val="0"/>
            <w:vAlign w:val="top"/>
          </w:tcPr>
          <w:p w14:paraId="7814194D">
            <w:pPr>
              <w:spacing w:line="360" w:lineRule="auto"/>
              <w:ind w:firstLine="420" w:firstLineChars="200"/>
              <w:jc w:val="both"/>
              <w:rPr>
                <w:color w:val="auto"/>
              </w:rPr>
            </w:pPr>
          </w:p>
        </w:tc>
        <w:tc>
          <w:tcPr>
            <w:tcW w:w="902" w:type="dxa"/>
            <w:noWrap w:val="0"/>
            <w:vAlign w:val="top"/>
          </w:tcPr>
          <w:p w14:paraId="18D0B70A">
            <w:pPr>
              <w:spacing w:line="360" w:lineRule="auto"/>
              <w:ind w:firstLine="420" w:firstLineChars="200"/>
              <w:jc w:val="both"/>
              <w:rPr>
                <w:color w:val="auto"/>
              </w:rPr>
            </w:pPr>
          </w:p>
        </w:tc>
        <w:tc>
          <w:tcPr>
            <w:tcW w:w="1071" w:type="dxa"/>
            <w:noWrap w:val="0"/>
            <w:vAlign w:val="top"/>
          </w:tcPr>
          <w:p w14:paraId="6307F279">
            <w:pPr>
              <w:spacing w:line="360" w:lineRule="auto"/>
              <w:ind w:firstLine="420" w:firstLineChars="200"/>
              <w:jc w:val="both"/>
              <w:rPr>
                <w:color w:val="auto"/>
              </w:rPr>
            </w:pPr>
          </w:p>
        </w:tc>
        <w:tc>
          <w:tcPr>
            <w:tcW w:w="1250" w:type="dxa"/>
            <w:noWrap w:val="0"/>
            <w:vAlign w:val="top"/>
          </w:tcPr>
          <w:p w14:paraId="3CBA6BC1">
            <w:pPr>
              <w:spacing w:line="360" w:lineRule="auto"/>
              <w:ind w:firstLine="420" w:firstLineChars="200"/>
              <w:jc w:val="both"/>
              <w:rPr>
                <w:color w:val="auto"/>
              </w:rPr>
            </w:pPr>
          </w:p>
        </w:tc>
        <w:tc>
          <w:tcPr>
            <w:tcW w:w="1106" w:type="dxa"/>
            <w:noWrap w:val="0"/>
            <w:vAlign w:val="top"/>
          </w:tcPr>
          <w:p w14:paraId="03C43BFE">
            <w:pPr>
              <w:spacing w:line="360" w:lineRule="auto"/>
              <w:ind w:firstLine="420" w:firstLineChars="200"/>
              <w:jc w:val="both"/>
              <w:rPr>
                <w:color w:val="auto"/>
              </w:rPr>
            </w:pPr>
          </w:p>
        </w:tc>
      </w:tr>
      <w:tr w14:paraId="78D4E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AEF04C2">
            <w:pPr>
              <w:spacing w:line="360" w:lineRule="auto"/>
              <w:ind w:firstLine="420" w:firstLineChars="200"/>
              <w:jc w:val="both"/>
              <w:rPr>
                <w:color w:val="auto"/>
              </w:rPr>
            </w:pPr>
          </w:p>
        </w:tc>
        <w:tc>
          <w:tcPr>
            <w:tcW w:w="1623" w:type="dxa"/>
            <w:noWrap w:val="0"/>
            <w:vAlign w:val="top"/>
          </w:tcPr>
          <w:p w14:paraId="18B83C53">
            <w:pPr>
              <w:spacing w:line="360" w:lineRule="auto"/>
              <w:ind w:firstLine="420" w:firstLineChars="200"/>
              <w:jc w:val="both"/>
              <w:rPr>
                <w:color w:val="auto"/>
              </w:rPr>
            </w:pPr>
          </w:p>
        </w:tc>
        <w:tc>
          <w:tcPr>
            <w:tcW w:w="902" w:type="dxa"/>
            <w:noWrap w:val="0"/>
            <w:vAlign w:val="top"/>
          </w:tcPr>
          <w:p w14:paraId="4DB26A69">
            <w:pPr>
              <w:spacing w:line="360" w:lineRule="auto"/>
              <w:ind w:firstLine="420" w:firstLineChars="200"/>
              <w:jc w:val="both"/>
              <w:rPr>
                <w:color w:val="auto"/>
              </w:rPr>
            </w:pPr>
          </w:p>
        </w:tc>
        <w:tc>
          <w:tcPr>
            <w:tcW w:w="902" w:type="dxa"/>
            <w:noWrap w:val="0"/>
            <w:vAlign w:val="top"/>
          </w:tcPr>
          <w:p w14:paraId="28E0F30B">
            <w:pPr>
              <w:spacing w:line="360" w:lineRule="auto"/>
              <w:ind w:firstLine="420" w:firstLineChars="200"/>
              <w:jc w:val="both"/>
              <w:rPr>
                <w:color w:val="auto"/>
              </w:rPr>
            </w:pPr>
          </w:p>
        </w:tc>
        <w:tc>
          <w:tcPr>
            <w:tcW w:w="1071" w:type="dxa"/>
            <w:noWrap w:val="0"/>
            <w:vAlign w:val="top"/>
          </w:tcPr>
          <w:p w14:paraId="4E8FD218">
            <w:pPr>
              <w:spacing w:line="360" w:lineRule="auto"/>
              <w:ind w:firstLine="420" w:firstLineChars="200"/>
              <w:jc w:val="both"/>
              <w:rPr>
                <w:color w:val="auto"/>
              </w:rPr>
            </w:pPr>
          </w:p>
        </w:tc>
        <w:tc>
          <w:tcPr>
            <w:tcW w:w="1250" w:type="dxa"/>
            <w:noWrap w:val="0"/>
            <w:vAlign w:val="top"/>
          </w:tcPr>
          <w:p w14:paraId="0332D845">
            <w:pPr>
              <w:spacing w:line="360" w:lineRule="auto"/>
              <w:ind w:firstLine="420" w:firstLineChars="200"/>
              <w:jc w:val="both"/>
              <w:rPr>
                <w:color w:val="auto"/>
              </w:rPr>
            </w:pPr>
          </w:p>
        </w:tc>
        <w:tc>
          <w:tcPr>
            <w:tcW w:w="1106" w:type="dxa"/>
            <w:noWrap w:val="0"/>
            <w:vAlign w:val="top"/>
          </w:tcPr>
          <w:p w14:paraId="207628E0">
            <w:pPr>
              <w:spacing w:line="360" w:lineRule="auto"/>
              <w:ind w:firstLine="420" w:firstLineChars="200"/>
              <w:jc w:val="both"/>
              <w:rPr>
                <w:color w:val="auto"/>
              </w:rPr>
            </w:pPr>
          </w:p>
        </w:tc>
      </w:tr>
      <w:tr w14:paraId="726C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0662C6B">
            <w:pPr>
              <w:spacing w:line="360" w:lineRule="auto"/>
              <w:ind w:firstLine="420" w:firstLineChars="200"/>
              <w:jc w:val="both"/>
              <w:rPr>
                <w:color w:val="auto"/>
              </w:rPr>
            </w:pPr>
          </w:p>
        </w:tc>
        <w:tc>
          <w:tcPr>
            <w:tcW w:w="1623" w:type="dxa"/>
            <w:noWrap w:val="0"/>
            <w:vAlign w:val="top"/>
          </w:tcPr>
          <w:p w14:paraId="240D6BAD">
            <w:pPr>
              <w:spacing w:line="360" w:lineRule="auto"/>
              <w:ind w:firstLine="420" w:firstLineChars="200"/>
              <w:jc w:val="both"/>
              <w:rPr>
                <w:color w:val="auto"/>
              </w:rPr>
            </w:pPr>
          </w:p>
        </w:tc>
        <w:tc>
          <w:tcPr>
            <w:tcW w:w="902" w:type="dxa"/>
            <w:noWrap w:val="0"/>
            <w:vAlign w:val="top"/>
          </w:tcPr>
          <w:p w14:paraId="4F8D1E8D">
            <w:pPr>
              <w:spacing w:line="360" w:lineRule="auto"/>
              <w:ind w:firstLine="420" w:firstLineChars="200"/>
              <w:jc w:val="both"/>
              <w:rPr>
                <w:color w:val="auto"/>
              </w:rPr>
            </w:pPr>
          </w:p>
        </w:tc>
        <w:tc>
          <w:tcPr>
            <w:tcW w:w="902" w:type="dxa"/>
            <w:noWrap w:val="0"/>
            <w:vAlign w:val="top"/>
          </w:tcPr>
          <w:p w14:paraId="5B0BCDD0">
            <w:pPr>
              <w:spacing w:line="360" w:lineRule="auto"/>
              <w:ind w:firstLine="420" w:firstLineChars="200"/>
              <w:jc w:val="both"/>
              <w:rPr>
                <w:color w:val="auto"/>
              </w:rPr>
            </w:pPr>
          </w:p>
        </w:tc>
        <w:tc>
          <w:tcPr>
            <w:tcW w:w="1071" w:type="dxa"/>
            <w:noWrap w:val="0"/>
            <w:vAlign w:val="top"/>
          </w:tcPr>
          <w:p w14:paraId="5A509240">
            <w:pPr>
              <w:spacing w:line="360" w:lineRule="auto"/>
              <w:ind w:firstLine="420" w:firstLineChars="200"/>
              <w:jc w:val="both"/>
              <w:rPr>
                <w:color w:val="auto"/>
              </w:rPr>
            </w:pPr>
          </w:p>
        </w:tc>
        <w:tc>
          <w:tcPr>
            <w:tcW w:w="1250" w:type="dxa"/>
            <w:noWrap w:val="0"/>
            <w:vAlign w:val="top"/>
          </w:tcPr>
          <w:p w14:paraId="74E61E25">
            <w:pPr>
              <w:spacing w:line="360" w:lineRule="auto"/>
              <w:ind w:firstLine="420" w:firstLineChars="200"/>
              <w:jc w:val="both"/>
              <w:rPr>
                <w:color w:val="auto"/>
              </w:rPr>
            </w:pPr>
          </w:p>
        </w:tc>
        <w:tc>
          <w:tcPr>
            <w:tcW w:w="1106" w:type="dxa"/>
            <w:noWrap w:val="0"/>
            <w:vAlign w:val="top"/>
          </w:tcPr>
          <w:p w14:paraId="7ADB8E61">
            <w:pPr>
              <w:spacing w:line="360" w:lineRule="auto"/>
              <w:ind w:firstLine="420" w:firstLineChars="200"/>
              <w:jc w:val="both"/>
              <w:rPr>
                <w:color w:val="auto"/>
              </w:rPr>
            </w:pPr>
          </w:p>
        </w:tc>
      </w:tr>
      <w:tr w14:paraId="5EE36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3EF010A">
            <w:pPr>
              <w:spacing w:line="360" w:lineRule="auto"/>
              <w:ind w:firstLine="420" w:firstLineChars="200"/>
              <w:jc w:val="both"/>
              <w:rPr>
                <w:color w:val="auto"/>
              </w:rPr>
            </w:pPr>
            <w:r>
              <w:rPr>
                <w:rFonts w:hint="eastAsia"/>
                <w:color w:val="auto"/>
              </w:rPr>
              <w:t>合同总价款（大小写）：</w:t>
            </w:r>
          </w:p>
          <w:p w14:paraId="0D159B80">
            <w:pPr>
              <w:spacing w:line="360" w:lineRule="auto"/>
              <w:ind w:firstLine="420" w:firstLineChars="200"/>
              <w:jc w:val="both"/>
              <w:rPr>
                <w:color w:val="auto"/>
              </w:rPr>
            </w:pPr>
            <w:r>
              <w:rPr>
                <w:rFonts w:hint="eastAsia"/>
                <w:color w:val="auto"/>
                <w:szCs w:val="28"/>
              </w:rPr>
              <w:t>备注：上述产品报价含产品生产、运输&lt;送达至甲方指定地点并下货&gt;、安装、调试、检验及售后服务、税金、劳保基金、人员培训等费用。</w:t>
            </w:r>
          </w:p>
        </w:tc>
      </w:tr>
    </w:tbl>
    <w:p w14:paraId="6D469B80">
      <w:pPr>
        <w:spacing w:line="360" w:lineRule="auto"/>
        <w:ind w:firstLine="422" w:firstLineChars="200"/>
        <w:jc w:val="both"/>
        <w:rPr>
          <w:color w:val="auto"/>
        </w:rPr>
      </w:pPr>
      <w:r>
        <w:rPr>
          <w:rFonts w:hint="eastAsia"/>
          <w:b/>
          <w:bCs/>
          <w:color w:val="auto"/>
          <w:szCs w:val="27"/>
        </w:rPr>
        <w:t xml:space="preserve">第二条  </w:t>
      </w:r>
      <w:r>
        <w:rPr>
          <w:color w:val="auto"/>
          <w:szCs w:val="27"/>
        </w:rPr>
        <w:t>产品的技术标准（包括质量要求），按下列第（ ）项执行：</w:t>
      </w:r>
    </w:p>
    <w:p w14:paraId="1E7AAC3E">
      <w:pPr>
        <w:spacing w:line="360" w:lineRule="auto"/>
        <w:ind w:firstLine="420" w:firstLineChars="200"/>
        <w:jc w:val="both"/>
        <w:rPr>
          <w:color w:val="auto"/>
          <w:szCs w:val="27"/>
        </w:rPr>
      </w:pPr>
      <w:r>
        <w:rPr>
          <w:rFonts w:hint="eastAsia"/>
          <w:color w:val="auto"/>
          <w:szCs w:val="27"/>
        </w:rPr>
        <w:t>①</w:t>
      </w:r>
      <w:r>
        <w:rPr>
          <w:color w:val="auto"/>
          <w:szCs w:val="27"/>
        </w:rPr>
        <w:t>按国家标准执行；</w:t>
      </w:r>
      <w:r>
        <w:rPr>
          <w:rFonts w:hint="eastAsia"/>
          <w:color w:val="auto"/>
          <w:szCs w:val="27"/>
        </w:rPr>
        <w:t>②</w:t>
      </w:r>
      <w:r>
        <w:rPr>
          <w:color w:val="auto"/>
          <w:szCs w:val="27"/>
        </w:rPr>
        <w:t>按部颁标准执行；</w:t>
      </w:r>
      <w:r>
        <w:rPr>
          <w:rFonts w:hint="eastAsia"/>
          <w:color w:val="auto"/>
          <w:szCs w:val="27"/>
        </w:rPr>
        <w:t>③若无以上标准，则应不低于同行业质量标准；④</w:t>
      </w:r>
      <w:r>
        <w:rPr>
          <w:color w:val="auto"/>
          <w:szCs w:val="27"/>
        </w:rPr>
        <w:t>有特殊要求的，按甲乙双方在合同中商定的技术条件、样品或补充的技术要求执行</w:t>
      </w:r>
      <w:r>
        <w:rPr>
          <w:rFonts w:hint="eastAsia"/>
          <w:color w:val="auto"/>
          <w:szCs w:val="27"/>
        </w:rPr>
        <w:t>；</w:t>
      </w:r>
    </w:p>
    <w:p w14:paraId="29529FAC">
      <w:pPr>
        <w:spacing w:line="360" w:lineRule="auto"/>
        <w:ind w:firstLine="420" w:firstLineChars="200"/>
        <w:rPr>
          <w:color w:val="auto"/>
          <w:szCs w:val="27"/>
        </w:rPr>
      </w:pPr>
      <w:r>
        <w:rPr>
          <w:rFonts w:hint="eastAsia"/>
          <w:color w:val="auto"/>
        </w:rPr>
        <w:t>乙方在投标文件中书面声明提供的服务标准和水平应与招标采购文件规定的标准和水平相一致</w:t>
      </w:r>
      <w:r>
        <w:rPr>
          <w:rFonts w:hint="eastAsia" w:ascii="宋体" w:hAnsi="宋体" w:cs="宋体"/>
          <w:color w:val="auto"/>
        </w:rPr>
        <w:t>。</w:t>
      </w:r>
      <w:r>
        <w:rPr>
          <w:rFonts w:hint="eastAsia"/>
          <w:color w:val="auto"/>
        </w:rPr>
        <w:t>若技术标准中无相应规定，所投货物应符合相应的国际标准或原产地国家有关部门最新颁布的相应的正式标准。</w:t>
      </w:r>
    </w:p>
    <w:p w14:paraId="0DBC7F62">
      <w:pPr>
        <w:spacing w:line="360" w:lineRule="auto"/>
        <w:ind w:firstLine="420" w:firstLineChars="200"/>
        <w:jc w:val="both"/>
        <w:rPr>
          <w:rFonts w:hint="eastAsia" w:ascii="Times New Roman" w:hAnsi="Times New Roman" w:eastAsia="宋体" w:cs="Times New Roman"/>
          <w:color w:val="auto"/>
          <w:szCs w:val="27"/>
        </w:rPr>
      </w:pPr>
      <w:r>
        <w:rPr>
          <w:rFonts w:hint="eastAsia" w:ascii="Times New Roman" w:hAnsi="Times New Roman" w:eastAsia="宋体" w:cs="Times New Roman"/>
          <w:color w:val="auto"/>
          <w:szCs w:val="27"/>
        </w:rPr>
        <w:t>进口产品的质量标准为                                             。</w:t>
      </w:r>
    </w:p>
    <w:p w14:paraId="03975791">
      <w:pPr>
        <w:spacing w:line="360" w:lineRule="auto"/>
        <w:ind w:firstLine="420" w:firstLineChars="200"/>
        <w:jc w:val="both"/>
        <w:rPr>
          <w:rFonts w:hint="eastAsia" w:ascii="Times New Roman" w:hAnsi="Times New Roman" w:eastAsia="宋体" w:cs="Times New Roman"/>
          <w:color w:val="auto"/>
          <w:szCs w:val="27"/>
        </w:rPr>
      </w:pPr>
      <w:r>
        <w:rPr>
          <w:rFonts w:hint="eastAsia" w:ascii="Times New Roman" w:hAnsi="Times New Roman" w:eastAsia="宋体" w:cs="Times New Roman"/>
          <w:color w:val="auto"/>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AEE54E9">
      <w:pPr>
        <w:pStyle w:val="14"/>
        <w:spacing w:line="360" w:lineRule="auto"/>
        <w:ind w:left="0" w:firstLine="482" w:firstLineChars="200"/>
        <w:jc w:val="both"/>
        <w:rPr>
          <w:rFonts w:ascii="宋体" w:hAnsi="宋体" w:eastAsia="宋体"/>
          <w:color w:val="auto"/>
          <w:sz w:val="24"/>
        </w:rPr>
      </w:pPr>
      <w:r>
        <w:rPr>
          <w:rFonts w:hint="eastAsia" w:ascii="宋体" w:hAnsi="宋体" w:eastAsia="宋体"/>
          <w:b/>
          <w:bCs/>
          <w:color w:val="auto"/>
          <w:sz w:val="24"/>
        </w:rPr>
        <w:t>第</w:t>
      </w:r>
      <w:r>
        <w:rPr>
          <w:rFonts w:ascii="宋体" w:hAnsi="宋体" w:eastAsia="宋体"/>
          <w:b/>
          <w:bCs/>
          <w:color w:val="auto"/>
          <w:sz w:val="24"/>
        </w:rPr>
        <w:t>三</w:t>
      </w:r>
      <w:r>
        <w:rPr>
          <w:rFonts w:hint="eastAsia" w:ascii="宋体" w:hAnsi="宋体" w:eastAsia="宋体"/>
          <w:b/>
          <w:bCs/>
          <w:color w:val="auto"/>
          <w:sz w:val="24"/>
        </w:rPr>
        <w:t>条</w:t>
      </w:r>
      <w:r>
        <w:rPr>
          <w:rFonts w:ascii="Times New Roman" w:hAnsi="Times New Roman" w:eastAsia="宋体" w:cs="Times New Roman"/>
          <w:color w:val="auto"/>
          <w:kern w:val="2"/>
          <w:sz w:val="21"/>
          <w:szCs w:val="27"/>
          <w:lang w:val="en-US" w:eastAsia="zh-CN" w:bidi="ar-SA"/>
        </w:rPr>
        <w:t>产品的包装标准和包装物的供应与回收       </w:t>
      </w:r>
      <w:r>
        <w:rPr>
          <w:rFonts w:hint="eastAsia" w:ascii="Times New Roman" w:hAnsi="Times New Roman" w:eastAsia="宋体" w:cs="Times New Roman"/>
          <w:color w:val="auto"/>
          <w:kern w:val="2"/>
          <w:sz w:val="21"/>
          <w:szCs w:val="27"/>
          <w:lang w:val="en-US" w:eastAsia="zh-CN" w:bidi="ar-SA"/>
        </w:rPr>
        <w:t xml:space="preserve">          。</w:t>
      </w:r>
    </w:p>
    <w:p w14:paraId="7C9C1D63">
      <w:pPr>
        <w:spacing w:line="360" w:lineRule="auto"/>
        <w:ind w:firstLine="420" w:firstLineChars="200"/>
        <w:jc w:val="both"/>
        <w:rPr>
          <w:color w:val="auto"/>
          <w:szCs w:val="27"/>
        </w:rPr>
      </w:pPr>
      <w:r>
        <w:rPr>
          <w:color w:val="auto"/>
          <w:szCs w:val="27"/>
        </w:rPr>
        <w:t>（国家或</w:t>
      </w:r>
      <w:r>
        <w:rPr>
          <w:rFonts w:hint="eastAsia"/>
          <w:color w:val="auto"/>
          <w:szCs w:val="27"/>
        </w:rPr>
        <w:t>行业</w:t>
      </w:r>
      <w:r>
        <w:rPr>
          <w:color w:val="auto"/>
          <w:szCs w:val="27"/>
        </w:rPr>
        <w:t>主管部门有技术规定的，按技术规定执行；国家与</w:t>
      </w:r>
      <w:r>
        <w:rPr>
          <w:rFonts w:hint="eastAsia"/>
          <w:color w:val="auto"/>
          <w:szCs w:val="27"/>
        </w:rPr>
        <w:t>行业</w:t>
      </w:r>
      <w:r>
        <w:rPr>
          <w:color w:val="auto"/>
          <w:szCs w:val="27"/>
        </w:rPr>
        <w:t>主管部门无技术规定的，由甲乙双方商定。）</w:t>
      </w:r>
    </w:p>
    <w:p w14:paraId="44C7ED5F">
      <w:pPr>
        <w:spacing w:line="360" w:lineRule="auto"/>
        <w:ind w:firstLine="420" w:firstLineChars="200"/>
        <w:jc w:val="both"/>
        <w:rPr>
          <w:color w:val="auto"/>
        </w:rPr>
      </w:pPr>
      <w:r>
        <w:rPr>
          <w:rFonts w:hint="eastAsia"/>
          <w:color w:val="auto"/>
          <w:szCs w:val="27"/>
        </w:rPr>
        <w:t>【注：合同中约定的包装标准应与乙方在投标文件中承诺的一致，且投标文件应作为合同附件与合同具有同等法律效力。】</w:t>
      </w:r>
    </w:p>
    <w:p w14:paraId="5E1AB1BC">
      <w:pPr>
        <w:spacing w:line="360" w:lineRule="auto"/>
        <w:ind w:firstLine="422" w:firstLineChars="200"/>
        <w:jc w:val="both"/>
        <w:rPr>
          <w:color w:val="auto"/>
          <w:szCs w:val="27"/>
        </w:rPr>
      </w:pPr>
      <w:r>
        <w:rPr>
          <w:rFonts w:hint="eastAsia"/>
          <w:b/>
          <w:bCs/>
          <w:color w:val="auto"/>
          <w:szCs w:val="27"/>
        </w:rPr>
        <w:t xml:space="preserve">第四条  </w:t>
      </w:r>
      <w:r>
        <w:rPr>
          <w:color w:val="auto"/>
          <w:szCs w:val="27"/>
        </w:rPr>
        <w:t>产品的交货方法、到货地点</w:t>
      </w:r>
      <w:r>
        <w:rPr>
          <w:rFonts w:hint="eastAsia"/>
          <w:color w:val="auto"/>
          <w:szCs w:val="27"/>
        </w:rPr>
        <w:t>和交货期限</w:t>
      </w:r>
    </w:p>
    <w:p w14:paraId="0192FCA1">
      <w:pPr>
        <w:spacing w:line="360" w:lineRule="auto"/>
        <w:ind w:firstLine="420" w:firstLineChars="200"/>
        <w:jc w:val="both"/>
        <w:rPr>
          <w:color w:val="auto"/>
        </w:rPr>
      </w:pPr>
      <w:r>
        <w:rPr>
          <w:rFonts w:hint="eastAsia"/>
          <w:color w:val="auto"/>
          <w:szCs w:val="27"/>
        </w:rPr>
        <w:t>1.</w:t>
      </w:r>
      <w:r>
        <w:rPr>
          <w:color w:val="auto"/>
          <w:szCs w:val="27"/>
        </w:rPr>
        <w:t>交货方法，按下列第（ ）项执行：</w:t>
      </w:r>
    </w:p>
    <w:p w14:paraId="18399B26">
      <w:pPr>
        <w:spacing w:line="360" w:lineRule="auto"/>
        <w:ind w:firstLine="420" w:firstLineChars="200"/>
        <w:jc w:val="both"/>
        <w:rPr>
          <w:color w:val="auto"/>
        </w:rPr>
      </w:pPr>
      <w:r>
        <w:rPr>
          <w:rFonts w:hint="eastAsia"/>
          <w:color w:val="auto"/>
          <w:szCs w:val="27"/>
        </w:rPr>
        <w:t>①</w:t>
      </w:r>
      <w:r>
        <w:rPr>
          <w:color w:val="auto"/>
          <w:szCs w:val="27"/>
        </w:rPr>
        <w:t>乙方送货</w:t>
      </w:r>
      <w:r>
        <w:rPr>
          <w:rFonts w:hint="eastAsia"/>
          <w:color w:val="auto"/>
          <w:szCs w:val="27"/>
        </w:rPr>
        <w:t>上门；②</w:t>
      </w:r>
      <w:r>
        <w:rPr>
          <w:color w:val="auto"/>
          <w:szCs w:val="27"/>
        </w:rPr>
        <w:t>乙方代运；</w:t>
      </w:r>
      <w:r>
        <w:rPr>
          <w:rFonts w:hint="eastAsia"/>
          <w:color w:val="auto"/>
          <w:szCs w:val="27"/>
        </w:rPr>
        <w:t>③</w:t>
      </w:r>
      <w:r>
        <w:rPr>
          <w:color w:val="auto"/>
          <w:szCs w:val="27"/>
        </w:rPr>
        <w:t>甲方自提自运。</w:t>
      </w:r>
    </w:p>
    <w:p w14:paraId="5A36AC83">
      <w:pPr>
        <w:spacing w:line="360" w:lineRule="auto"/>
        <w:ind w:firstLine="420" w:firstLineChars="200"/>
        <w:jc w:val="both"/>
        <w:rPr>
          <w:color w:val="auto"/>
          <w:szCs w:val="27"/>
        </w:rPr>
      </w:pPr>
      <w:r>
        <w:rPr>
          <w:rFonts w:hint="eastAsia"/>
          <w:color w:val="auto"/>
          <w:szCs w:val="27"/>
        </w:rPr>
        <w:t>2.</w:t>
      </w:r>
      <w:r>
        <w:rPr>
          <w:color w:val="auto"/>
          <w:szCs w:val="27"/>
        </w:rPr>
        <w:t>到货地点</w:t>
      </w:r>
      <w:r>
        <w:rPr>
          <w:rFonts w:hint="eastAsia"/>
          <w:color w:val="auto"/>
          <w:szCs w:val="27"/>
        </w:rPr>
        <w:t>：</w:t>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u w:val="single"/>
        </w:rPr>
        <w:t xml:space="preserve">                 (</w:t>
      </w:r>
      <w:r>
        <w:rPr>
          <w:rFonts w:hint="eastAsia"/>
          <w:color w:val="auto"/>
          <w:szCs w:val="27"/>
        </w:rPr>
        <w:t>甲方指定的任何地点，安装并调试.)</w:t>
      </w:r>
    </w:p>
    <w:p w14:paraId="043FF8F3">
      <w:pPr>
        <w:spacing w:line="360" w:lineRule="auto"/>
        <w:ind w:firstLine="420" w:firstLineChars="200"/>
        <w:jc w:val="both"/>
        <w:rPr>
          <w:color w:val="auto"/>
          <w:szCs w:val="27"/>
        </w:rPr>
      </w:pPr>
      <w:r>
        <w:rPr>
          <w:rFonts w:hint="eastAsia"/>
          <w:color w:val="auto"/>
          <w:szCs w:val="27"/>
        </w:rPr>
        <w:t>3.</w:t>
      </w:r>
      <w:r>
        <w:rPr>
          <w:color w:val="auto"/>
          <w:szCs w:val="27"/>
        </w:rPr>
        <w:t>产品</w:t>
      </w:r>
      <w:r>
        <w:rPr>
          <w:rFonts w:hint="eastAsia"/>
          <w:color w:val="auto"/>
          <w:szCs w:val="27"/>
        </w:rPr>
        <w:t>的交货期限</w:t>
      </w:r>
      <w:r>
        <w:rPr>
          <w:color w:val="auto"/>
          <w:szCs w:val="27"/>
          <w:u w:val="single"/>
        </w:rPr>
        <w:t>                         </w:t>
      </w:r>
      <w:r>
        <w:rPr>
          <w:color w:val="auto"/>
          <w:szCs w:val="27"/>
        </w:rPr>
        <w:t>。</w:t>
      </w:r>
    </w:p>
    <w:p w14:paraId="566C9A72">
      <w:pPr>
        <w:spacing w:line="360" w:lineRule="auto"/>
        <w:ind w:firstLine="422" w:firstLineChars="200"/>
        <w:jc w:val="both"/>
        <w:rPr>
          <w:color w:val="auto"/>
          <w:szCs w:val="27"/>
        </w:rPr>
      </w:pPr>
      <w:r>
        <w:rPr>
          <w:rFonts w:hint="eastAsia"/>
          <w:b/>
          <w:bCs/>
          <w:color w:val="auto"/>
          <w:szCs w:val="27"/>
        </w:rPr>
        <w:t>第五条</w:t>
      </w:r>
      <w:r>
        <w:rPr>
          <w:rFonts w:hint="eastAsia"/>
          <w:color w:val="auto"/>
          <w:szCs w:val="27"/>
        </w:rPr>
        <w:t xml:space="preserve">  合同总价款</w:t>
      </w:r>
    </w:p>
    <w:p w14:paraId="3CDB4984">
      <w:pPr>
        <w:spacing w:line="360" w:lineRule="auto"/>
        <w:ind w:firstLine="420" w:firstLineChars="200"/>
        <w:jc w:val="both"/>
        <w:rPr>
          <w:color w:val="auto"/>
          <w:szCs w:val="27"/>
          <w:u w:val="single"/>
        </w:rPr>
      </w:pPr>
      <w:r>
        <w:rPr>
          <w:rFonts w:hint="eastAsia"/>
          <w:color w:val="auto"/>
          <w:szCs w:val="27"/>
        </w:rPr>
        <w:t>合同总价款（大小写）：</w:t>
      </w:r>
      <w:r>
        <w:rPr>
          <w:rFonts w:hint="eastAsia"/>
          <w:color w:val="auto"/>
          <w:szCs w:val="27"/>
          <w:u w:val="single"/>
        </w:rPr>
        <w:t xml:space="preserve">                        </w:t>
      </w:r>
    </w:p>
    <w:p w14:paraId="68E06540">
      <w:pPr>
        <w:numPr>
          <w:ilvl w:val="0"/>
          <w:numId w:val="4"/>
        </w:numPr>
        <w:spacing w:line="360" w:lineRule="auto"/>
        <w:ind w:left="0" w:firstLine="420" w:firstLineChars="200"/>
        <w:jc w:val="both"/>
        <w:rPr>
          <w:color w:val="auto"/>
        </w:rPr>
      </w:pPr>
      <w:r>
        <w:rPr>
          <w:rFonts w:hint="eastAsia"/>
          <w:color w:val="auto"/>
        </w:rPr>
        <w:t xml:space="preserve">付款条件                  </w:t>
      </w:r>
    </w:p>
    <w:p w14:paraId="1832B812">
      <w:pPr>
        <w:spacing w:line="360" w:lineRule="auto"/>
        <w:ind w:firstLine="420" w:firstLineChars="200"/>
        <w:jc w:val="both"/>
        <w:rPr>
          <w:color w:val="auto"/>
        </w:rPr>
      </w:pPr>
      <w:r>
        <w:rPr>
          <w:rFonts w:hint="eastAsia"/>
          <w:color w:val="auto"/>
        </w:rPr>
        <w:t>本合同以人民币付款。</w:t>
      </w:r>
    </w:p>
    <w:p w14:paraId="30C34D9F">
      <w:pPr>
        <w:spacing w:line="360" w:lineRule="auto"/>
        <w:ind w:firstLine="420" w:firstLineChars="200"/>
        <w:jc w:val="both"/>
        <w:rPr>
          <w:color w:val="auto"/>
        </w:rPr>
      </w:pPr>
      <w:r>
        <w:rPr>
          <w:rFonts w:hint="eastAsia"/>
          <w:color w:val="auto"/>
        </w:rPr>
        <w:t>该项目是否实行预付款：</w:t>
      </w:r>
    </w:p>
    <w:p w14:paraId="0DD09189">
      <w:pPr>
        <w:spacing w:line="360" w:lineRule="auto"/>
        <w:ind w:firstLine="420" w:firstLineChars="200"/>
        <w:jc w:val="both"/>
        <w:rPr>
          <w:color w:val="auto"/>
        </w:rPr>
      </w:pPr>
      <w:r>
        <w:rPr>
          <w:rFonts w:hint="eastAsia"/>
          <w:color w:val="auto"/>
        </w:rPr>
        <w:t>实行预付款的条件和比例：</w:t>
      </w:r>
    </w:p>
    <w:p w14:paraId="4D367EB3">
      <w:pPr>
        <w:spacing w:line="360" w:lineRule="auto"/>
        <w:ind w:firstLine="420" w:firstLineChars="200"/>
        <w:jc w:val="both"/>
        <w:rPr>
          <w:color w:val="auto"/>
        </w:rPr>
      </w:pPr>
      <w:r>
        <w:rPr>
          <w:rFonts w:hint="eastAsia"/>
          <w:color w:val="auto"/>
        </w:rPr>
        <w:t>合同款项结算方式和支付比例：</w:t>
      </w:r>
      <w:r>
        <w:rPr>
          <w:rFonts w:hint="eastAsia"/>
          <w:color w:val="auto"/>
          <w:lang w:val="en-US"/>
        </w:rPr>
        <w:t xml:space="preserve">   </w:t>
      </w:r>
    </w:p>
    <w:p w14:paraId="4FB80BD6">
      <w:pPr>
        <w:spacing w:line="360" w:lineRule="auto"/>
        <w:ind w:firstLine="420" w:firstLineChars="200"/>
        <w:jc w:val="both"/>
        <w:rPr>
          <w:rFonts w:hint="eastAsia"/>
          <w:color w:val="auto"/>
          <w:u w:val="single"/>
        </w:rPr>
      </w:pPr>
      <w:r>
        <w:rPr>
          <w:rFonts w:hint="eastAsia"/>
          <w:color w:val="auto"/>
          <w:lang w:val="en-US"/>
        </w:rPr>
        <w:t>(</w:t>
      </w:r>
      <w:r>
        <w:rPr>
          <w:rFonts w:hint="eastAsia"/>
          <w:color w:val="auto"/>
        </w:rPr>
        <w:t>具体付款方式</w:t>
      </w:r>
      <w:r>
        <w:rPr>
          <w:rFonts w:hint="eastAsia"/>
          <w:color w:val="auto"/>
          <w:u w:val="single"/>
        </w:rPr>
        <w:t>按投标人须知前附表以及采、购双方的具体约定</w:t>
      </w:r>
    </w:p>
    <w:p w14:paraId="6A869665">
      <w:pPr>
        <w:spacing w:line="360" w:lineRule="auto"/>
        <w:ind w:firstLine="420" w:firstLineChars="200"/>
        <w:jc w:val="both"/>
        <w:rPr>
          <w:rFonts w:hint="eastAsia"/>
          <w:color w:val="auto"/>
          <w:lang w:val="en-US" w:eastAsia="zh-CN"/>
        </w:rPr>
      </w:pPr>
      <w:r>
        <w:rPr>
          <w:rFonts w:hint="eastAsia"/>
          <w:color w:val="auto"/>
          <w:lang w:val="en-US" w:eastAsia="zh-CN"/>
        </w:rPr>
        <w:t>供应商在响应本项目时，须单独承诺：在甲方资金不能及时拨付到位时，乙方不得停止供货。附在投标文件中，否则为不实质招标文件要求。</w:t>
      </w:r>
    </w:p>
    <w:p w14:paraId="1F9EC9BE">
      <w:pPr>
        <w:numPr>
          <w:ilvl w:val="0"/>
          <w:numId w:val="4"/>
        </w:numPr>
        <w:spacing w:line="360" w:lineRule="auto"/>
        <w:ind w:left="0" w:firstLine="420" w:firstLineChars="200"/>
        <w:jc w:val="both"/>
        <w:rPr>
          <w:color w:val="auto"/>
          <w:szCs w:val="27"/>
        </w:rPr>
      </w:pPr>
      <w:r>
        <w:rPr>
          <w:color w:val="auto"/>
          <w:szCs w:val="27"/>
        </w:rPr>
        <w:t>验收方法</w:t>
      </w:r>
    </w:p>
    <w:p w14:paraId="7FCC99C1">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1.乙方安装调试后，在      天内通知甲方组织验收，采购代理机构保留受托参与本项目验收的权利。验收不合格的，乙方应负责重新提供达到本合同约定的质量要求的产品。</w:t>
      </w:r>
    </w:p>
    <w:p w14:paraId="20D9442E">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2.甲、乙双方应严格履行合同有关条款，如果验收过程中发现乙方在没有征得采购人同意的情况下擅自变更合同标的物，将拒绝通过验收，由此引起的一切后果及损失由乙方承担。</w:t>
      </w:r>
    </w:p>
    <w:p w14:paraId="20E2D907">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r>
        <w:rPr>
          <w:rFonts w:hint="eastAsia" w:ascii="Times New Roman" w:hAnsi="Times New Roman" w:eastAsia="宋体" w:cs="Times New Roman"/>
          <w:color w:val="auto"/>
          <w:lang w:val="en-US"/>
        </w:rPr>
        <w:t>供应商须保证如期完成供货，并协助采购人顺利完成验收工作，需在投标文件中承诺如期完成供货保证书。</w:t>
      </w:r>
    </w:p>
    <w:p w14:paraId="676E13D3">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4、甲方视情况可以邀请参加本项目的其他投标人或者第三方机构参与验收，参与验收的投标人或者第三方机构的意见作为验收书的参考资料一并存档。投标人在投标环节，须对上述写出保证，否则不得推荐为中标候选人。</w:t>
      </w:r>
    </w:p>
    <w:p w14:paraId="29E726C8">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lang w:val="en-US"/>
        </w:rPr>
        <w:t xml:space="preserve">   </w:t>
      </w:r>
      <w:r>
        <w:rPr>
          <w:rFonts w:hint="eastAsia" w:ascii="Times New Roman" w:hAnsi="Times New Roman" w:eastAsia="宋体" w:cs="Times New Roman"/>
          <w:color w:val="auto"/>
        </w:rPr>
        <w:t>涉及安全、消防、环保等其他需要由质检或行业主管部门进行验收的项目，必须邀请相关部门或相关专家参与验收。</w:t>
      </w:r>
    </w:p>
    <w:p w14:paraId="277FAAA9">
      <w:pPr>
        <w:spacing w:line="360" w:lineRule="auto"/>
        <w:ind w:firstLine="420" w:firstLineChars="200"/>
        <w:jc w:val="both"/>
        <w:rPr>
          <w:rFonts w:ascii="宋体" w:eastAsia="宋体"/>
          <w:b/>
          <w:bCs/>
          <w:color w:val="auto"/>
          <w:sz w:val="24"/>
          <w:u w:val="single"/>
        </w:rPr>
      </w:pPr>
      <w:r>
        <w:rPr>
          <w:rFonts w:hint="eastAsia" w:ascii="Times New Roman" w:hAnsi="Times New Roman" w:eastAsia="宋体" w:cs="Times New Roman"/>
          <w:color w:val="auto"/>
        </w:rPr>
        <w:t>检测、验收费用承担方式：</w:t>
      </w:r>
    </w:p>
    <w:p w14:paraId="26324BF5">
      <w:pPr>
        <w:spacing w:line="360" w:lineRule="auto"/>
        <w:ind w:firstLine="422" w:firstLineChars="200"/>
        <w:jc w:val="both"/>
        <w:rPr>
          <w:color w:val="auto"/>
        </w:rPr>
      </w:pPr>
      <w:r>
        <w:rPr>
          <w:b/>
          <w:bCs/>
          <w:color w:val="auto"/>
          <w:szCs w:val="27"/>
        </w:rPr>
        <w:t>第八条 </w:t>
      </w:r>
      <w:r>
        <w:rPr>
          <w:color w:val="auto"/>
          <w:szCs w:val="27"/>
        </w:rPr>
        <w:t xml:space="preserve"> 对产品提出异议的时间和办法</w:t>
      </w:r>
    </w:p>
    <w:p w14:paraId="4FF46999">
      <w:pPr>
        <w:spacing w:line="360" w:lineRule="auto"/>
        <w:ind w:firstLine="420" w:firstLineChars="200"/>
        <w:jc w:val="both"/>
        <w:rPr>
          <w:color w:val="auto"/>
        </w:rPr>
      </w:pPr>
      <w:r>
        <w:rPr>
          <w:rFonts w:hint="eastAsia"/>
          <w:color w:val="auto"/>
          <w:szCs w:val="27"/>
        </w:rPr>
        <w:t>1.</w:t>
      </w:r>
      <w:r>
        <w:rPr>
          <w:color w:val="auto"/>
          <w:szCs w:val="27"/>
        </w:rPr>
        <w:t>甲方在验收中，如果发现产品不</w:t>
      </w:r>
      <w:r>
        <w:rPr>
          <w:rFonts w:hint="eastAsia"/>
          <w:color w:val="auto"/>
          <w:szCs w:val="27"/>
        </w:rPr>
        <w:t>符合合同约定的</w:t>
      </w:r>
      <w:r>
        <w:rPr>
          <w:color w:val="auto"/>
          <w:szCs w:val="27"/>
        </w:rPr>
        <w:t>，应一面妥为保管，一面在</w:t>
      </w:r>
      <w:r>
        <w:rPr>
          <w:color w:val="auto"/>
          <w:szCs w:val="27"/>
          <w:u w:val="single"/>
        </w:rPr>
        <w:t xml:space="preserve">         </w:t>
      </w:r>
      <w:r>
        <w:rPr>
          <w:rFonts w:hint="eastAsia"/>
          <w:color w:val="auto"/>
          <w:szCs w:val="27"/>
        </w:rPr>
        <w:t>工作日</w:t>
      </w:r>
      <w:r>
        <w:rPr>
          <w:color w:val="auto"/>
          <w:szCs w:val="27"/>
        </w:rPr>
        <w:t>内向乙方</w:t>
      </w:r>
      <w:r>
        <w:rPr>
          <w:rFonts w:hint="eastAsia"/>
          <w:color w:val="auto"/>
          <w:szCs w:val="27"/>
        </w:rPr>
        <w:t>书面</w:t>
      </w:r>
      <w:r>
        <w:rPr>
          <w:color w:val="auto"/>
          <w:szCs w:val="27"/>
        </w:rPr>
        <w:t>提出异议</w:t>
      </w:r>
      <w:r>
        <w:rPr>
          <w:rFonts w:hint="eastAsia"/>
          <w:color w:val="auto"/>
          <w:szCs w:val="27"/>
        </w:rPr>
        <w:t>，并抄送采购代理机构，具体说明产品</w:t>
      </w:r>
      <w:r>
        <w:rPr>
          <w:color w:val="auto"/>
          <w:szCs w:val="27"/>
        </w:rPr>
        <w:t>不符合规定的</w:t>
      </w:r>
      <w:r>
        <w:rPr>
          <w:rFonts w:hint="eastAsia"/>
          <w:color w:val="auto"/>
          <w:szCs w:val="27"/>
        </w:rPr>
        <w:t>内容并附相关验收材料，同时</w:t>
      </w:r>
      <w:r>
        <w:rPr>
          <w:color w:val="auto"/>
          <w:szCs w:val="27"/>
        </w:rPr>
        <w:t>提出不符合规定产品的处理意见。</w:t>
      </w:r>
    </w:p>
    <w:p w14:paraId="4958294F">
      <w:pPr>
        <w:spacing w:line="360" w:lineRule="auto"/>
        <w:ind w:firstLine="420" w:firstLineChars="200"/>
        <w:jc w:val="both"/>
        <w:rPr>
          <w:color w:val="auto"/>
        </w:rPr>
      </w:pPr>
      <w:r>
        <w:rPr>
          <w:rFonts w:hint="eastAsia"/>
          <w:color w:val="auto"/>
          <w:szCs w:val="27"/>
        </w:rPr>
        <w:t>2.</w:t>
      </w:r>
      <w:r>
        <w:rPr>
          <w:color w:val="auto"/>
          <w:szCs w:val="27"/>
        </w:rPr>
        <w:t>甲方因使用、保管、保养不善等造成产品质量下降的，不得提出异议。</w:t>
      </w:r>
    </w:p>
    <w:p w14:paraId="04993869">
      <w:pPr>
        <w:spacing w:line="360" w:lineRule="auto"/>
        <w:ind w:firstLine="420" w:firstLineChars="200"/>
        <w:jc w:val="both"/>
        <w:rPr>
          <w:color w:val="auto"/>
        </w:rPr>
      </w:pPr>
      <w:r>
        <w:rPr>
          <w:rFonts w:hint="eastAsia"/>
          <w:color w:val="auto"/>
          <w:szCs w:val="27"/>
        </w:rPr>
        <w:t>3.</w:t>
      </w:r>
      <w:r>
        <w:rPr>
          <w:color w:val="auto"/>
          <w:szCs w:val="27"/>
        </w:rPr>
        <w:t>乙方在接到</w:t>
      </w:r>
      <w:r>
        <w:rPr>
          <w:rFonts w:hint="eastAsia"/>
          <w:color w:val="auto"/>
          <w:szCs w:val="27"/>
        </w:rPr>
        <w:t>甲</w:t>
      </w:r>
      <w:r>
        <w:rPr>
          <w:color w:val="auto"/>
          <w:szCs w:val="27"/>
        </w:rPr>
        <w:t>方异议后，应在</w:t>
      </w:r>
      <w:r>
        <w:rPr>
          <w:rFonts w:hint="eastAsia"/>
          <w:color w:val="auto"/>
          <w:szCs w:val="27"/>
        </w:rPr>
        <w:t xml:space="preserve"> </w:t>
      </w:r>
      <w:r>
        <w:rPr>
          <w:color w:val="auto"/>
          <w:szCs w:val="27"/>
          <w:u w:val="single"/>
        </w:rPr>
        <w:t xml:space="preserve">       </w:t>
      </w:r>
      <w:r>
        <w:rPr>
          <w:rFonts w:hint="eastAsia"/>
          <w:color w:val="auto"/>
          <w:szCs w:val="27"/>
        </w:rPr>
        <w:t xml:space="preserve"> 工作日</w:t>
      </w:r>
      <w:r>
        <w:rPr>
          <w:color w:val="auto"/>
          <w:szCs w:val="27"/>
        </w:rPr>
        <w:t>内负责处理，否则，即视为默认甲方提出的异议和处理意见。</w:t>
      </w:r>
    </w:p>
    <w:p w14:paraId="7044521E">
      <w:pPr>
        <w:spacing w:line="360" w:lineRule="auto"/>
        <w:ind w:firstLine="422" w:firstLineChars="200"/>
        <w:jc w:val="both"/>
        <w:rPr>
          <w:color w:val="auto"/>
          <w:szCs w:val="27"/>
        </w:rPr>
      </w:pPr>
      <w:r>
        <w:rPr>
          <w:rFonts w:hint="eastAsia"/>
          <w:b/>
          <w:bCs/>
          <w:color w:val="auto"/>
          <w:szCs w:val="27"/>
        </w:rPr>
        <w:t>第九条</w:t>
      </w:r>
      <w:r>
        <w:rPr>
          <w:rFonts w:hint="eastAsia"/>
          <w:color w:val="auto"/>
          <w:szCs w:val="27"/>
        </w:rPr>
        <w:t xml:space="preserve">  乙方应提供完善周到的技术支持和售后服务，否则甲方视情节轻重从乙方的质量保证金中扣除部分或全部补偿甲方。</w:t>
      </w:r>
    </w:p>
    <w:p w14:paraId="3AB9B639">
      <w:pPr>
        <w:spacing w:line="360" w:lineRule="auto"/>
        <w:ind w:firstLine="420" w:firstLineChars="200"/>
        <w:jc w:val="both"/>
        <w:rPr>
          <w:color w:val="auto"/>
          <w:szCs w:val="27"/>
        </w:rPr>
      </w:pPr>
      <w:r>
        <w:rPr>
          <w:rFonts w:hint="eastAsia"/>
          <w:color w:val="auto"/>
          <w:szCs w:val="27"/>
        </w:rPr>
        <w:t>1.保修</w:t>
      </w:r>
    </w:p>
    <w:p w14:paraId="59FFEA08">
      <w:pPr>
        <w:spacing w:line="360" w:lineRule="auto"/>
        <w:ind w:firstLine="420" w:firstLineChars="200"/>
        <w:jc w:val="both"/>
        <w:rPr>
          <w:color w:val="auto"/>
          <w:szCs w:val="27"/>
        </w:rPr>
      </w:pPr>
      <w:r>
        <w:rPr>
          <w:rFonts w:hint="eastAsia"/>
          <w:color w:val="auto"/>
          <w:szCs w:val="27"/>
        </w:rPr>
        <w:t>乙方对其所提供的货物免费保修</w:t>
      </w:r>
      <w:r>
        <w:rPr>
          <w:rFonts w:hint="eastAsia"/>
          <w:color w:val="auto"/>
          <w:szCs w:val="27"/>
          <w:u w:val="single"/>
        </w:rPr>
        <w:t xml:space="preserve">      </w:t>
      </w:r>
      <w:r>
        <w:rPr>
          <w:rFonts w:hint="eastAsia"/>
          <w:color w:val="auto"/>
          <w:szCs w:val="27"/>
        </w:rPr>
        <w:t>年，保修期从</w:t>
      </w:r>
      <w:r>
        <w:rPr>
          <w:rFonts w:hint="eastAsia"/>
          <w:color w:val="auto"/>
          <w:szCs w:val="27"/>
          <w:u w:val="single"/>
        </w:rPr>
        <w:t xml:space="preserve">             </w:t>
      </w:r>
      <w:r>
        <w:rPr>
          <w:rFonts w:hint="eastAsia"/>
          <w:color w:val="auto"/>
          <w:szCs w:val="27"/>
        </w:rPr>
        <w:t>开始。乙方应在接到报修通知后</w:t>
      </w:r>
      <w:r>
        <w:rPr>
          <w:rFonts w:hint="eastAsia"/>
          <w:color w:val="auto"/>
          <w:szCs w:val="27"/>
          <w:u w:val="single"/>
        </w:rPr>
        <w:t xml:space="preserve">      </w:t>
      </w:r>
      <w:r>
        <w:rPr>
          <w:rFonts w:hint="eastAsia"/>
          <w:color w:val="auto"/>
          <w:szCs w:val="27"/>
        </w:rPr>
        <w:t>天内上门维修，负责更换有瑕疵的货物、部件或提供相应的质量保证期内的服务。由此造成的损失，甲方保留索赔的权利。</w:t>
      </w:r>
    </w:p>
    <w:p w14:paraId="2A939628">
      <w:pPr>
        <w:spacing w:line="360" w:lineRule="auto"/>
        <w:ind w:firstLine="420" w:firstLineChars="200"/>
        <w:jc w:val="both"/>
        <w:rPr>
          <w:color w:val="auto"/>
          <w:szCs w:val="27"/>
        </w:rPr>
      </w:pPr>
      <w:r>
        <w:rPr>
          <w:rFonts w:hint="eastAsia"/>
          <w:color w:val="auto"/>
          <w:szCs w:val="27"/>
        </w:rPr>
        <w:t>如果乙方在收到报修通知后</w:t>
      </w:r>
      <w:r>
        <w:rPr>
          <w:rFonts w:hint="eastAsia"/>
          <w:color w:val="auto"/>
          <w:szCs w:val="27"/>
          <w:u w:val="single"/>
        </w:rPr>
        <w:t xml:space="preserve">      </w:t>
      </w:r>
      <w:r>
        <w:rPr>
          <w:rFonts w:hint="eastAsia"/>
          <w:color w:val="auto"/>
          <w:szCs w:val="27"/>
        </w:rPr>
        <w:t>天内没有弥补缺陷，甲方可采取必要的补救措施，但费用和风险由乙方承担。</w:t>
      </w:r>
    </w:p>
    <w:p w14:paraId="438D39BC">
      <w:pPr>
        <w:spacing w:line="360" w:lineRule="auto"/>
        <w:ind w:firstLine="420" w:firstLineChars="200"/>
        <w:jc w:val="both"/>
        <w:rPr>
          <w:rFonts w:hint="eastAsia" w:ascii="Times New Roman" w:hAnsi="Times New Roman" w:eastAsia="宋体" w:cs="Times New Roman"/>
          <w:color w:val="auto"/>
          <w:szCs w:val="27"/>
        </w:rPr>
      </w:pPr>
      <w:r>
        <w:rPr>
          <w:rFonts w:hint="eastAsia" w:ascii="Times New Roman" w:hAnsi="Times New Roman" w:eastAsia="宋体" w:cs="Times New Roman"/>
          <w:color w:val="auto"/>
          <w:szCs w:val="27"/>
        </w:rPr>
        <w:t>2.维修</w:t>
      </w:r>
    </w:p>
    <w:p w14:paraId="405E5816">
      <w:pPr>
        <w:spacing w:line="360" w:lineRule="auto"/>
        <w:ind w:firstLine="420" w:firstLineChars="200"/>
        <w:jc w:val="both"/>
        <w:rPr>
          <w:rFonts w:hint="eastAsia" w:ascii="Times New Roman" w:hAnsi="Times New Roman" w:eastAsia="宋体" w:cs="Times New Roman"/>
          <w:color w:val="auto"/>
          <w:szCs w:val="27"/>
        </w:rPr>
      </w:pPr>
      <w:r>
        <w:rPr>
          <w:rFonts w:hint="eastAsia" w:ascii="Times New Roman" w:hAnsi="Times New Roman" w:eastAsia="宋体" w:cs="Times New Roman"/>
          <w:color w:val="auto"/>
          <w:szCs w:val="27"/>
        </w:rPr>
        <w:t>保修期届满后，乙方应对其提供的货物负有维修义务，但所涉及的费用由甲方承担。</w:t>
      </w:r>
    </w:p>
    <w:p w14:paraId="6B7A866A">
      <w:pPr>
        <w:spacing w:line="360" w:lineRule="auto"/>
        <w:ind w:firstLine="422" w:firstLineChars="200"/>
        <w:jc w:val="both"/>
        <w:rPr>
          <w:color w:val="auto"/>
        </w:rPr>
      </w:pPr>
      <w:r>
        <w:rPr>
          <w:b/>
          <w:bCs/>
          <w:color w:val="auto"/>
          <w:szCs w:val="27"/>
        </w:rPr>
        <w:t>第</w:t>
      </w:r>
      <w:r>
        <w:rPr>
          <w:rFonts w:hint="eastAsia"/>
          <w:b/>
          <w:bCs/>
          <w:color w:val="auto"/>
          <w:szCs w:val="27"/>
        </w:rPr>
        <w:t>十</w:t>
      </w:r>
      <w:r>
        <w:rPr>
          <w:b/>
          <w:bCs/>
          <w:color w:val="auto"/>
          <w:szCs w:val="27"/>
        </w:rPr>
        <w:t>条</w:t>
      </w:r>
      <w:r>
        <w:rPr>
          <w:color w:val="auto"/>
          <w:szCs w:val="27"/>
        </w:rPr>
        <w:t>  乙方的违约责任</w:t>
      </w:r>
    </w:p>
    <w:p w14:paraId="0AC389AB">
      <w:pPr>
        <w:spacing w:line="360" w:lineRule="auto"/>
        <w:ind w:firstLine="420" w:firstLineChars="200"/>
        <w:jc w:val="both"/>
        <w:rPr>
          <w:color w:val="auto"/>
        </w:rPr>
      </w:pPr>
      <w:r>
        <w:rPr>
          <w:color w:val="auto"/>
          <w:szCs w:val="27"/>
        </w:rPr>
        <w:t>1.乙方不能交货的，应向甲方偿付不能交货部分货款的</w:t>
      </w:r>
      <w:r>
        <w:rPr>
          <w:color w:val="auto"/>
          <w:szCs w:val="27"/>
          <w:u w:val="single"/>
        </w:rPr>
        <w:t>      %</w:t>
      </w:r>
      <w:r>
        <w:rPr>
          <w:color w:val="auto"/>
          <w:szCs w:val="27"/>
        </w:rPr>
        <w:t>（通用产品的幅度为</w:t>
      </w:r>
      <w:r>
        <w:rPr>
          <w:rFonts w:hint="eastAsia"/>
          <w:color w:val="auto"/>
          <w:szCs w:val="27"/>
        </w:rPr>
        <w:t>1%－5%</w:t>
      </w:r>
      <w:r>
        <w:rPr>
          <w:color w:val="auto"/>
          <w:szCs w:val="27"/>
        </w:rPr>
        <w:t>，专用产品的幅度为</w:t>
      </w:r>
      <w:r>
        <w:rPr>
          <w:rFonts w:hint="eastAsia"/>
          <w:color w:val="auto"/>
          <w:szCs w:val="27"/>
        </w:rPr>
        <w:t>10%－30%</w:t>
      </w:r>
      <w:r>
        <w:rPr>
          <w:color w:val="auto"/>
          <w:szCs w:val="27"/>
        </w:rPr>
        <w:t>）的违约金。</w:t>
      </w:r>
    </w:p>
    <w:p w14:paraId="52E1E05B">
      <w:pPr>
        <w:spacing w:line="360" w:lineRule="auto"/>
        <w:ind w:firstLine="420" w:firstLineChars="200"/>
        <w:jc w:val="both"/>
        <w:rPr>
          <w:color w:val="auto"/>
          <w:szCs w:val="27"/>
        </w:rPr>
      </w:pPr>
      <w:r>
        <w:rPr>
          <w:rFonts w:hint="eastAsia"/>
          <w:color w:val="auto"/>
          <w:szCs w:val="27"/>
        </w:rPr>
        <w:t>2.</w:t>
      </w:r>
      <w:r>
        <w:rPr>
          <w:color w:val="auto"/>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rPr>
        <w:t>同时，乙方应按规定，对更换件相应延长质量保证期，并赔偿甲方相应的损失。</w:t>
      </w:r>
      <w:r>
        <w:rPr>
          <w:color w:val="auto"/>
          <w:szCs w:val="27"/>
        </w:rPr>
        <w:t>乙方不能修理或者不能调换的，按不能交货处理。</w:t>
      </w:r>
    </w:p>
    <w:p w14:paraId="0C76B4D3">
      <w:pPr>
        <w:spacing w:line="360" w:lineRule="auto"/>
        <w:ind w:firstLine="420" w:firstLineChars="200"/>
        <w:jc w:val="both"/>
        <w:rPr>
          <w:color w:val="auto"/>
        </w:rPr>
      </w:pPr>
      <w:r>
        <w:rPr>
          <w:rFonts w:hint="eastAsia"/>
          <w:color w:val="auto"/>
          <w:szCs w:val="27"/>
        </w:rPr>
        <w:t>3.</w:t>
      </w:r>
      <w:r>
        <w:rPr>
          <w:color w:val="auto"/>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rPr>
        <w:t>每件货物包装箱内应附一份详细装箱单和质量证书。为进口件的，应出具报关手续和原产地、原产工厂证明、报关手续和商检证明等。</w:t>
      </w:r>
    </w:p>
    <w:p w14:paraId="4B284945">
      <w:pPr>
        <w:spacing w:line="360" w:lineRule="auto"/>
        <w:ind w:firstLine="420" w:firstLineChars="200"/>
        <w:jc w:val="both"/>
        <w:rPr>
          <w:color w:val="auto"/>
        </w:rPr>
      </w:pPr>
      <w:r>
        <w:rPr>
          <w:rFonts w:hint="eastAsia"/>
          <w:color w:val="auto"/>
          <w:szCs w:val="27"/>
        </w:rPr>
        <w:t>4.</w:t>
      </w:r>
      <w:r>
        <w:rPr>
          <w:rFonts w:hint="eastAsia"/>
          <w:color w:val="auto"/>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rPr>
        <w:t>由此给甲方造成的损失由乙方承担</w:t>
      </w:r>
      <w:r>
        <w:rPr>
          <w:color w:val="auto"/>
          <w:szCs w:val="27"/>
        </w:rPr>
        <w:t>。</w:t>
      </w:r>
    </w:p>
    <w:p w14:paraId="60A1F42C">
      <w:pPr>
        <w:spacing w:line="360" w:lineRule="auto"/>
        <w:ind w:firstLine="420" w:firstLineChars="200"/>
        <w:jc w:val="both"/>
        <w:rPr>
          <w:color w:val="auto"/>
          <w:szCs w:val="27"/>
        </w:rPr>
      </w:pPr>
      <w:r>
        <w:rPr>
          <w:rFonts w:hint="eastAsia"/>
          <w:color w:val="auto"/>
          <w:szCs w:val="27"/>
        </w:rPr>
        <w:t>5.</w:t>
      </w:r>
      <w:r>
        <w:rPr>
          <w:color w:val="auto"/>
          <w:szCs w:val="27"/>
        </w:rPr>
        <w:t>乙方提前交货的产品、多交的产品和不符合合同规定的产品，甲方在代保管期内实际支付的保管、保养等费用以及非因甲方保管不善而发生的损失，应当由乙方承担。</w:t>
      </w:r>
    </w:p>
    <w:p w14:paraId="081A4315">
      <w:pPr>
        <w:spacing w:line="360" w:lineRule="auto"/>
        <w:ind w:firstLine="420" w:firstLineChars="200"/>
        <w:jc w:val="both"/>
        <w:rPr>
          <w:color w:val="auto"/>
          <w:szCs w:val="27"/>
        </w:rPr>
      </w:pPr>
      <w:r>
        <w:rPr>
          <w:rFonts w:hint="eastAsia"/>
          <w:color w:val="auto"/>
          <w:szCs w:val="27"/>
        </w:rPr>
        <w:t>6.乙方应对其所提供的货物承担所有权担保责任，并应保证甲方在中华人民共和国内使用该货物时不侵犯第三人的知识产权。否则乙方应承担由此引起的一切法律责任及费用。</w:t>
      </w:r>
    </w:p>
    <w:p w14:paraId="36705108">
      <w:pPr>
        <w:spacing w:line="360" w:lineRule="auto"/>
        <w:ind w:firstLine="420" w:firstLineChars="200"/>
        <w:jc w:val="both"/>
        <w:rPr>
          <w:color w:val="auto"/>
        </w:rPr>
      </w:pPr>
      <w:r>
        <w:rPr>
          <w:rFonts w:hint="eastAsia"/>
          <w:color w:val="auto"/>
          <w:szCs w:val="27"/>
        </w:rPr>
        <w:t>7.任何一方未经对方同意而单方面终止合同的，应向对方赔偿相当于本合同总价款</w:t>
      </w:r>
      <w:r>
        <w:rPr>
          <w:rFonts w:hint="eastAsia"/>
          <w:color w:val="auto"/>
          <w:szCs w:val="27"/>
          <w:u w:val="single"/>
        </w:rPr>
        <w:t xml:space="preserve">      %</w:t>
      </w:r>
      <w:r>
        <w:rPr>
          <w:rFonts w:hint="eastAsia"/>
          <w:color w:val="auto"/>
          <w:szCs w:val="27"/>
        </w:rPr>
        <w:t>违约金。</w:t>
      </w:r>
    </w:p>
    <w:p w14:paraId="5B2FCC45">
      <w:pPr>
        <w:spacing w:line="360" w:lineRule="auto"/>
        <w:ind w:firstLine="422" w:firstLineChars="200"/>
        <w:jc w:val="both"/>
        <w:rPr>
          <w:color w:val="auto"/>
        </w:rPr>
      </w:pPr>
      <w:r>
        <w:rPr>
          <w:b/>
          <w:bCs/>
          <w:color w:val="auto"/>
          <w:szCs w:val="27"/>
        </w:rPr>
        <w:t>第十</w:t>
      </w:r>
      <w:r>
        <w:rPr>
          <w:rFonts w:hint="eastAsia"/>
          <w:b/>
          <w:bCs/>
          <w:color w:val="auto"/>
          <w:szCs w:val="27"/>
        </w:rPr>
        <w:t>一</w:t>
      </w:r>
      <w:r>
        <w:rPr>
          <w:b/>
          <w:bCs/>
          <w:color w:val="auto"/>
          <w:szCs w:val="27"/>
        </w:rPr>
        <w:t>条</w:t>
      </w:r>
      <w:r>
        <w:rPr>
          <w:color w:val="auto"/>
          <w:szCs w:val="27"/>
        </w:rPr>
        <w:t>  甲方的违约责任</w:t>
      </w:r>
    </w:p>
    <w:p w14:paraId="3EE0F226">
      <w:pPr>
        <w:spacing w:line="360" w:lineRule="auto"/>
        <w:ind w:firstLine="420" w:firstLineChars="200"/>
        <w:jc w:val="both"/>
        <w:rPr>
          <w:color w:val="auto"/>
        </w:rPr>
      </w:pPr>
      <w:r>
        <w:rPr>
          <w:rFonts w:hint="eastAsia"/>
          <w:color w:val="auto"/>
          <w:szCs w:val="27"/>
        </w:rPr>
        <w:t>1.</w:t>
      </w:r>
      <w:r>
        <w:rPr>
          <w:color w:val="auto"/>
          <w:szCs w:val="27"/>
        </w:rPr>
        <w:t>甲方中途退货，应向乙方偿付退货部分货款</w:t>
      </w:r>
      <w:r>
        <w:rPr>
          <w:rFonts w:hint="eastAsia"/>
          <w:color w:val="auto"/>
          <w:szCs w:val="27"/>
          <w:u w:val="single"/>
        </w:rPr>
        <w:t xml:space="preserve">             </w:t>
      </w:r>
      <w:r>
        <w:rPr>
          <w:rFonts w:hint="eastAsia"/>
          <w:color w:val="auto"/>
          <w:szCs w:val="27"/>
        </w:rPr>
        <w:t>%</w:t>
      </w:r>
      <w:r>
        <w:rPr>
          <w:color w:val="auto"/>
          <w:szCs w:val="27"/>
        </w:rPr>
        <w:t>（通用产品的幅度为1%</w:t>
      </w:r>
      <w:r>
        <w:rPr>
          <w:rFonts w:hint="eastAsia"/>
          <w:color w:val="auto"/>
          <w:szCs w:val="27"/>
        </w:rPr>
        <w:t>~5%</w:t>
      </w:r>
      <w:r>
        <w:rPr>
          <w:color w:val="auto"/>
          <w:szCs w:val="27"/>
        </w:rPr>
        <w:t>专用产品的幅度为</w:t>
      </w:r>
      <w:r>
        <w:rPr>
          <w:rFonts w:hint="eastAsia"/>
          <w:color w:val="auto"/>
          <w:szCs w:val="27"/>
        </w:rPr>
        <w:t>15%-30%</w:t>
      </w:r>
      <w:r>
        <w:rPr>
          <w:color w:val="auto"/>
          <w:szCs w:val="27"/>
        </w:rPr>
        <w:t>）的违约金。</w:t>
      </w:r>
    </w:p>
    <w:p w14:paraId="704F096E">
      <w:pPr>
        <w:spacing w:line="360" w:lineRule="auto"/>
        <w:ind w:firstLine="420" w:firstLineChars="200"/>
        <w:jc w:val="both"/>
        <w:rPr>
          <w:color w:val="auto"/>
          <w:szCs w:val="27"/>
        </w:rPr>
      </w:pPr>
      <w:r>
        <w:rPr>
          <w:rFonts w:hint="eastAsia"/>
          <w:color w:val="auto"/>
          <w:szCs w:val="27"/>
        </w:rPr>
        <w:t>2.</w:t>
      </w:r>
      <w:r>
        <w:rPr>
          <w:color w:val="auto"/>
          <w:szCs w:val="27"/>
        </w:rPr>
        <w:t>甲方违反合同规定拒绝接货的，应当承担由此造成的损失。</w:t>
      </w:r>
    </w:p>
    <w:p w14:paraId="0F4E5D68">
      <w:pPr>
        <w:spacing w:line="360" w:lineRule="auto"/>
        <w:ind w:firstLine="420" w:firstLineChars="200"/>
        <w:jc w:val="both"/>
        <w:rPr>
          <w:color w:val="auto"/>
          <w:szCs w:val="27"/>
          <w:u w:val="single"/>
        </w:rPr>
      </w:pPr>
      <w:r>
        <w:rPr>
          <w:rFonts w:hint="eastAsia"/>
          <w:color w:val="auto"/>
          <w:szCs w:val="27"/>
        </w:rPr>
        <w:t>3.</w:t>
      </w:r>
      <w:r>
        <w:rPr>
          <w:color w:val="auto"/>
          <w:szCs w:val="27"/>
        </w:rPr>
        <w:t xml:space="preserve"> 甲方未按照合同约定支付货款，应向乙方</w:t>
      </w:r>
      <w:r>
        <w:rPr>
          <w:rFonts w:hint="eastAsia"/>
          <w:color w:val="auto"/>
          <w:szCs w:val="27"/>
        </w:rPr>
        <w:t>违约金</w:t>
      </w:r>
      <w:r>
        <w:rPr>
          <w:rFonts w:hint="eastAsia"/>
          <w:color w:val="auto"/>
          <w:szCs w:val="27"/>
          <w:u w:val="single"/>
        </w:rPr>
        <w:t xml:space="preserve">   </w:t>
      </w:r>
      <w:r>
        <w:rPr>
          <w:rFonts w:hint="eastAsia"/>
          <w:color w:val="auto"/>
          <w:szCs w:val="27"/>
        </w:rPr>
        <w:t>元。</w:t>
      </w:r>
    </w:p>
    <w:p w14:paraId="7E99B228">
      <w:pPr>
        <w:spacing w:line="360" w:lineRule="auto"/>
        <w:ind w:firstLine="422" w:firstLineChars="200"/>
        <w:jc w:val="both"/>
        <w:rPr>
          <w:b/>
          <w:color w:val="auto"/>
        </w:rPr>
      </w:pPr>
      <w:r>
        <w:rPr>
          <w:b/>
          <w:bCs/>
          <w:color w:val="auto"/>
          <w:szCs w:val="27"/>
        </w:rPr>
        <w:t>第十</w:t>
      </w:r>
      <w:r>
        <w:rPr>
          <w:rFonts w:hint="eastAsia"/>
          <w:b/>
          <w:bCs/>
          <w:color w:val="auto"/>
          <w:szCs w:val="27"/>
        </w:rPr>
        <w:t>二</w:t>
      </w:r>
      <w:r>
        <w:rPr>
          <w:b/>
          <w:bCs/>
          <w:color w:val="auto"/>
          <w:szCs w:val="27"/>
        </w:rPr>
        <w:t>条 </w:t>
      </w:r>
      <w:r>
        <w:rPr>
          <w:color w:val="auto"/>
          <w:szCs w:val="27"/>
        </w:rPr>
        <w:t xml:space="preserve"> 不可抗力</w:t>
      </w:r>
    </w:p>
    <w:p w14:paraId="1ADF4739">
      <w:pPr>
        <w:spacing w:line="360" w:lineRule="auto"/>
        <w:ind w:firstLine="420" w:firstLineChars="200"/>
        <w:jc w:val="both"/>
        <w:rPr>
          <w:color w:val="auto"/>
        </w:rPr>
      </w:pPr>
      <w:r>
        <w:rPr>
          <w:rFonts w:hint="eastAsia"/>
          <w:color w:val="auto"/>
        </w:rPr>
        <w:t>1</w:t>
      </w:r>
      <w:r>
        <w:rPr>
          <w:rFonts w:hint="eastAsia"/>
          <w:color w:val="auto"/>
          <w:szCs w:val="27"/>
        </w:rPr>
        <w:t>.</w:t>
      </w:r>
      <w:r>
        <w:rPr>
          <w:rFonts w:hint="eastAsia"/>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F20A38B">
      <w:pPr>
        <w:spacing w:line="360" w:lineRule="auto"/>
        <w:ind w:firstLine="420" w:firstLineChars="200"/>
        <w:jc w:val="both"/>
        <w:rPr>
          <w:color w:val="auto"/>
          <w:szCs w:val="27"/>
        </w:rPr>
      </w:pPr>
      <w:r>
        <w:rPr>
          <w:rFonts w:hint="eastAsia"/>
          <w:color w:val="auto"/>
        </w:rPr>
        <w:t>2</w:t>
      </w:r>
      <w:r>
        <w:rPr>
          <w:rFonts w:hint="eastAsia"/>
          <w:color w:val="auto"/>
          <w:szCs w:val="27"/>
        </w:rPr>
        <w:t>.</w:t>
      </w:r>
      <w:r>
        <w:rPr>
          <w:color w:val="auto"/>
          <w:szCs w:val="27"/>
        </w:rPr>
        <w:t>甲乙双方的任何一方由于不可抗力的原因不能履行合同时，应及时向对方通报不能履行或不能完全履行的理由，在取得有关</w:t>
      </w:r>
      <w:r>
        <w:rPr>
          <w:rFonts w:hint="eastAsia"/>
          <w:color w:val="auto"/>
          <w:szCs w:val="27"/>
        </w:rPr>
        <w:t>部门</w:t>
      </w:r>
      <w:r>
        <w:rPr>
          <w:color w:val="auto"/>
          <w:szCs w:val="27"/>
        </w:rPr>
        <w:t>证明以后，允许延期履行、部分履行或者不履行合同，并根据情况可部分或全部免予承担违约责任。</w:t>
      </w:r>
    </w:p>
    <w:p w14:paraId="261680BF">
      <w:pPr>
        <w:spacing w:line="360" w:lineRule="auto"/>
        <w:ind w:firstLine="422" w:firstLineChars="200"/>
        <w:jc w:val="both"/>
        <w:rPr>
          <w:b/>
          <w:bCs/>
          <w:color w:val="auto"/>
          <w:szCs w:val="27"/>
        </w:rPr>
      </w:pPr>
      <w:r>
        <w:rPr>
          <w:b/>
          <w:bCs/>
          <w:color w:val="auto"/>
          <w:szCs w:val="27"/>
        </w:rPr>
        <w:t>第十</w:t>
      </w:r>
      <w:r>
        <w:rPr>
          <w:rFonts w:hint="eastAsia"/>
          <w:b/>
          <w:bCs/>
          <w:color w:val="auto"/>
          <w:szCs w:val="27"/>
        </w:rPr>
        <w:t>三</w:t>
      </w:r>
      <w:r>
        <w:rPr>
          <w:b/>
          <w:bCs/>
          <w:color w:val="auto"/>
          <w:szCs w:val="27"/>
        </w:rPr>
        <w:t>条</w:t>
      </w:r>
      <w:r>
        <w:rPr>
          <w:rFonts w:hint="eastAsia"/>
          <w:b/>
          <w:bCs/>
          <w:color w:val="auto"/>
          <w:szCs w:val="27"/>
        </w:rPr>
        <w:t xml:space="preserve">  </w:t>
      </w:r>
      <w:r>
        <w:rPr>
          <w:rFonts w:hint="eastAsia"/>
          <w:color w:val="auto"/>
          <w:szCs w:val="27"/>
        </w:rPr>
        <w:t>履约（或质量）保证金</w:t>
      </w:r>
    </w:p>
    <w:p w14:paraId="154871CB">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1.本项目不收取履约保证金。确需收取履约保证金的，甲方不得要求乙方以现款的形式提供。乙方提供的履约保证金按规定格式以银行保函形式提供，与此有关的费用由卖方承担。</w:t>
      </w:r>
    </w:p>
    <w:p w14:paraId="49C05C40">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2.若确需质量保证金的，质量保证金不得超过合同总价款的</w:t>
      </w:r>
      <w:r>
        <w:rPr>
          <w:rFonts w:hint="eastAsia" w:ascii="Times New Roman" w:hAnsi="Times New Roman" w:eastAsia="宋体" w:cs="Times New Roman"/>
          <w:color w:val="auto"/>
          <w:lang w:val="en-US"/>
        </w:rPr>
        <w:t>5%。</w:t>
      </w:r>
    </w:p>
    <w:p w14:paraId="167DA4C6">
      <w:pPr>
        <w:spacing w:line="360" w:lineRule="auto"/>
        <w:ind w:firstLine="420"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3.如乙方未能履行其合同规定的任何义务，甲方有权从履约保证金中取得补偿。</w:t>
      </w:r>
    </w:p>
    <w:p w14:paraId="5490496B">
      <w:pPr>
        <w:spacing w:line="360" w:lineRule="auto"/>
        <w:ind w:firstLine="422" w:firstLineChars="200"/>
        <w:jc w:val="both"/>
        <w:rPr>
          <w:b/>
          <w:color w:val="auto"/>
        </w:rPr>
      </w:pPr>
      <w:r>
        <w:rPr>
          <w:b/>
          <w:bCs/>
          <w:color w:val="auto"/>
          <w:szCs w:val="27"/>
        </w:rPr>
        <w:t>第十</w:t>
      </w:r>
      <w:r>
        <w:rPr>
          <w:rFonts w:hint="eastAsia"/>
          <w:b/>
          <w:bCs/>
          <w:color w:val="auto"/>
          <w:szCs w:val="27"/>
        </w:rPr>
        <w:t>四</w:t>
      </w:r>
      <w:r>
        <w:rPr>
          <w:b/>
          <w:bCs/>
          <w:color w:val="auto"/>
          <w:szCs w:val="27"/>
        </w:rPr>
        <w:t>条</w:t>
      </w:r>
      <w:r>
        <w:rPr>
          <w:rFonts w:hint="eastAsia"/>
          <w:b/>
          <w:bCs/>
          <w:color w:val="auto"/>
          <w:szCs w:val="27"/>
        </w:rPr>
        <w:t xml:space="preserve"> </w:t>
      </w:r>
      <w:r>
        <w:rPr>
          <w:rFonts w:hint="eastAsia"/>
          <w:bCs/>
          <w:color w:val="auto"/>
        </w:rPr>
        <w:t>转让与分包</w:t>
      </w:r>
    </w:p>
    <w:p w14:paraId="7693FF2F">
      <w:pPr>
        <w:spacing w:line="360" w:lineRule="auto"/>
        <w:ind w:firstLine="420" w:firstLineChars="200"/>
        <w:jc w:val="both"/>
        <w:rPr>
          <w:color w:val="auto"/>
        </w:rPr>
      </w:pPr>
      <w:r>
        <w:rPr>
          <w:rFonts w:hint="eastAsia"/>
          <w:color w:val="auto"/>
        </w:rPr>
        <w:t>1</w:t>
      </w:r>
      <w:r>
        <w:rPr>
          <w:rFonts w:hint="eastAsia"/>
          <w:color w:val="auto"/>
          <w:szCs w:val="27"/>
        </w:rPr>
        <w:t>.</w:t>
      </w:r>
      <w:r>
        <w:rPr>
          <w:rFonts w:hint="eastAsia"/>
          <w:color w:val="auto"/>
        </w:rPr>
        <w:t>除甲方事先书面同意外，乙方不得部分转让或全部转让其应履行的合同义务。</w:t>
      </w:r>
    </w:p>
    <w:p w14:paraId="584D2175">
      <w:pPr>
        <w:spacing w:line="360" w:lineRule="auto"/>
        <w:ind w:firstLine="420" w:firstLineChars="200"/>
        <w:jc w:val="both"/>
        <w:rPr>
          <w:color w:val="auto"/>
        </w:rPr>
      </w:pPr>
      <w:r>
        <w:rPr>
          <w:rFonts w:hint="eastAsia"/>
          <w:color w:val="auto"/>
        </w:rPr>
        <w:t>2</w:t>
      </w:r>
      <w:r>
        <w:rPr>
          <w:rFonts w:hint="eastAsia"/>
          <w:color w:val="auto"/>
          <w:szCs w:val="27"/>
        </w:rPr>
        <w:t>.</w:t>
      </w:r>
      <w:r>
        <w:rPr>
          <w:rFonts w:hint="eastAsia"/>
          <w:color w:val="auto"/>
        </w:rPr>
        <w:t>乙方应在投标文件中或以其他书面形式对甲方确认本合同项下所授予的所有分包合同。但该确认不解除乙方承担的本合同下的任何责任或义务。意即在本合同项下，乙方对甲方负总责。</w:t>
      </w:r>
    </w:p>
    <w:p w14:paraId="512C5364">
      <w:pPr>
        <w:spacing w:line="360" w:lineRule="auto"/>
        <w:ind w:firstLine="422" w:firstLineChars="200"/>
        <w:jc w:val="both"/>
        <w:rPr>
          <w:b/>
          <w:color w:val="auto"/>
        </w:rPr>
      </w:pPr>
      <w:r>
        <w:rPr>
          <w:b/>
          <w:bCs/>
          <w:color w:val="auto"/>
          <w:szCs w:val="27"/>
        </w:rPr>
        <w:t>第十</w:t>
      </w:r>
      <w:r>
        <w:rPr>
          <w:rFonts w:hint="eastAsia"/>
          <w:b/>
          <w:bCs/>
          <w:color w:val="auto"/>
          <w:szCs w:val="27"/>
        </w:rPr>
        <w:t>五</w:t>
      </w:r>
      <w:r>
        <w:rPr>
          <w:b/>
          <w:bCs/>
          <w:color w:val="auto"/>
          <w:szCs w:val="27"/>
        </w:rPr>
        <w:t>条</w:t>
      </w:r>
      <w:r>
        <w:rPr>
          <w:rFonts w:hint="eastAsia"/>
          <w:b/>
          <w:bCs/>
          <w:color w:val="auto"/>
          <w:szCs w:val="27"/>
        </w:rPr>
        <w:t xml:space="preserve"> </w:t>
      </w:r>
      <w:r>
        <w:rPr>
          <w:rFonts w:hint="eastAsia"/>
          <w:bCs/>
          <w:color w:val="auto"/>
        </w:rPr>
        <w:t>合同文件及资料的使用</w:t>
      </w:r>
    </w:p>
    <w:p w14:paraId="2FA3F9AB">
      <w:pPr>
        <w:spacing w:line="360" w:lineRule="auto"/>
        <w:ind w:firstLine="420" w:firstLineChars="200"/>
        <w:jc w:val="both"/>
        <w:rPr>
          <w:color w:val="auto"/>
        </w:rPr>
      </w:pPr>
      <w:r>
        <w:rPr>
          <w:rFonts w:hint="eastAsia"/>
          <w:color w:val="auto"/>
        </w:rPr>
        <w:t>1</w:t>
      </w:r>
      <w:r>
        <w:rPr>
          <w:rFonts w:hint="eastAsia"/>
          <w:color w:val="auto"/>
          <w:szCs w:val="27"/>
        </w:rPr>
        <w:t>.</w:t>
      </w:r>
      <w:r>
        <w:rPr>
          <w:rFonts w:hint="eastAsia"/>
          <w:color w:val="auto"/>
        </w:rPr>
        <w:t>乙方在未经甲方同意的情况下，不得将合同、合同中的规定、有关计划、图纸、样本或甲方为上述内容向乙方提供的资料透露给任何人。</w:t>
      </w:r>
    </w:p>
    <w:p w14:paraId="4FDE85DB">
      <w:pPr>
        <w:spacing w:line="360" w:lineRule="auto"/>
        <w:ind w:firstLine="420" w:firstLineChars="200"/>
        <w:jc w:val="both"/>
        <w:rPr>
          <w:color w:val="auto"/>
        </w:rPr>
      </w:pPr>
      <w:r>
        <w:rPr>
          <w:rFonts w:hint="eastAsia"/>
          <w:color w:val="auto"/>
        </w:rPr>
        <w:t>2</w:t>
      </w:r>
      <w:r>
        <w:rPr>
          <w:rFonts w:hint="eastAsia"/>
          <w:color w:val="auto"/>
          <w:szCs w:val="27"/>
        </w:rPr>
        <w:t>.</w:t>
      </w:r>
      <w:r>
        <w:rPr>
          <w:rFonts w:hint="eastAsia"/>
          <w:color w:val="auto"/>
        </w:rPr>
        <w:t>除非执行合同需要，在事先未得到甲方同意的情况下，乙方不得使用前款所列的任何文件和资料。</w:t>
      </w:r>
    </w:p>
    <w:p w14:paraId="7003922A">
      <w:pPr>
        <w:spacing w:line="360" w:lineRule="auto"/>
        <w:ind w:firstLine="422" w:firstLineChars="200"/>
        <w:jc w:val="both"/>
        <w:rPr>
          <w:color w:val="auto"/>
          <w:szCs w:val="27"/>
        </w:rPr>
      </w:pPr>
      <w:r>
        <w:rPr>
          <w:b/>
          <w:bCs/>
          <w:color w:val="auto"/>
          <w:szCs w:val="27"/>
        </w:rPr>
        <w:t>第十</w:t>
      </w:r>
      <w:r>
        <w:rPr>
          <w:rFonts w:hint="eastAsia"/>
          <w:b/>
          <w:bCs/>
          <w:color w:val="auto"/>
          <w:szCs w:val="27"/>
        </w:rPr>
        <w:t>六</w:t>
      </w:r>
      <w:r>
        <w:rPr>
          <w:b/>
          <w:bCs/>
          <w:color w:val="auto"/>
          <w:szCs w:val="27"/>
        </w:rPr>
        <w:t>条 </w:t>
      </w:r>
      <w:r>
        <w:rPr>
          <w:rFonts w:hint="eastAsia"/>
          <w:color w:val="auto"/>
          <w:szCs w:val="27"/>
        </w:rPr>
        <w:t>合同纠纷调处</w:t>
      </w:r>
    </w:p>
    <w:p w14:paraId="530BD677">
      <w:pPr>
        <w:spacing w:line="360" w:lineRule="auto"/>
        <w:ind w:firstLine="420" w:firstLineChars="200"/>
        <w:jc w:val="both"/>
        <w:rPr>
          <w:color w:val="auto"/>
        </w:rPr>
      </w:pPr>
      <w:r>
        <w:rPr>
          <w:rFonts w:hint="eastAsia"/>
          <w:color w:val="auto"/>
        </w:rPr>
        <w:t>1</w:t>
      </w:r>
      <w:r>
        <w:rPr>
          <w:rFonts w:hint="eastAsia"/>
          <w:color w:val="auto"/>
          <w:szCs w:val="27"/>
        </w:rPr>
        <w:t>.</w:t>
      </w:r>
      <w:r>
        <w:rPr>
          <w:color w:val="auto"/>
          <w:szCs w:val="27"/>
        </w:rPr>
        <w:t>按本合同规定应该偿付的违约金、赔偿金、保管保养费和各种经济损失，应当在明确责任后</w:t>
      </w:r>
      <w:r>
        <w:rPr>
          <w:rFonts w:hint="eastAsia"/>
          <w:color w:val="auto"/>
          <w:szCs w:val="27"/>
        </w:rPr>
        <w:t>10</w:t>
      </w:r>
      <w:r>
        <w:rPr>
          <w:color w:val="auto"/>
          <w:szCs w:val="27"/>
        </w:rPr>
        <w:t>天内，按银行规定的结算办法付清，否则按逾期付款处理。但任何一方不得自行扣发货物或扣付货款来充抵。</w:t>
      </w:r>
    </w:p>
    <w:p w14:paraId="56D2EA09">
      <w:pPr>
        <w:spacing w:line="360" w:lineRule="auto"/>
        <w:ind w:firstLine="420" w:firstLineChars="200"/>
        <w:jc w:val="both"/>
        <w:rPr>
          <w:color w:val="auto"/>
          <w:szCs w:val="27"/>
        </w:rPr>
      </w:pPr>
      <w:r>
        <w:rPr>
          <w:rFonts w:hint="eastAsia"/>
          <w:color w:val="auto"/>
        </w:rPr>
        <w:t>2</w:t>
      </w:r>
      <w:r>
        <w:rPr>
          <w:rFonts w:hint="eastAsia"/>
          <w:color w:val="auto"/>
          <w:szCs w:val="27"/>
        </w:rPr>
        <w:t>.</w:t>
      </w:r>
      <w:r>
        <w:rPr>
          <w:color w:val="auto"/>
          <w:szCs w:val="27"/>
        </w:rPr>
        <w:t>本合同如发生纠纷，当事人双方应当及时协商解决，协商不成时，任何一方均可请</w:t>
      </w:r>
      <w:r>
        <w:rPr>
          <w:rFonts w:hint="eastAsia"/>
          <w:color w:val="auto"/>
          <w:szCs w:val="27"/>
        </w:rPr>
        <w:t>本项目政府采购监督管理部门</w:t>
      </w:r>
      <w:r>
        <w:rPr>
          <w:color w:val="auto"/>
          <w:szCs w:val="27"/>
        </w:rPr>
        <w:t>调解，调解不成，按以下第（</w:t>
      </w:r>
      <w:r>
        <w:rPr>
          <w:rFonts w:hint="eastAsia"/>
          <w:color w:val="auto"/>
          <w:szCs w:val="27"/>
        </w:rPr>
        <w:t xml:space="preserve"> </w:t>
      </w:r>
      <w:r>
        <w:rPr>
          <w:color w:val="auto"/>
          <w:szCs w:val="27"/>
        </w:rPr>
        <w:t>）项方式处理：</w:t>
      </w:r>
      <w:r>
        <w:rPr>
          <w:rFonts w:hint="eastAsia"/>
          <w:color w:val="auto"/>
          <w:szCs w:val="27"/>
        </w:rPr>
        <w:t>①根据《中华人民共和国仲裁法》的规定向</w:t>
      </w:r>
      <w:r>
        <w:rPr>
          <w:rFonts w:hint="eastAsia"/>
          <w:b/>
          <w:bCs/>
          <w:color w:val="auto"/>
          <w:szCs w:val="27"/>
          <w:u w:val="single"/>
        </w:rPr>
        <w:t>周口仲裁委员会</w:t>
      </w:r>
      <w:r>
        <w:rPr>
          <w:rFonts w:hint="eastAsia"/>
          <w:color w:val="auto"/>
          <w:szCs w:val="27"/>
        </w:rPr>
        <w:t>申请仲裁。②</w:t>
      </w:r>
      <w:r>
        <w:rPr>
          <w:color w:val="auto"/>
          <w:szCs w:val="27"/>
        </w:rPr>
        <w:t>向</w:t>
      </w:r>
      <w:r>
        <w:rPr>
          <w:rFonts w:hint="eastAsia"/>
          <w:color w:val="auto"/>
        </w:rPr>
        <w:t>合同签订地有级别管辖权的</w:t>
      </w:r>
      <w:r>
        <w:rPr>
          <w:color w:val="auto"/>
          <w:szCs w:val="27"/>
        </w:rPr>
        <w:t>人民法院起诉。</w:t>
      </w:r>
    </w:p>
    <w:p w14:paraId="2242A0E6">
      <w:pPr>
        <w:pStyle w:val="37"/>
        <w:spacing w:beforeLines="0" w:afterLines="0"/>
        <w:ind w:left="0" w:firstLine="420" w:firstLineChars="200"/>
        <w:jc w:val="both"/>
        <w:rPr>
          <w:color w:val="auto"/>
          <w:lang w:val="en-US"/>
        </w:rPr>
      </w:pPr>
      <w:r>
        <w:rPr>
          <w:rFonts w:hint="eastAsia"/>
          <w:color w:val="auto"/>
          <w:szCs w:val="27"/>
          <w:lang w:val="en-US"/>
        </w:rPr>
        <w:t>3、甲、乙双方均有权利向本项目具有监管职能的政府采购监督管理部门举报反映对方在合同履约中的违法违纪行为。</w:t>
      </w:r>
    </w:p>
    <w:p w14:paraId="07F1F3D6">
      <w:pPr>
        <w:spacing w:line="360" w:lineRule="auto"/>
        <w:ind w:firstLine="422" w:firstLineChars="200"/>
        <w:jc w:val="both"/>
        <w:rPr>
          <w:color w:val="auto"/>
          <w:szCs w:val="27"/>
        </w:rPr>
      </w:pPr>
      <w:r>
        <w:rPr>
          <w:rFonts w:hint="eastAsia"/>
          <w:b/>
          <w:bCs/>
          <w:color w:val="auto"/>
          <w:szCs w:val="27"/>
        </w:rPr>
        <w:t xml:space="preserve">第十七条  </w:t>
      </w:r>
      <w:r>
        <w:rPr>
          <w:rFonts w:hint="eastAsia"/>
          <w:color w:val="auto"/>
          <w:szCs w:val="27"/>
        </w:rPr>
        <w:t>下列关于周口市公共资源交易中心政府采购代理机构名称</w:t>
      </w:r>
      <w:r>
        <w:rPr>
          <w:rFonts w:hint="eastAsia"/>
          <w:color w:val="auto"/>
          <w:szCs w:val="27"/>
          <w:u w:val="single"/>
        </w:rPr>
        <w:t>某项目（项目编号：某编号）</w:t>
      </w:r>
      <w:r>
        <w:rPr>
          <w:rFonts w:hint="eastAsia"/>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0C47E2D">
      <w:pPr>
        <w:spacing w:line="360" w:lineRule="auto"/>
        <w:ind w:firstLine="420" w:firstLineChars="200"/>
        <w:jc w:val="both"/>
        <w:rPr>
          <w:color w:val="auto"/>
          <w:szCs w:val="27"/>
        </w:rPr>
      </w:pPr>
      <w:r>
        <w:rPr>
          <w:rFonts w:hint="eastAsia"/>
          <w:color w:val="auto"/>
          <w:szCs w:val="27"/>
        </w:rPr>
        <w:t xml:space="preserve">    </w:t>
      </w:r>
      <w:r>
        <w:rPr>
          <w:rFonts w:hint="eastAsia"/>
          <w:color w:val="auto"/>
        </w:rPr>
        <w:t>本合同一式</w:t>
      </w:r>
      <w:r>
        <w:rPr>
          <w:rFonts w:hint="eastAsia"/>
          <w:color w:val="auto"/>
          <w:u w:val="single"/>
        </w:rPr>
        <w:t xml:space="preserve">   </w:t>
      </w:r>
      <w:r>
        <w:rPr>
          <w:rFonts w:hint="eastAsia"/>
          <w:color w:val="auto"/>
        </w:rPr>
        <w:t>份，甲乙双方各执</w:t>
      </w:r>
      <w:r>
        <w:rPr>
          <w:rFonts w:hint="eastAsia"/>
          <w:color w:val="auto"/>
          <w:u w:val="single"/>
        </w:rPr>
        <w:t xml:space="preserve">   </w:t>
      </w:r>
      <w:r>
        <w:rPr>
          <w:rFonts w:hint="eastAsia"/>
          <w:color w:val="auto"/>
        </w:rPr>
        <w:t>份，自双方当事人签字盖章之日起生效。</w:t>
      </w:r>
    </w:p>
    <w:p w14:paraId="1D6E0C1E">
      <w:pPr>
        <w:spacing w:line="360" w:lineRule="auto"/>
        <w:ind w:firstLine="420" w:firstLineChars="200"/>
        <w:jc w:val="both"/>
        <w:rPr>
          <w:color w:val="auto"/>
          <w:szCs w:val="27"/>
        </w:rPr>
      </w:pPr>
    </w:p>
    <w:p w14:paraId="16CDA6B0">
      <w:pPr>
        <w:spacing w:line="360" w:lineRule="auto"/>
        <w:ind w:firstLine="420" w:firstLineChars="200"/>
        <w:jc w:val="both"/>
        <w:rPr>
          <w:color w:val="auto"/>
          <w:szCs w:val="27"/>
        </w:rPr>
      </w:pPr>
    </w:p>
    <w:p w14:paraId="5D81E95D">
      <w:pPr>
        <w:spacing w:line="360" w:lineRule="auto"/>
        <w:ind w:firstLine="420" w:firstLineChars="200"/>
        <w:jc w:val="both"/>
        <w:rPr>
          <w:color w:val="auto"/>
          <w:szCs w:val="27"/>
        </w:rPr>
      </w:pPr>
      <w:r>
        <w:rPr>
          <w:rFonts w:hint="eastAsia"/>
          <w:color w:val="auto"/>
          <w:szCs w:val="27"/>
        </w:rPr>
        <w:t>采购人</w:t>
      </w:r>
      <w:r>
        <w:rPr>
          <w:color w:val="auto"/>
          <w:szCs w:val="27"/>
        </w:rPr>
        <w:t>（甲方）：</w:t>
      </w:r>
      <w:r>
        <w:rPr>
          <w:rFonts w:hint="eastAsia"/>
          <w:color w:val="auto"/>
          <w:szCs w:val="27"/>
        </w:rPr>
        <w:t xml:space="preserve">    </w:t>
      </w:r>
      <w:r>
        <w:rPr>
          <w:color w:val="auto"/>
          <w:szCs w:val="27"/>
        </w:rPr>
        <w:t>（公章）</w:t>
      </w:r>
      <w:r>
        <w:rPr>
          <w:rFonts w:hint="eastAsia"/>
          <w:color w:val="auto"/>
          <w:szCs w:val="27"/>
        </w:rPr>
        <w:t xml:space="preserve">        </w:t>
      </w:r>
      <w:r>
        <w:rPr>
          <w:color w:val="auto"/>
          <w:szCs w:val="27"/>
        </w:rPr>
        <w:t> </w:t>
      </w:r>
      <w:r>
        <w:rPr>
          <w:rFonts w:hint="eastAsia"/>
          <w:color w:val="auto"/>
          <w:szCs w:val="27"/>
        </w:rPr>
        <w:t xml:space="preserve">  </w:t>
      </w:r>
      <w:r>
        <w:rPr>
          <w:color w:val="auto"/>
          <w:szCs w:val="27"/>
        </w:rPr>
        <w:t>供货</w:t>
      </w:r>
      <w:r>
        <w:rPr>
          <w:rFonts w:hint="eastAsia"/>
          <w:color w:val="auto"/>
          <w:szCs w:val="27"/>
        </w:rPr>
        <w:t>人</w:t>
      </w:r>
      <w:r>
        <w:rPr>
          <w:color w:val="auto"/>
          <w:szCs w:val="27"/>
        </w:rPr>
        <w:t>（乙方）：</w:t>
      </w:r>
      <w:r>
        <w:rPr>
          <w:rFonts w:hint="eastAsia"/>
          <w:color w:val="auto"/>
          <w:szCs w:val="27"/>
        </w:rPr>
        <w:t xml:space="preserve">     </w:t>
      </w:r>
      <w:r>
        <w:rPr>
          <w:color w:val="auto"/>
          <w:szCs w:val="27"/>
        </w:rPr>
        <w:t>（公章）</w:t>
      </w:r>
      <w:r>
        <w:rPr>
          <w:rFonts w:hint="eastAsia"/>
          <w:color w:val="auto"/>
          <w:szCs w:val="27"/>
        </w:rPr>
        <w:t xml:space="preserve">  </w:t>
      </w:r>
    </w:p>
    <w:p w14:paraId="0F5705B2">
      <w:pPr>
        <w:spacing w:line="360" w:lineRule="auto"/>
        <w:ind w:firstLine="420" w:firstLineChars="200"/>
        <w:jc w:val="both"/>
        <w:rPr>
          <w:color w:val="auto"/>
        </w:rPr>
      </w:pPr>
      <w:r>
        <w:rPr>
          <w:rFonts w:hint="eastAsia"/>
          <w:color w:val="auto"/>
          <w:szCs w:val="27"/>
        </w:rPr>
        <w:t xml:space="preserve">地址：                               </w:t>
      </w:r>
      <w:r>
        <w:rPr>
          <w:color w:val="auto"/>
          <w:szCs w:val="27"/>
        </w:rPr>
        <w:t>地址：</w:t>
      </w:r>
    </w:p>
    <w:p w14:paraId="434673A1">
      <w:pPr>
        <w:spacing w:line="360" w:lineRule="auto"/>
        <w:ind w:firstLine="420" w:firstLineChars="200"/>
        <w:jc w:val="both"/>
        <w:rPr>
          <w:color w:val="auto"/>
          <w:szCs w:val="27"/>
        </w:rPr>
      </w:pPr>
      <w:r>
        <w:rPr>
          <w:color w:val="auto"/>
          <w:szCs w:val="27"/>
        </w:rPr>
        <w:t>法定代表人：</w:t>
      </w:r>
      <w:r>
        <w:rPr>
          <w:rFonts w:hint="eastAsia"/>
          <w:color w:val="auto"/>
          <w:szCs w:val="27"/>
        </w:rPr>
        <w:t xml:space="preserve">                         </w:t>
      </w:r>
      <w:r>
        <w:rPr>
          <w:color w:val="auto"/>
          <w:szCs w:val="27"/>
        </w:rPr>
        <w:t>法定代表人：</w:t>
      </w:r>
    </w:p>
    <w:p w14:paraId="0D07F94C">
      <w:pPr>
        <w:spacing w:line="360" w:lineRule="auto"/>
        <w:ind w:firstLine="420" w:firstLineChars="200"/>
        <w:jc w:val="both"/>
        <w:rPr>
          <w:color w:val="auto"/>
          <w:u w:val="single"/>
        </w:rPr>
      </w:pPr>
      <w:r>
        <w:rPr>
          <w:rFonts w:hint="eastAsia"/>
          <w:color w:val="auto"/>
          <w:szCs w:val="27"/>
        </w:rPr>
        <w:t>委托代理人：                         委托代理人：</w:t>
      </w:r>
    </w:p>
    <w:p w14:paraId="027710C0">
      <w:pPr>
        <w:spacing w:line="360" w:lineRule="auto"/>
        <w:ind w:firstLine="420" w:firstLineChars="200"/>
        <w:jc w:val="both"/>
        <w:rPr>
          <w:color w:val="auto"/>
        </w:rPr>
      </w:pPr>
      <w:r>
        <w:rPr>
          <w:rFonts w:hint="eastAsia"/>
          <w:color w:val="auto"/>
        </w:rPr>
        <w:t>电话：                               电话：</w:t>
      </w:r>
    </w:p>
    <w:p w14:paraId="4CC7AD79">
      <w:pPr>
        <w:spacing w:line="360" w:lineRule="auto"/>
        <w:ind w:firstLine="420" w:firstLineChars="200"/>
        <w:jc w:val="both"/>
        <w:rPr>
          <w:color w:val="auto"/>
          <w:szCs w:val="27"/>
        </w:rPr>
      </w:pPr>
      <w:r>
        <w:rPr>
          <w:color w:val="auto"/>
          <w:szCs w:val="27"/>
        </w:rPr>
        <w:t>开户银行：</w:t>
      </w:r>
      <w:r>
        <w:rPr>
          <w:rFonts w:hint="eastAsia"/>
          <w:color w:val="auto"/>
          <w:szCs w:val="27"/>
        </w:rPr>
        <w:t xml:space="preserve">                           </w:t>
      </w:r>
      <w:r>
        <w:rPr>
          <w:color w:val="auto"/>
          <w:szCs w:val="27"/>
        </w:rPr>
        <w:t>开户银行：</w:t>
      </w:r>
    </w:p>
    <w:p w14:paraId="2D7BE8B2">
      <w:pPr>
        <w:spacing w:line="360" w:lineRule="auto"/>
        <w:ind w:firstLine="420" w:firstLineChars="200"/>
        <w:jc w:val="both"/>
        <w:rPr>
          <w:color w:val="auto"/>
        </w:rPr>
      </w:pPr>
      <w:r>
        <w:rPr>
          <w:rFonts w:hint="eastAsia"/>
          <w:color w:val="auto"/>
          <w:szCs w:val="27"/>
        </w:rPr>
        <w:t>账号</w:t>
      </w:r>
      <w:r>
        <w:rPr>
          <w:color w:val="auto"/>
          <w:szCs w:val="27"/>
        </w:rPr>
        <w:t>：</w:t>
      </w:r>
      <w:r>
        <w:rPr>
          <w:rFonts w:hint="eastAsia"/>
          <w:color w:val="auto"/>
          <w:szCs w:val="27"/>
        </w:rPr>
        <w:t xml:space="preserve">                               账号</w:t>
      </w:r>
      <w:r>
        <w:rPr>
          <w:color w:val="auto"/>
          <w:szCs w:val="27"/>
        </w:rPr>
        <w:t>：</w:t>
      </w:r>
    </w:p>
    <w:p w14:paraId="2489887A">
      <w:pPr>
        <w:spacing w:line="640" w:lineRule="exact"/>
        <w:ind w:firstLine="1575" w:firstLineChars="750"/>
        <w:jc w:val="both"/>
        <w:rPr>
          <w:rFonts w:hint="eastAsia"/>
          <w:color w:val="auto"/>
          <w:szCs w:val="27"/>
          <w:u w:val="single"/>
        </w:rPr>
      </w:pPr>
    </w:p>
    <w:p w14:paraId="065BF138">
      <w:pPr>
        <w:pStyle w:val="17"/>
        <w:rPr>
          <w:rFonts w:hint="eastAsia"/>
          <w:color w:val="auto"/>
        </w:rPr>
      </w:pPr>
      <w:r>
        <w:rPr>
          <w:color w:val="auto"/>
          <w:szCs w:val="27"/>
          <w:u w:val="single"/>
        </w:rPr>
        <w:t>   </w:t>
      </w:r>
      <w:r>
        <w:rPr>
          <w:rFonts w:hint="eastAsia"/>
          <w:color w:val="auto"/>
          <w:szCs w:val="27"/>
          <w:u w:val="single"/>
        </w:rPr>
        <w:t xml:space="preserve">   </w:t>
      </w:r>
      <w:r>
        <w:rPr>
          <w:color w:val="auto"/>
          <w:szCs w:val="27"/>
        </w:rPr>
        <w:t>年</w:t>
      </w:r>
      <w:r>
        <w:rPr>
          <w:color w:val="auto"/>
          <w:szCs w:val="27"/>
          <w:u w:val="single"/>
        </w:rPr>
        <w:t xml:space="preserve">    </w:t>
      </w:r>
      <w:r>
        <w:rPr>
          <w:color w:val="auto"/>
          <w:szCs w:val="27"/>
        </w:rPr>
        <w:t>月</w:t>
      </w:r>
      <w:r>
        <w:rPr>
          <w:color w:val="auto"/>
          <w:szCs w:val="27"/>
          <w:u w:val="single"/>
        </w:rPr>
        <w:t xml:space="preserve">    </w:t>
      </w:r>
      <w:r>
        <w:rPr>
          <w:color w:val="auto"/>
          <w:szCs w:val="27"/>
        </w:rPr>
        <w:t>日</w:t>
      </w:r>
      <w:r>
        <w:rPr>
          <w:rFonts w:hint="eastAsia"/>
          <w:color w:val="auto"/>
          <w:szCs w:val="27"/>
        </w:rPr>
        <w:t xml:space="preserve">           </w:t>
      </w:r>
      <w:r>
        <w:rPr>
          <w:rFonts w:hint="eastAsia"/>
          <w:color w:val="auto"/>
          <w:szCs w:val="27"/>
          <w:lang w:val="en-US"/>
        </w:rPr>
        <w:t xml:space="preserve">             </w:t>
      </w:r>
      <w:r>
        <w:rPr>
          <w:color w:val="auto"/>
          <w:szCs w:val="27"/>
          <w:u w:val="single"/>
        </w:rPr>
        <w:t xml:space="preserve">    </w:t>
      </w:r>
      <w:r>
        <w:rPr>
          <w:rFonts w:hint="eastAsia"/>
          <w:color w:val="auto"/>
          <w:szCs w:val="27"/>
          <w:u w:val="single"/>
        </w:rPr>
        <w:t xml:space="preserve">    </w:t>
      </w:r>
      <w:r>
        <w:rPr>
          <w:color w:val="auto"/>
          <w:szCs w:val="27"/>
        </w:rPr>
        <w:t>年</w:t>
      </w:r>
      <w:r>
        <w:rPr>
          <w:color w:val="auto"/>
          <w:szCs w:val="27"/>
          <w:u w:val="single"/>
        </w:rPr>
        <w:t xml:space="preserve">    </w:t>
      </w:r>
      <w:r>
        <w:rPr>
          <w:color w:val="auto"/>
          <w:szCs w:val="27"/>
        </w:rPr>
        <w:t>月</w:t>
      </w:r>
      <w:r>
        <w:rPr>
          <w:color w:val="auto"/>
          <w:szCs w:val="27"/>
          <w:u w:val="single"/>
        </w:rPr>
        <w:t xml:space="preserve">  </w:t>
      </w:r>
      <w:r>
        <w:rPr>
          <w:color w:val="auto"/>
          <w:szCs w:val="27"/>
        </w:rPr>
        <w:t>日</w:t>
      </w:r>
      <w:r>
        <w:rPr>
          <w:rFonts w:hint="eastAsia"/>
          <w:color w:val="auto"/>
          <w:szCs w:val="27"/>
        </w:rPr>
        <w:t xml:space="preserve"> </w:t>
      </w:r>
    </w:p>
    <w:p w14:paraId="1C285CB3">
      <w:pPr>
        <w:rPr>
          <w:rFonts w:hint="eastAsia" w:ascii="宋体" w:hAnsi="宋体" w:eastAsia="宋体" w:cs="宋体"/>
          <w:color w:val="auto"/>
          <w:sz w:val="32"/>
          <w:szCs w:val="32"/>
          <w:highlight w:val="none"/>
        </w:rPr>
      </w:pPr>
      <w:bookmarkStart w:id="120" w:name="_Toc17699_WPSOffice_Level1"/>
      <w:r>
        <w:rPr>
          <w:rFonts w:hint="eastAsia" w:ascii="宋体" w:hAnsi="宋体" w:eastAsia="宋体" w:cs="宋体"/>
          <w:color w:val="auto"/>
          <w:sz w:val="32"/>
          <w:szCs w:val="32"/>
          <w:highlight w:val="none"/>
        </w:rPr>
        <w:br w:type="page"/>
      </w:r>
    </w:p>
    <w:p w14:paraId="13330988">
      <w:pPr>
        <w:spacing w:line="900" w:lineRule="exac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第七章 投标文件格式</w:t>
      </w:r>
      <w:bookmarkEnd w:id="120"/>
    </w:p>
    <w:p w14:paraId="2A5789A7">
      <w:pPr>
        <w:spacing w:line="900" w:lineRule="exact"/>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****项目***包</w:t>
      </w:r>
    </w:p>
    <w:p w14:paraId="32218F74">
      <w:pPr>
        <w:pStyle w:val="17"/>
        <w:rPr>
          <w:rFonts w:hint="eastAsia" w:ascii="宋体" w:hAnsi="宋体" w:eastAsia="宋体" w:cs="宋体"/>
          <w:color w:val="auto"/>
          <w:highlight w:val="none"/>
        </w:rPr>
      </w:pPr>
    </w:p>
    <w:p w14:paraId="6EA2B180">
      <w:pPr>
        <w:spacing w:line="900" w:lineRule="exact"/>
        <w:jc w:val="center"/>
        <w:rPr>
          <w:rFonts w:hint="eastAsia" w:ascii="宋体" w:hAnsi="宋体" w:eastAsia="宋体" w:cs="宋体"/>
          <w:color w:val="auto"/>
          <w:sz w:val="72"/>
          <w:highlight w:val="none"/>
        </w:rPr>
      </w:pPr>
      <w:r>
        <w:rPr>
          <w:rFonts w:hint="eastAsia" w:ascii="宋体" w:hAnsi="宋体" w:eastAsia="宋体" w:cs="宋体"/>
          <w:color w:val="auto"/>
          <w:sz w:val="72"/>
          <w:highlight w:val="none"/>
        </w:rPr>
        <w:t>投</w:t>
      </w:r>
    </w:p>
    <w:p w14:paraId="592ED7F3">
      <w:pPr>
        <w:spacing w:line="900" w:lineRule="exact"/>
        <w:jc w:val="center"/>
        <w:rPr>
          <w:rFonts w:hint="eastAsia" w:ascii="宋体" w:hAnsi="宋体" w:eastAsia="宋体" w:cs="宋体"/>
          <w:color w:val="auto"/>
          <w:sz w:val="72"/>
          <w:highlight w:val="none"/>
        </w:rPr>
      </w:pPr>
    </w:p>
    <w:p w14:paraId="059EEA24">
      <w:pPr>
        <w:spacing w:line="900" w:lineRule="exact"/>
        <w:jc w:val="center"/>
        <w:rPr>
          <w:rFonts w:hint="eastAsia" w:ascii="宋体" w:hAnsi="宋体" w:eastAsia="宋体" w:cs="宋体"/>
          <w:color w:val="auto"/>
          <w:sz w:val="72"/>
          <w:highlight w:val="none"/>
        </w:rPr>
      </w:pPr>
      <w:r>
        <w:rPr>
          <w:rFonts w:hint="eastAsia" w:ascii="宋体" w:hAnsi="宋体" w:eastAsia="宋体" w:cs="宋体"/>
          <w:color w:val="auto"/>
          <w:sz w:val="72"/>
          <w:highlight w:val="none"/>
        </w:rPr>
        <w:t>标</w:t>
      </w:r>
    </w:p>
    <w:p w14:paraId="4A3FB0EF">
      <w:pPr>
        <w:spacing w:line="900" w:lineRule="exact"/>
        <w:jc w:val="center"/>
        <w:rPr>
          <w:rFonts w:hint="eastAsia" w:ascii="宋体" w:hAnsi="宋体" w:eastAsia="宋体" w:cs="宋体"/>
          <w:color w:val="auto"/>
          <w:sz w:val="72"/>
          <w:highlight w:val="none"/>
        </w:rPr>
      </w:pPr>
    </w:p>
    <w:p w14:paraId="0674114F">
      <w:pPr>
        <w:spacing w:line="900" w:lineRule="exact"/>
        <w:jc w:val="center"/>
        <w:rPr>
          <w:rFonts w:hint="eastAsia" w:ascii="宋体" w:hAnsi="宋体" w:eastAsia="宋体" w:cs="宋体"/>
          <w:color w:val="auto"/>
          <w:sz w:val="72"/>
          <w:highlight w:val="none"/>
        </w:rPr>
      </w:pPr>
      <w:r>
        <w:rPr>
          <w:rFonts w:hint="eastAsia" w:ascii="宋体" w:hAnsi="宋体" w:eastAsia="宋体" w:cs="宋体"/>
          <w:color w:val="auto"/>
          <w:sz w:val="72"/>
          <w:highlight w:val="none"/>
        </w:rPr>
        <w:t>文</w:t>
      </w:r>
    </w:p>
    <w:p w14:paraId="190D4E2A">
      <w:pPr>
        <w:spacing w:line="900" w:lineRule="exact"/>
        <w:jc w:val="center"/>
        <w:rPr>
          <w:rFonts w:hint="eastAsia" w:ascii="宋体" w:hAnsi="宋体" w:eastAsia="宋体" w:cs="宋体"/>
          <w:color w:val="auto"/>
          <w:sz w:val="72"/>
          <w:highlight w:val="none"/>
        </w:rPr>
      </w:pPr>
    </w:p>
    <w:p w14:paraId="1725E394">
      <w:pPr>
        <w:jc w:val="center"/>
        <w:rPr>
          <w:rFonts w:hint="eastAsia" w:ascii="宋体" w:hAnsi="宋体" w:eastAsia="宋体" w:cs="宋体"/>
          <w:color w:val="auto"/>
          <w:sz w:val="72"/>
          <w:highlight w:val="none"/>
        </w:rPr>
      </w:pPr>
      <w:r>
        <w:rPr>
          <w:rFonts w:hint="eastAsia" w:ascii="宋体" w:hAnsi="宋体" w:eastAsia="宋体" w:cs="宋体"/>
          <w:color w:val="auto"/>
          <w:sz w:val="72"/>
          <w:highlight w:val="none"/>
        </w:rPr>
        <w:t>件</w:t>
      </w:r>
    </w:p>
    <w:p w14:paraId="24286DA3">
      <w:pPr>
        <w:spacing w:after="156" w:afterLines="50" w:line="500" w:lineRule="exact"/>
        <w:rPr>
          <w:rFonts w:hint="eastAsia" w:ascii="宋体" w:hAnsi="宋体" w:eastAsia="宋体" w:cs="宋体"/>
          <w:color w:val="auto"/>
          <w:sz w:val="32"/>
          <w:highlight w:val="none"/>
          <w:u w:val="single"/>
        </w:rPr>
      </w:pPr>
      <w:r>
        <w:rPr>
          <w:rFonts w:hint="eastAsia" w:ascii="宋体" w:hAnsi="宋体" w:eastAsia="宋体" w:cs="宋体"/>
          <w:color w:val="auto"/>
          <w:sz w:val="30"/>
          <w:highlight w:val="none"/>
        </w:rPr>
        <w:t xml:space="preserve">                </w:t>
      </w:r>
      <w:r>
        <w:rPr>
          <w:rFonts w:hint="eastAsia" w:ascii="宋体" w:hAnsi="宋体" w:eastAsia="宋体" w:cs="宋体"/>
          <w:color w:val="auto"/>
          <w:sz w:val="32"/>
          <w:highlight w:val="none"/>
        </w:rPr>
        <w:t>投标人：</w:t>
      </w:r>
      <w:r>
        <w:rPr>
          <w:rFonts w:hint="eastAsia" w:ascii="宋体" w:hAnsi="宋体" w:eastAsia="宋体" w:cs="宋体"/>
          <w:color w:val="auto"/>
          <w:sz w:val="32"/>
          <w:highlight w:val="none"/>
          <w:u w:val="single"/>
        </w:rPr>
        <w:t xml:space="preserve">               </w:t>
      </w:r>
    </w:p>
    <w:p w14:paraId="7D39F3CC">
      <w:pPr>
        <w:spacing w:after="156" w:afterLines="50" w:line="500" w:lineRule="exact"/>
        <w:jc w:val="center"/>
        <w:rPr>
          <w:rFonts w:hint="eastAsia" w:ascii="宋体" w:hAnsi="宋体" w:eastAsia="宋体" w:cs="宋体"/>
          <w:color w:val="auto"/>
          <w:sz w:val="32"/>
          <w:highlight w:val="none"/>
          <w:u w:val="single"/>
        </w:rPr>
      </w:pPr>
    </w:p>
    <w:p w14:paraId="707CE46C">
      <w:pPr>
        <w:spacing w:after="156" w:afterLines="50" w:line="500" w:lineRule="exact"/>
        <w:jc w:val="center"/>
        <w:rPr>
          <w:rFonts w:hint="eastAsia" w:ascii="宋体" w:hAnsi="宋体" w:eastAsia="宋体" w:cs="宋体"/>
          <w:color w:val="auto"/>
          <w:sz w:val="32"/>
          <w:highlight w:val="none"/>
          <w:u w:val="single"/>
        </w:rPr>
      </w:pPr>
    </w:p>
    <w:p w14:paraId="6FB726E6">
      <w:pPr>
        <w:spacing w:after="156" w:afterLines="50" w:line="500" w:lineRule="exact"/>
        <w:jc w:val="center"/>
        <w:rPr>
          <w:rFonts w:hint="eastAsia" w:ascii="宋体" w:hAnsi="宋体" w:eastAsia="宋体" w:cs="宋体"/>
          <w:color w:val="auto"/>
          <w:sz w:val="32"/>
          <w:highlight w:val="none"/>
        </w:rPr>
      </w:pPr>
      <w:r>
        <w:rPr>
          <w:rFonts w:hint="eastAsia" w:ascii="宋体" w:hAnsi="宋体" w:eastAsia="宋体" w:cs="宋体"/>
          <w:color w:val="auto"/>
          <w:sz w:val="32"/>
          <w:highlight w:val="none"/>
          <w:u w:val="single"/>
        </w:rPr>
        <w:t xml:space="preserve"> </w:t>
      </w:r>
      <w:bookmarkStart w:id="121" w:name="_Toc5567_WPSOffice_Level2"/>
      <w:r>
        <w:rPr>
          <w:rFonts w:hint="eastAsia" w:ascii="宋体" w:hAnsi="宋体" w:eastAsia="宋体" w:cs="宋体"/>
          <w:color w:val="auto"/>
          <w:sz w:val="32"/>
          <w:highlight w:val="none"/>
        </w:rPr>
        <w:t>年</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rPr>
        <w:t>月</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rPr>
        <w:t>日</w:t>
      </w:r>
      <w:bookmarkEnd w:id="121"/>
    </w:p>
    <w:p w14:paraId="3804ECCE">
      <w:pPr>
        <w:rPr>
          <w:rFonts w:hint="eastAsia" w:ascii="宋体" w:hAnsi="宋体" w:eastAsia="宋体" w:cs="宋体"/>
          <w:color w:val="auto"/>
          <w:highlight w:val="none"/>
        </w:rPr>
      </w:pPr>
      <w:bookmarkStart w:id="122" w:name="_Hlt519045470"/>
      <w:bookmarkEnd w:id="122"/>
      <w:bookmarkStart w:id="123" w:name="_Hlt50174708"/>
      <w:bookmarkEnd w:id="123"/>
      <w:bookmarkStart w:id="124" w:name="_Hlt533408877"/>
      <w:bookmarkEnd w:id="124"/>
      <w:bookmarkStart w:id="125" w:name="_Hlt519068595"/>
      <w:bookmarkEnd w:id="125"/>
      <w:bookmarkStart w:id="126" w:name="_Hlt50174722"/>
      <w:bookmarkEnd w:id="126"/>
      <w:bookmarkStart w:id="127" w:name="_Hlt50174972"/>
      <w:bookmarkEnd w:id="127"/>
      <w:bookmarkStart w:id="128" w:name="_Hlt509738509"/>
      <w:bookmarkStart w:id="129" w:name="_Hlt519045391"/>
      <w:bookmarkStart w:id="130" w:name="_Hlt509738521"/>
    </w:p>
    <w:p w14:paraId="2CC1D3FB">
      <w:pPr>
        <w:pStyle w:val="17"/>
        <w:rPr>
          <w:rFonts w:hint="eastAsia" w:ascii="宋体" w:hAnsi="宋体" w:eastAsia="宋体" w:cs="宋体"/>
          <w:color w:val="auto"/>
          <w:highlight w:val="none"/>
        </w:rPr>
      </w:pPr>
    </w:p>
    <w:p w14:paraId="3A4761B3">
      <w:pPr>
        <w:pStyle w:val="17"/>
        <w:rPr>
          <w:rFonts w:hint="eastAsia" w:ascii="宋体" w:hAnsi="宋体" w:eastAsia="宋体" w:cs="宋体"/>
          <w:color w:val="auto"/>
          <w:highlight w:val="none"/>
        </w:rPr>
      </w:pPr>
    </w:p>
    <w:p w14:paraId="6C331693">
      <w:pPr>
        <w:pStyle w:val="17"/>
        <w:rPr>
          <w:rFonts w:hint="eastAsia" w:ascii="宋体" w:hAnsi="宋体" w:eastAsia="宋体" w:cs="宋体"/>
          <w:color w:val="auto"/>
          <w:highlight w:val="none"/>
        </w:rPr>
      </w:pPr>
    </w:p>
    <w:p w14:paraId="173E2972">
      <w:pPr>
        <w:pStyle w:val="17"/>
        <w:rPr>
          <w:rFonts w:hint="eastAsia" w:ascii="宋体" w:hAnsi="宋体" w:eastAsia="宋体" w:cs="宋体"/>
          <w:color w:val="auto"/>
          <w:highlight w:val="none"/>
        </w:rPr>
      </w:pPr>
    </w:p>
    <w:p w14:paraId="4D3EF99F">
      <w:pPr>
        <w:pStyle w:val="17"/>
        <w:rPr>
          <w:rFonts w:hint="eastAsia" w:ascii="宋体" w:hAnsi="宋体" w:eastAsia="宋体" w:cs="宋体"/>
          <w:color w:val="auto"/>
          <w:highlight w:val="none"/>
        </w:rPr>
      </w:pPr>
    </w:p>
    <w:p w14:paraId="7B425E0A">
      <w:pPr>
        <w:pStyle w:val="20"/>
        <w:rPr>
          <w:rFonts w:hint="eastAsia" w:ascii="宋体" w:hAnsi="宋体" w:eastAsia="宋体" w:cs="宋体"/>
          <w:b w:val="0"/>
          <w:bCs w:val="0"/>
          <w:color w:val="auto"/>
          <w:highlight w:val="none"/>
        </w:rPr>
      </w:pPr>
      <w:bookmarkStart w:id="131" w:name="_Toc20284_WPSOffice_Level2"/>
      <w:r>
        <w:rPr>
          <w:rFonts w:hint="eastAsia" w:ascii="宋体" w:hAnsi="宋体" w:eastAsia="宋体" w:cs="宋体"/>
          <w:b w:val="0"/>
          <w:bCs w:val="0"/>
          <w:color w:val="auto"/>
          <w:highlight w:val="none"/>
        </w:rPr>
        <w:br w:type="page"/>
      </w:r>
      <w:r>
        <w:rPr>
          <w:rFonts w:hint="eastAsia" w:ascii="宋体" w:hAnsi="宋体" w:eastAsia="宋体" w:cs="宋体"/>
          <w:b w:val="0"/>
          <w:bCs w:val="0"/>
          <w:color w:val="auto"/>
          <w:highlight w:val="none"/>
        </w:rPr>
        <w:t>投标文件资料清单</w:t>
      </w:r>
      <w:bookmarkEnd w:id="131"/>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2918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24A1018">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5460" w:type="dxa"/>
            <w:noWrap w:val="0"/>
            <w:vAlign w:val="center"/>
          </w:tcPr>
          <w:p w14:paraId="5311F61D">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资料名称</w:t>
            </w:r>
          </w:p>
        </w:tc>
        <w:tc>
          <w:tcPr>
            <w:tcW w:w="1854" w:type="dxa"/>
            <w:noWrap w:val="0"/>
            <w:vAlign w:val="center"/>
          </w:tcPr>
          <w:p w14:paraId="70E94E6E">
            <w:pPr>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页码范围</w:t>
            </w:r>
          </w:p>
        </w:tc>
      </w:tr>
      <w:tr w14:paraId="3AA4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10F33D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一</w:t>
            </w:r>
          </w:p>
        </w:tc>
        <w:tc>
          <w:tcPr>
            <w:tcW w:w="5460" w:type="dxa"/>
            <w:noWrap w:val="0"/>
            <w:vAlign w:val="center"/>
          </w:tcPr>
          <w:p w14:paraId="1966C10B">
            <w:pPr>
              <w:rPr>
                <w:rFonts w:hint="eastAsia" w:ascii="宋体" w:hAnsi="宋体" w:eastAsia="宋体" w:cs="宋体"/>
                <w:color w:val="auto"/>
                <w:highlight w:val="none"/>
                <w:u w:val="single"/>
              </w:rPr>
            </w:pPr>
            <w:r>
              <w:rPr>
                <w:rFonts w:hint="eastAsia" w:ascii="宋体" w:hAnsi="宋体" w:eastAsia="宋体" w:cs="宋体"/>
                <w:color w:val="auto"/>
                <w:sz w:val="24"/>
                <w:highlight w:val="none"/>
              </w:rPr>
              <w:t>开标一览表</w:t>
            </w:r>
          </w:p>
        </w:tc>
        <w:tc>
          <w:tcPr>
            <w:tcW w:w="1854" w:type="dxa"/>
            <w:noWrap w:val="0"/>
            <w:vAlign w:val="center"/>
          </w:tcPr>
          <w:p w14:paraId="052BC418">
            <w:pPr>
              <w:spacing w:line="360" w:lineRule="auto"/>
              <w:jc w:val="center"/>
              <w:rPr>
                <w:rFonts w:hint="eastAsia" w:ascii="宋体" w:hAnsi="宋体" w:eastAsia="宋体" w:cs="宋体"/>
                <w:color w:val="auto"/>
                <w:sz w:val="24"/>
                <w:highlight w:val="none"/>
              </w:rPr>
            </w:pPr>
          </w:p>
        </w:tc>
      </w:tr>
      <w:tr w14:paraId="50F87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937CD2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二</w:t>
            </w:r>
          </w:p>
        </w:tc>
        <w:tc>
          <w:tcPr>
            <w:tcW w:w="5460" w:type="dxa"/>
            <w:noWrap w:val="0"/>
            <w:vAlign w:val="center"/>
          </w:tcPr>
          <w:p w14:paraId="5EB142F2">
            <w:pP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投标人情况综合简介</w:t>
            </w:r>
          </w:p>
        </w:tc>
        <w:tc>
          <w:tcPr>
            <w:tcW w:w="1854" w:type="dxa"/>
            <w:noWrap w:val="0"/>
            <w:vAlign w:val="center"/>
          </w:tcPr>
          <w:p w14:paraId="7C343D9D">
            <w:pPr>
              <w:spacing w:line="360" w:lineRule="auto"/>
              <w:jc w:val="center"/>
              <w:rPr>
                <w:rFonts w:hint="eastAsia" w:ascii="宋体" w:hAnsi="宋体" w:eastAsia="宋体" w:cs="宋体"/>
                <w:color w:val="auto"/>
                <w:sz w:val="24"/>
                <w:highlight w:val="none"/>
              </w:rPr>
            </w:pPr>
          </w:p>
        </w:tc>
      </w:tr>
      <w:tr w14:paraId="2CBA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2AB8BF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三</w:t>
            </w:r>
          </w:p>
        </w:tc>
        <w:tc>
          <w:tcPr>
            <w:tcW w:w="5460" w:type="dxa"/>
            <w:noWrap w:val="0"/>
            <w:vAlign w:val="center"/>
          </w:tcPr>
          <w:p w14:paraId="64C5D64B">
            <w:pP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w:t>
            </w:r>
          </w:p>
        </w:tc>
        <w:tc>
          <w:tcPr>
            <w:tcW w:w="1854" w:type="dxa"/>
            <w:noWrap w:val="0"/>
            <w:vAlign w:val="center"/>
          </w:tcPr>
          <w:p w14:paraId="78A540CF">
            <w:pPr>
              <w:spacing w:line="360" w:lineRule="auto"/>
              <w:jc w:val="center"/>
              <w:rPr>
                <w:rFonts w:hint="eastAsia" w:ascii="宋体" w:hAnsi="宋体" w:eastAsia="宋体" w:cs="宋体"/>
                <w:color w:val="auto"/>
                <w:sz w:val="24"/>
                <w:highlight w:val="none"/>
              </w:rPr>
            </w:pPr>
          </w:p>
        </w:tc>
      </w:tr>
      <w:tr w14:paraId="6A0C7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C667D8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四</w:t>
            </w:r>
          </w:p>
        </w:tc>
        <w:tc>
          <w:tcPr>
            <w:tcW w:w="5460" w:type="dxa"/>
            <w:noWrap w:val="0"/>
            <w:vAlign w:val="center"/>
          </w:tcPr>
          <w:p w14:paraId="018015BA">
            <w:pPr>
              <w:pStyle w:val="38"/>
              <w:rPr>
                <w:rFonts w:hint="eastAsia" w:ascii="宋体" w:hAnsi="宋体" w:eastAsia="宋体" w:cs="宋体"/>
                <w:color w:val="auto"/>
                <w:highlight w:val="none"/>
              </w:rPr>
            </w:pPr>
            <w:r>
              <w:rPr>
                <w:rFonts w:hint="eastAsia" w:ascii="宋体" w:hAnsi="宋体" w:eastAsia="宋体" w:cs="宋体"/>
                <w:color w:val="auto"/>
                <w:highlight w:val="none"/>
              </w:rPr>
              <w:t>投标分项报价表</w:t>
            </w:r>
          </w:p>
        </w:tc>
        <w:tc>
          <w:tcPr>
            <w:tcW w:w="1854" w:type="dxa"/>
            <w:noWrap w:val="0"/>
            <w:vAlign w:val="center"/>
          </w:tcPr>
          <w:p w14:paraId="191AC666">
            <w:pPr>
              <w:spacing w:line="360" w:lineRule="auto"/>
              <w:jc w:val="center"/>
              <w:rPr>
                <w:rFonts w:hint="eastAsia" w:ascii="宋体" w:hAnsi="宋体" w:eastAsia="宋体" w:cs="宋体"/>
                <w:color w:val="auto"/>
                <w:sz w:val="24"/>
                <w:highlight w:val="none"/>
              </w:rPr>
            </w:pPr>
          </w:p>
        </w:tc>
      </w:tr>
      <w:tr w14:paraId="10E8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57A587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五</w:t>
            </w:r>
          </w:p>
        </w:tc>
        <w:tc>
          <w:tcPr>
            <w:tcW w:w="5460" w:type="dxa"/>
            <w:noWrap w:val="0"/>
            <w:vAlign w:val="center"/>
          </w:tcPr>
          <w:p w14:paraId="4545BB9C">
            <w:pP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投标响应表</w:t>
            </w:r>
          </w:p>
        </w:tc>
        <w:tc>
          <w:tcPr>
            <w:tcW w:w="1854" w:type="dxa"/>
            <w:noWrap w:val="0"/>
            <w:vAlign w:val="center"/>
          </w:tcPr>
          <w:p w14:paraId="2EC40E78">
            <w:pPr>
              <w:spacing w:line="360" w:lineRule="auto"/>
              <w:jc w:val="center"/>
              <w:rPr>
                <w:rFonts w:hint="eastAsia" w:ascii="宋体" w:hAnsi="宋体" w:eastAsia="宋体" w:cs="宋体"/>
                <w:color w:val="auto"/>
                <w:sz w:val="24"/>
                <w:highlight w:val="none"/>
              </w:rPr>
            </w:pPr>
          </w:p>
        </w:tc>
      </w:tr>
      <w:tr w14:paraId="154E7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5A304AF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六</w:t>
            </w:r>
          </w:p>
        </w:tc>
        <w:tc>
          <w:tcPr>
            <w:tcW w:w="5460" w:type="dxa"/>
            <w:noWrap w:val="0"/>
            <w:vAlign w:val="center"/>
          </w:tcPr>
          <w:p w14:paraId="76C546B1">
            <w:pPr>
              <w:rPr>
                <w:rFonts w:hint="eastAsia" w:ascii="宋体" w:hAnsi="宋体" w:eastAsia="宋体" w:cs="宋体"/>
                <w:color w:val="auto"/>
                <w:sz w:val="24"/>
                <w:highlight w:val="none"/>
              </w:rPr>
            </w:pPr>
            <w:r>
              <w:rPr>
                <w:rFonts w:hint="eastAsia" w:ascii="宋体" w:hAnsi="宋体" w:eastAsia="宋体" w:cs="宋体"/>
                <w:color w:val="auto"/>
                <w:sz w:val="24"/>
                <w:highlight w:val="none"/>
              </w:rPr>
              <w:t>产品质量承诺</w:t>
            </w:r>
          </w:p>
        </w:tc>
        <w:tc>
          <w:tcPr>
            <w:tcW w:w="1854" w:type="dxa"/>
            <w:noWrap w:val="0"/>
            <w:vAlign w:val="center"/>
          </w:tcPr>
          <w:p w14:paraId="3149196D">
            <w:pPr>
              <w:spacing w:line="360" w:lineRule="auto"/>
              <w:rPr>
                <w:rFonts w:hint="eastAsia" w:ascii="宋体" w:hAnsi="宋体" w:eastAsia="宋体" w:cs="宋体"/>
                <w:color w:val="auto"/>
                <w:sz w:val="24"/>
                <w:highlight w:val="none"/>
              </w:rPr>
            </w:pPr>
          </w:p>
        </w:tc>
      </w:tr>
      <w:tr w14:paraId="5F251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54BEB78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七</w:t>
            </w:r>
          </w:p>
        </w:tc>
        <w:tc>
          <w:tcPr>
            <w:tcW w:w="5460" w:type="dxa"/>
            <w:noWrap w:val="0"/>
            <w:vAlign w:val="center"/>
          </w:tcPr>
          <w:p w14:paraId="2FFB61EA">
            <w:pPr>
              <w:rPr>
                <w:rFonts w:hint="eastAsia" w:ascii="宋体" w:hAnsi="宋体" w:eastAsia="宋体" w:cs="宋体"/>
                <w:color w:val="auto"/>
                <w:sz w:val="24"/>
                <w:highlight w:val="none"/>
              </w:rPr>
            </w:pPr>
            <w:r>
              <w:rPr>
                <w:rFonts w:hint="eastAsia" w:ascii="宋体" w:hAnsi="宋体" w:eastAsia="宋体" w:cs="宋体"/>
                <w:color w:val="auto"/>
                <w:sz w:val="24"/>
                <w:highlight w:val="none"/>
              </w:rPr>
              <w:t>所供货物组部件、备品、备件清单</w:t>
            </w:r>
          </w:p>
        </w:tc>
        <w:tc>
          <w:tcPr>
            <w:tcW w:w="1854" w:type="dxa"/>
            <w:noWrap w:val="0"/>
            <w:vAlign w:val="center"/>
          </w:tcPr>
          <w:p w14:paraId="7E4B2750">
            <w:pPr>
              <w:spacing w:line="360" w:lineRule="auto"/>
              <w:rPr>
                <w:rFonts w:hint="eastAsia" w:ascii="宋体" w:hAnsi="宋体" w:eastAsia="宋体" w:cs="宋体"/>
                <w:color w:val="auto"/>
                <w:sz w:val="24"/>
                <w:highlight w:val="none"/>
              </w:rPr>
            </w:pPr>
          </w:p>
        </w:tc>
      </w:tr>
      <w:tr w14:paraId="4102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3352C6B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八</w:t>
            </w:r>
          </w:p>
        </w:tc>
        <w:tc>
          <w:tcPr>
            <w:tcW w:w="5460" w:type="dxa"/>
            <w:noWrap w:val="0"/>
            <w:vAlign w:val="center"/>
          </w:tcPr>
          <w:p w14:paraId="60C0DE26">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有关证明文件</w:t>
            </w:r>
          </w:p>
        </w:tc>
        <w:tc>
          <w:tcPr>
            <w:tcW w:w="1854" w:type="dxa"/>
            <w:noWrap w:val="0"/>
            <w:vAlign w:val="center"/>
          </w:tcPr>
          <w:p w14:paraId="55D52D24">
            <w:pPr>
              <w:spacing w:line="360" w:lineRule="auto"/>
              <w:rPr>
                <w:rFonts w:hint="eastAsia" w:ascii="宋体" w:hAnsi="宋体" w:eastAsia="宋体" w:cs="宋体"/>
                <w:color w:val="auto"/>
                <w:sz w:val="24"/>
                <w:highlight w:val="none"/>
              </w:rPr>
            </w:pPr>
          </w:p>
        </w:tc>
      </w:tr>
      <w:tr w14:paraId="0B5E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358044A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九</w:t>
            </w:r>
          </w:p>
        </w:tc>
        <w:tc>
          <w:tcPr>
            <w:tcW w:w="5460" w:type="dxa"/>
            <w:noWrap w:val="0"/>
            <w:vAlign w:val="center"/>
          </w:tcPr>
          <w:p w14:paraId="1846788C">
            <w:pPr>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中小企业声明函</w:t>
            </w:r>
          </w:p>
        </w:tc>
        <w:tc>
          <w:tcPr>
            <w:tcW w:w="1854" w:type="dxa"/>
            <w:noWrap w:val="0"/>
            <w:vAlign w:val="center"/>
          </w:tcPr>
          <w:p w14:paraId="2C06A1AD">
            <w:pPr>
              <w:spacing w:line="360" w:lineRule="auto"/>
              <w:rPr>
                <w:rFonts w:hint="eastAsia" w:ascii="宋体" w:hAnsi="宋体" w:eastAsia="宋体" w:cs="宋体"/>
                <w:color w:val="auto"/>
                <w:sz w:val="24"/>
                <w:highlight w:val="none"/>
              </w:rPr>
            </w:pPr>
          </w:p>
        </w:tc>
      </w:tr>
      <w:tr w14:paraId="3DFBA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3B2F01D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十</w:t>
            </w:r>
          </w:p>
        </w:tc>
        <w:tc>
          <w:tcPr>
            <w:tcW w:w="5460" w:type="dxa"/>
            <w:noWrap w:val="0"/>
            <w:vAlign w:val="center"/>
          </w:tcPr>
          <w:p w14:paraId="67B21033">
            <w:pPr>
              <w:rPr>
                <w:rFonts w:hint="eastAsia" w:ascii="宋体" w:hAnsi="宋体" w:eastAsia="宋体" w:cs="宋体"/>
                <w:color w:val="auto"/>
                <w:sz w:val="24"/>
                <w:highlight w:val="none"/>
              </w:rPr>
            </w:pPr>
            <w:r>
              <w:rPr>
                <w:rFonts w:hint="eastAsia" w:ascii="宋体" w:hAnsi="宋体" w:eastAsia="宋体" w:cs="宋体"/>
                <w:color w:val="auto"/>
                <w:sz w:val="24"/>
                <w:highlight w:val="none"/>
              </w:rPr>
              <w:t>售后服务</w:t>
            </w:r>
          </w:p>
        </w:tc>
        <w:tc>
          <w:tcPr>
            <w:tcW w:w="1854" w:type="dxa"/>
            <w:noWrap w:val="0"/>
            <w:vAlign w:val="center"/>
          </w:tcPr>
          <w:p w14:paraId="0340AB5A">
            <w:pPr>
              <w:spacing w:line="360" w:lineRule="auto"/>
              <w:rPr>
                <w:rFonts w:hint="eastAsia" w:ascii="宋体" w:hAnsi="宋体" w:eastAsia="宋体" w:cs="宋体"/>
                <w:color w:val="auto"/>
                <w:sz w:val="24"/>
                <w:highlight w:val="none"/>
              </w:rPr>
            </w:pPr>
          </w:p>
        </w:tc>
      </w:tr>
      <w:tr w14:paraId="3052F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4EF5DCB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十一</w:t>
            </w:r>
          </w:p>
        </w:tc>
        <w:tc>
          <w:tcPr>
            <w:tcW w:w="5460" w:type="dxa"/>
            <w:noWrap w:val="0"/>
            <w:vAlign w:val="center"/>
          </w:tcPr>
          <w:p w14:paraId="584CA098">
            <w:pPr>
              <w:rPr>
                <w:rFonts w:hint="eastAsia" w:ascii="宋体" w:hAnsi="宋体" w:eastAsia="宋体" w:cs="宋体"/>
                <w:color w:val="auto"/>
                <w:sz w:val="24"/>
                <w:highlight w:val="none"/>
              </w:rPr>
            </w:pPr>
            <w:r>
              <w:rPr>
                <w:rFonts w:hint="eastAsia" w:ascii="宋体" w:hAnsi="宋体" w:eastAsia="宋体" w:cs="宋体"/>
                <w:color w:val="auto"/>
                <w:sz w:val="24"/>
                <w:highlight w:val="none"/>
              </w:rPr>
              <w:t>所投货物的技术资料等</w:t>
            </w:r>
          </w:p>
        </w:tc>
        <w:tc>
          <w:tcPr>
            <w:tcW w:w="1854" w:type="dxa"/>
            <w:noWrap w:val="0"/>
            <w:vAlign w:val="center"/>
          </w:tcPr>
          <w:p w14:paraId="4A75FEC8">
            <w:pPr>
              <w:spacing w:line="360" w:lineRule="auto"/>
              <w:rPr>
                <w:rFonts w:hint="eastAsia" w:ascii="宋体" w:hAnsi="宋体" w:eastAsia="宋体" w:cs="宋体"/>
                <w:color w:val="auto"/>
                <w:sz w:val="24"/>
                <w:highlight w:val="none"/>
              </w:rPr>
            </w:pPr>
          </w:p>
        </w:tc>
      </w:tr>
      <w:tr w14:paraId="27DC9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91B6E2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十二</w:t>
            </w:r>
          </w:p>
        </w:tc>
        <w:tc>
          <w:tcPr>
            <w:tcW w:w="5460" w:type="dxa"/>
            <w:noWrap w:val="0"/>
            <w:vAlign w:val="center"/>
          </w:tcPr>
          <w:p w14:paraId="0B84E45C">
            <w:pP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其他投标人认为需要提供得材料等</w:t>
            </w:r>
          </w:p>
        </w:tc>
        <w:tc>
          <w:tcPr>
            <w:tcW w:w="1854" w:type="dxa"/>
            <w:noWrap w:val="0"/>
            <w:vAlign w:val="center"/>
          </w:tcPr>
          <w:p w14:paraId="39E9E0DD">
            <w:pPr>
              <w:spacing w:line="360" w:lineRule="auto"/>
              <w:rPr>
                <w:rFonts w:hint="eastAsia" w:ascii="宋体" w:hAnsi="宋体" w:eastAsia="宋体" w:cs="宋体"/>
                <w:color w:val="auto"/>
                <w:sz w:val="24"/>
                <w:highlight w:val="none"/>
              </w:rPr>
            </w:pPr>
          </w:p>
        </w:tc>
      </w:tr>
      <w:tr w14:paraId="10CA0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0C874402">
            <w:pPr>
              <w:rPr>
                <w:rFonts w:hint="eastAsia" w:ascii="宋体" w:hAnsi="宋体" w:eastAsia="宋体" w:cs="宋体"/>
                <w:color w:val="auto"/>
                <w:sz w:val="24"/>
                <w:highlight w:val="none"/>
              </w:rPr>
            </w:pPr>
            <w:r>
              <w:rPr>
                <w:rFonts w:hint="eastAsia" w:ascii="宋体" w:hAnsi="宋体" w:eastAsia="宋体" w:cs="宋体"/>
                <w:color w:val="auto"/>
                <w:sz w:val="24"/>
                <w:highlight w:val="none"/>
              </w:rPr>
              <w:t>十三</w:t>
            </w:r>
          </w:p>
        </w:tc>
        <w:tc>
          <w:tcPr>
            <w:tcW w:w="5460" w:type="dxa"/>
            <w:noWrap w:val="0"/>
            <w:vAlign w:val="center"/>
          </w:tcPr>
          <w:p w14:paraId="3FB230F5">
            <w:pPr>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政府采购供应商诚信承诺书</w:t>
            </w:r>
          </w:p>
          <w:p w14:paraId="7CD7B567">
            <w:pPr>
              <w:rPr>
                <w:rFonts w:hint="eastAsia" w:ascii="宋体" w:hAnsi="宋体" w:eastAsia="宋体" w:cs="宋体"/>
                <w:color w:val="auto"/>
                <w:sz w:val="24"/>
                <w:highlight w:val="none"/>
              </w:rPr>
            </w:pPr>
          </w:p>
        </w:tc>
        <w:tc>
          <w:tcPr>
            <w:tcW w:w="1854" w:type="dxa"/>
            <w:noWrap w:val="0"/>
            <w:vAlign w:val="center"/>
          </w:tcPr>
          <w:p w14:paraId="1088589E">
            <w:pPr>
              <w:spacing w:line="360" w:lineRule="auto"/>
              <w:rPr>
                <w:rFonts w:hint="eastAsia" w:ascii="宋体" w:hAnsi="宋体" w:eastAsia="宋体" w:cs="宋体"/>
                <w:color w:val="auto"/>
                <w:sz w:val="24"/>
                <w:highlight w:val="none"/>
              </w:rPr>
            </w:pPr>
          </w:p>
        </w:tc>
      </w:tr>
      <w:tr w14:paraId="60AE7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1007CEA0">
            <w:pPr>
              <w:jc w:val="center"/>
              <w:rPr>
                <w:rFonts w:hint="eastAsia" w:ascii="宋体" w:hAnsi="宋体" w:eastAsia="宋体" w:cs="宋体"/>
                <w:color w:val="auto"/>
                <w:sz w:val="24"/>
                <w:highlight w:val="none"/>
              </w:rPr>
            </w:pPr>
          </w:p>
        </w:tc>
        <w:tc>
          <w:tcPr>
            <w:tcW w:w="5460" w:type="dxa"/>
            <w:noWrap w:val="0"/>
            <w:vAlign w:val="center"/>
          </w:tcPr>
          <w:p w14:paraId="1DF08F5B">
            <w:pPr>
              <w:rPr>
                <w:rFonts w:hint="eastAsia" w:ascii="宋体" w:hAnsi="宋体" w:eastAsia="宋体" w:cs="宋体"/>
                <w:color w:val="auto"/>
                <w:sz w:val="24"/>
                <w:highlight w:val="none"/>
              </w:rPr>
            </w:pPr>
          </w:p>
        </w:tc>
        <w:tc>
          <w:tcPr>
            <w:tcW w:w="1854" w:type="dxa"/>
            <w:noWrap w:val="0"/>
            <w:vAlign w:val="center"/>
          </w:tcPr>
          <w:p w14:paraId="42AAC570">
            <w:pPr>
              <w:spacing w:line="360" w:lineRule="auto"/>
              <w:rPr>
                <w:rFonts w:hint="eastAsia" w:ascii="宋体" w:hAnsi="宋体" w:eastAsia="宋体" w:cs="宋体"/>
                <w:color w:val="auto"/>
                <w:sz w:val="24"/>
                <w:highlight w:val="none"/>
              </w:rPr>
            </w:pPr>
          </w:p>
        </w:tc>
      </w:tr>
      <w:tr w14:paraId="0763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1CC19D6D">
            <w:pPr>
              <w:spacing w:line="500" w:lineRule="exact"/>
              <w:rPr>
                <w:rFonts w:hint="eastAsia" w:ascii="宋体" w:hAnsi="宋体" w:eastAsia="宋体" w:cs="宋体"/>
                <w:color w:val="auto"/>
                <w:sz w:val="28"/>
                <w:highlight w:val="none"/>
              </w:rPr>
            </w:pPr>
            <w:r>
              <w:rPr>
                <w:rFonts w:hint="eastAsia" w:ascii="宋体" w:hAnsi="宋体" w:eastAsia="宋体" w:cs="宋体"/>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3AA22C3A">
      <w:pPr>
        <w:spacing w:line="500" w:lineRule="exact"/>
        <w:rPr>
          <w:rFonts w:hint="eastAsia" w:ascii="宋体" w:hAnsi="宋体" w:eastAsia="宋体" w:cs="宋体"/>
          <w:color w:val="auto"/>
          <w:sz w:val="28"/>
          <w:highlight w:val="none"/>
        </w:rPr>
      </w:pPr>
    </w:p>
    <w:p w14:paraId="36FB9BC3">
      <w:pPr>
        <w:pStyle w:val="17"/>
        <w:rPr>
          <w:rFonts w:hint="eastAsia" w:ascii="宋体" w:hAnsi="宋体" w:eastAsia="宋体" w:cs="宋体"/>
          <w:color w:val="auto"/>
          <w:highlight w:val="none"/>
        </w:rPr>
      </w:pPr>
    </w:p>
    <w:p w14:paraId="220F8D42">
      <w:pPr>
        <w:pStyle w:val="17"/>
        <w:rPr>
          <w:rFonts w:hint="eastAsia" w:ascii="宋体" w:hAnsi="宋体" w:eastAsia="宋体" w:cs="宋体"/>
          <w:color w:val="auto"/>
          <w:highlight w:val="none"/>
        </w:rPr>
      </w:pPr>
    </w:p>
    <w:p w14:paraId="0BF5ED0A">
      <w:pPr>
        <w:pStyle w:val="17"/>
        <w:rPr>
          <w:rFonts w:hint="eastAsia" w:ascii="宋体" w:hAnsi="宋体" w:eastAsia="宋体" w:cs="宋体"/>
          <w:color w:val="auto"/>
          <w:highlight w:val="none"/>
        </w:rPr>
      </w:pPr>
    </w:p>
    <w:p w14:paraId="67769386">
      <w:pPr>
        <w:pStyle w:val="17"/>
        <w:rPr>
          <w:rFonts w:hint="eastAsia" w:ascii="宋体" w:hAnsi="宋体" w:eastAsia="宋体" w:cs="宋体"/>
          <w:color w:val="auto"/>
          <w:highlight w:val="none"/>
        </w:rPr>
      </w:pPr>
    </w:p>
    <w:p w14:paraId="09830097">
      <w:pPr>
        <w:pStyle w:val="17"/>
        <w:rPr>
          <w:rFonts w:hint="eastAsia" w:ascii="宋体" w:hAnsi="宋体" w:eastAsia="宋体" w:cs="宋体"/>
          <w:color w:val="auto"/>
          <w:highlight w:val="none"/>
        </w:rPr>
      </w:pPr>
    </w:p>
    <w:p w14:paraId="3D9E2008">
      <w:pPr>
        <w:pStyle w:val="5"/>
        <w:rPr>
          <w:rFonts w:hint="eastAsia" w:ascii="宋体" w:hAnsi="宋体" w:eastAsia="宋体" w:cs="宋体"/>
          <w:b w:val="0"/>
          <w:bCs w:val="0"/>
          <w:color w:val="auto"/>
          <w:sz w:val="28"/>
          <w:highlight w:val="none"/>
        </w:rPr>
      </w:pPr>
      <w:bookmarkStart w:id="132" w:name="_Toc40975449"/>
      <w:bookmarkStart w:id="133" w:name="_Toc197934561"/>
      <w:bookmarkStart w:id="134" w:name="_Toc2396_WPSOffice_Level2"/>
      <w:r>
        <w:rPr>
          <w:rFonts w:hint="eastAsia" w:ascii="宋体" w:hAnsi="宋体" w:eastAsia="宋体" w:cs="宋体"/>
          <w:b w:val="0"/>
          <w:bCs w:val="0"/>
          <w:color w:val="auto"/>
          <w:sz w:val="28"/>
          <w:highlight w:val="none"/>
        </w:rPr>
        <w:br w:type="page"/>
      </w:r>
      <w:r>
        <w:rPr>
          <w:rFonts w:hint="eastAsia" w:ascii="宋体" w:hAnsi="宋体" w:eastAsia="宋体" w:cs="宋体"/>
          <w:b w:val="0"/>
          <w:bCs w:val="0"/>
          <w:color w:val="auto"/>
          <w:sz w:val="28"/>
          <w:highlight w:val="none"/>
        </w:rPr>
        <w:t>一．开标一览表</w:t>
      </w:r>
      <w:bookmarkEnd w:id="132"/>
      <w:bookmarkEnd w:id="133"/>
      <w:bookmarkEnd w:id="134"/>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3AB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19DCC378">
            <w:pPr>
              <w:widowControl/>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02EA4822">
            <w:pPr>
              <w:spacing w:line="360" w:lineRule="exact"/>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u w:val="single"/>
              </w:rPr>
              <w:t xml:space="preserve">   包</w:t>
            </w:r>
          </w:p>
        </w:tc>
      </w:tr>
      <w:tr w14:paraId="29BD6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72A3F5A2">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投标人全称</w:t>
            </w:r>
          </w:p>
        </w:tc>
        <w:tc>
          <w:tcPr>
            <w:tcW w:w="6309" w:type="dxa"/>
            <w:tcBorders>
              <w:top w:val="nil"/>
            </w:tcBorders>
            <w:noWrap w:val="0"/>
            <w:vAlign w:val="center"/>
          </w:tcPr>
          <w:p w14:paraId="2E0DB09B">
            <w:pPr>
              <w:spacing w:line="360" w:lineRule="auto"/>
              <w:rPr>
                <w:rFonts w:hint="eastAsia" w:ascii="宋体" w:hAnsi="宋体" w:eastAsia="宋体" w:cs="宋体"/>
                <w:color w:val="auto"/>
                <w:sz w:val="24"/>
                <w:highlight w:val="none"/>
              </w:rPr>
            </w:pPr>
          </w:p>
        </w:tc>
      </w:tr>
      <w:tr w14:paraId="1BFF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0696EA49">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投标范围</w:t>
            </w:r>
          </w:p>
        </w:tc>
        <w:tc>
          <w:tcPr>
            <w:tcW w:w="6309" w:type="dxa"/>
            <w:tcBorders>
              <w:top w:val="nil"/>
            </w:tcBorders>
            <w:noWrap w:val="0"/>
            <w:vAlign w:val="center"/>
          </w:tcPr>
          <w:p w14:paraId="00C20E91">
            <w:pPr>
              <w:widowControl/>
              <w:spacing w:line="360" w:lineRule="exact"/>
              <w:rPr>
                <w:rFonts w:hint="eastAsia" w:ascii="宋体" w:hAnsi="宋体" w:eastAsia="宋体" w:cs="宋体"/>
                <w:color w:val="auto"/>
                <w:sz w:val="24"/>
                <w:highlight w:val="none"/>
              </w:rPr>
            </w:pPr>
          </w:p>
        </w:tc>
      </w:tr>
      <w:tr w14:paraId="73971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49D88FD">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1、最终投标报价</w:t>
            </w:r>
          </w:p>
          <w:p w14:paraId="6ABAA633">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p w14:paraId="7D7E1DC0">
            <w:pPr>
              <w:spacing w:line="360" w:lineRule="exact"/>
              <w:rPr>
                <w:rFonts w:hint="eastAsia" w:ascii="宋体" w:hAnsi="宋体" w:eastAsia="宋体" w:cs="宋体"/>
                <w:color w:val="auto"/>
                <w:highlight w:val="none"/>
              </w:rPr>
            </w:pPr>
          </w:p>
        </w:tc>
        <w:tc>
          <w:tcPr>
            <w:tcW w:w="6309" w:type="dxa"/>
            <w:tcBorders>
              <w:top w:val="nil"/>
            </w:tcBorders>
            <w:noWrap w:val="0"/>
            <w:vAlign w:val="center"/>
          </w:tcPr>
          <w:p w14:paraId="1B0A7389">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1、投标报价：        元、大写：         </w:t>
            </w:r>
          </w:p>
          <w:p w14:paraId="5123F8B9">
            <w:pPr>
              <w:pStyle w:val="22"/>
              <w:ind w:right="-21" w:firstLine="540"/>
              <w:rPr>
                <w:rFonts w:hint="eastAsia" w:ascii="宋体" w:hAnsi="宋体" w:eastAsia="宋体" w:cs="宋体"/>
                <w:color w:val="auto"/>
                <w:highlight w:val="none"/>
              </w:rPr>
            </w:pPr>
          </w:p>
        </w:tc>
      </w:tr>
      <w:tr w14:paraId="431D6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1C28AAD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6309" w:type="dxa"/>
            <w:tcBorders>
              <w:top w:val="nil"/>
            </w:tcBorders>
            <w:noWrap w:val="0"/>
            <w:vAlign w:val="center"/>
          </w:tcPr>
          <w:p w14:paraId="55432EC5">
            <w:pPr>
              <w:spacing w:line="360" w:lineRule="auto"/>
              <w:jc w:val="left"/>
              <w:rPr>
                <w:rFonts w:hint="eastAsia" w:ascii="宋体" w:hAnsi="宋体" w:eastAsia="宋体" w:cs="宋体"/>
                <w:color w:val="auto"/>
                <w:sz w:val="24"/>
                <w:szCs w:val="28"/>
                <w:highlight w:val="none"/>
              </w:rPr>
            </w:pPr>
          </w:p>
        </w:tc>
      </w:tr>
    </w:tbl>
    <w:p w14:paraId="10655D3F">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供应商名称：（电子公章）</w:t>
      </w:r>
    </w:p>
    <w:p w14:paraId="1F5C919B">
      <w:pPr>
        <w:spacing w:line="380" w:lineRule="exact"/>
        <w:ind w:right="640" w:firstLine="1560" w:firstLineChars="650"/>
        <w:rPr>
          <w:rFonts w:hint="eastAsia" w:ascii="宋体" w:hAnsi="宋体" w:eastAsia="宋体" w:cs="宋体"/>
          <w:color w:val="auto"/>
          <w:sz w:val="24"/>
          <w:highlight w:val="none"/>
        </w:rPr>
      </w:pPr>
    </w:p>
    <w:p w14:paraId="55165EF2">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授权委托人和法人：（签</w:t>
      </w:r>
      <w:r>
        <w:rPr>
          <w:rFonts w:hint="eastAsia" w:ascii="宋体" w:hAnsi="宋体" w:eastAsia="宋体" w:cs="宋体"/>
          <w:color w:val="auto"/>
          <w:sz w:val="24"/>
          <w:highlight w:val="none"/>
          <w:lang w:eastAsia="zh-CN"/>
        </w:rPr>
        <w:t>字</w:t>
      </w:r>
      <w:r>
        <w:rPr>
          <w:rFonts w:hint="eastAsia" w:ascii="宋体" w:hAnsi="宋体" w:eastAsia="宋体" w:cs="宋体"/>
          <w:color w:val="auto"/>
          <w:sz w:val="24"/>
          <w:highlight w:val="none"/>
        </w:rPr>
        <w:t>）</w:t>
      </w:r>
    </w:p>
    <w:p w14:paraId="6A91A515">
      <w:pPr>
        <w:spacing w:line="380" w:lineRule="exact"/>
        <w:jc w:val="center"/>
        <w:rPr>
          <w:rFonts w:hint="eastAsia" w:ascii="宋体" w:hAnsi="宋体" w:eastAsia="宋体" w:cs="宋体"/>
          <w:color w:val="auto"/>
          <w:sz w:val="24"/>
          <w:highlight w:val="none"/>
        </w:rPr>
      </w:pPr>
    </w:p>
    <w:p w14:paraId="40EDB6C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11C92049">
      <w:pPr>
        <w:spacing w:before="100" w:beforeAutospacing="1" w:after="100" w:afterAutospacing="1"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2AA18C8B">
      <w:pPr>
        <w:spacing w:line="500" w:lineRule="exact"/>
        <w:jc w:val="center"/>
        <w:rPr>
          <w:rFonts w:hint="eastAsia" w:ascii="宋体" w:hAnsi="宋体" w:eastAsia="宋体" w:cs="宋体"/>
          <w:color w:val="auto"/>
          <w:sz w:val="30"/>
          <w:highlight w:val="none"/>
        </w:rPr>
      </w:pPr>
    </w:p>
    <w:p w14:paraId="18CCEB18">
      <w:pPr>
        <w:spacing w:line="500" w:lineRule="exact"/>
        <w:jc w:val="center"/>
        <w:rPr>
          <w:rFonts w:hint="eastAsia" w:ascii="宋体" w:hAnsi="宋体" w:eastAsia="宋体" w:cs="宋体"/>
          <w:color w:val="auto"/>
          <w:sz w:val="30"/>
          <w:highlight w:val="none"/>
        </w:rPr>
      </w:pPr>
    </w:p>
    <w:p w14:paraId="54293739">
      <w:pPr>
        <w:spacing w:line="500" w:lineRule="exact"/>
        <w:jc w:val="center"/>
        <w:rPr>
          <w:rFonts w:hint="eastAsia" w:ascii="宋体" w:hAnsi="宋体" w:eastAsia="宋体" w:cs="宋体"/>
          <w:color w:val="auto"/>
          <w:sz w:val="30"/>
          <w:highlight w:val="none"/>
        </w:rPr>
      </w:pPr>
    </w:p>
    <w:p w14:paraId="59D6E780">
      <w:pPr>
        <w:pStyle w:val="5"/>
        <w:rPr>
          <w:rFonts w:hint="eastAsia" w:ascii="宋体" w:hAnsi="宋体" w:eastAsia="宋体" w:cs="宋体"/>
          <w:b w:val="0"/>
          <w:bCs w:val="0"/>
          <w:color w:val="auto"/>
          <w:sz w:val="28"/>
          <w:highlight w:val="none"/>
        </w:rPr>
      </w:pPr>
      <w:bookmarkStart w:id="135" w:name="_Hlt519045798"/>
      <w:bookmarkEnd w:id="135"/>
      <w:bookmarkStart w:id="136" w:name="_Hlt533409360"/>
      <w:bookmarkEnd w:id="136"/>
      <w:bookmarkStart w:id="137" w:name="_Hlt533408916"/>
      <w:bookmarkEnd w:id="137"/>
      <w:bookmarkStart w:id="138" w:name="_Hlt533408409"/>
      <w:bookmarkEnd w:id="138"/>
      <w:bookmarkStart w:id="139" w:name="_Hlt509716873"/>
      <w:bookmarkEnd w:id="139"/>
      <w:bookmarkStart w:id="140" w:name="_Toc516969097"/>
      <w:bookmarkStart w:id="141" w:name="_Toc11175_WPSOffice_Level2"/>
      <w:bookmarkStart w:id="142" w:name="_Toc40975450"/>
      <w:bookmarkStart w:id="143" w:name="_Toc197934563"/>
      <w:r>
        <w:rPr>
          <w:rFonts w:hint="eastAsia" w:ascii="宋体" w:hAnsi="宋体" w:eastAsia="宋体" w:cs="宋体"/>
          <w:b w:val="0"/>
          <w:bCs w:val="0"/>
          <w:color w:val="auto"/>
          <w:sz w:val="28"/>
          <w:highlight w:val="none"/>
        </w:rPr>
        <w:t>二．投标人综合情况简介</w:t>
      </w:r>
      <w:bookmarkEnd w:id="140"/>
      <w:bookmarkEnd w:id="141"/>
      <w:bookmarkEnd w:id="142"/>
    </w:p>
    <w:p w14:paraId="3630E5BE">
      <w:pPr>
        <w:spacing w:line="5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(投标人可自行制作格式)</w:t>
      </w:r>
    </w:p>
    <w:p w14:paraId="05F8F20E">
      <w:pPr>
        <w:spacing w:line="500" w:lineRule="exact"/>
        <w:jc w:val="center"/>
        <w:rPr>
          <w:rFonts w:hint="eastAsia" w:ascii="宋体" w:hAnsi="宋体" w:eastAsia="宋体" w:cs="宋体"/>
          <w:color w:val="auto"/>
          <w:sz w:val="28"/>
          <w:highlight w:val="none"/>
        </w:rPr>
      </w:pPr>
    </w:p>
    <w:p w14:paraId="502762C7">
      <w:pPr>
        <w:spacing w:line="500" w:lineRule="exact"/>
        <w:jc w:val="center"/>
        <w:rPr>
          <w:rFonts w:hint="eastAsia" w:ascii="宋体" w:hAnsi="宋体" w:eastAsia="宋体" w:cs="宋体"/>
          <w:color w:val="auto"/>
          <w:sz w:val="28"/>
          <w:highlight w:val="none"/>
        </w:rPr>
      </w:pPr>
    </w:p>
    <w:p w14:paraId="5626E4BE">
      <w:pPr>
        <w:spacing w:line="500" w:lineRule="exact"/>
        <w:jc w:val="center"/>
        <w:rPr>
          <w:rFonts w:hint="eastAsia" w:ascii="宋体" w:hAnsi="宋体" w:eastAsia="宋体" w:cs="宋体"/>
          <w:color w:val="auto"/>
          <w:sz w:val="28"/>
          <w:highlight w:val="none"/>
        </w:rPr>
      </w:pPr>
    </w:p>
    <w:p w14:paraId="77391D06">
      <w:pPr>
        <w:spacing w:line="500" w:lineRule="exact"/>
        <w:jc w:val="center"/>
        <w:rPr>
          <w:rFonts w:hint="eastAsia" w:ascii="宋体" w:hAnsi="宋体" w:eastAsia="宋体" w:cs="宋体"/>
          <w:color w:val="auto"/>
          <w:sz w:val="28"/>
          <w:highlight w:val="none"/>
        </w:rPr>
      </w:pPr>
    </w:p>
    <w:p w14:paraId="2214D06F">
      <w:pPr>
        <w:spacing w:line="500" w:lineRule="exact"/>
        <w:jc w:val="center"/>
        <w:rPr>
          <w:rFonts w:hint="eastAsia" w:ascii="宋体" w:hAnsi="宋体" w:eastAsia="宋体" w:cs="宋体"/>
          <w:color w:val="auto"/>
          <w:sz w:val="28"/>
          <w:highlight w:val="none"/>
        </w:rPr>
      </w:pPr>
    </w:p>
    <w:p w14:paraId="7B4ADEAD">
      <w:pPr>
        <w:pStyle w:val="17"/>
        <w:rPr>
          <w:rFonts w:hint="eastAsia" w:ascii="宋体" w:hAnsi="宋体" w:eastAsia="宋体" w:cs="宋体"/>
          <w:color w:val="auto"/>
          <w:highlight w:val="none"/>
        </w:rPr>
      </w:pPr>
    </w:p>
    <w:p w14:paraId="52572566">
      <w:pPr>
        <w:pStyle w:val="17"/>
        <w:rPr>
          <w:rFonts w:hint="eastAsia" w:ascii="宋体" w:hAnsi="宋体" w:eastAsia="宋体" w:cs="宋体"/>
          <w:color w:val="auto"/>
          <w:highlight w:val="none"/>
        </w:rPr>
      </w:pPr>
    </w:p>
    <w:p w14:paraId="67E0A1F8">
      <w:pPr>
        <w:spacing w:line="500" w:lineRule="exact"/>
        <w:jc w:val="center"/>
        <w:rPr>
          <w:rFonts w:hint="eastAsia" w:ascii="宋体" w:hAnsi="宋体" w:eastAsia="宋体" w:cs="宋体"/>
          <w:color w:val="auto"/>
          <w:sz w:val="28"/>
          <w:highlight w:val="none"/>
        </w:rPr>
      </w:pPr>
    </w:p>
    <w:p w14:paraId="65CF48E3">
      <w:pPr>
        <w:spacing w:line="500" w:lineRule="exact"/>
        <w:jc w:val="center"/>
        <w:rPr>
          <w:rFonts w:hint="eastAsia" w:ascii="宋体" w:hAnsi="宋体" w:eastAsia="宋体" w:cs="宋体"/>
          <w:color w:val="auto"/>
          <w:sz w:val="28"/>
          <w:highlight w:val="none"/>
        </w:rPr>
      </w:pPr>
    </w:p>
    <w:p w14:paraId="156E1285">
      <w:pPr>
        <w:spacing w:line="500" w:lineRule="exact"/>
        <w:jc w:val="center"/>
        <w:rPr>
          <w:rFonts w:hint="eastAsia" w:ascii="宋体" w:hAnsi="宋体" w:eastAsia="宋体" w:cs="宋体"/>
          <w:color w:val="auto"/>
          <w:sz w:val="28"/>
          <w:highlight w:val="none"/>
        </w:rPr>
      </w:pPr>
    </w:p>
    <w:p w14:paraId="3F5A85A6">
      <w:pPr>
        <w:spacing w:line="500" w:lineRule="exact"/>
        <w:jc w:val="center"/>
        <w:rPr>
          <w:rFonts w:hint="eastAsia" w:ascii="宋体" w:hAnsi="宋体" w:eastAsia="宋体" w:cs="宋体"/>
          <w:color w:val="auto"/>
          <w:sz w:val="28"/>
          <w:highlight w:val="none"/>
        </w:rPr>
      </w:pPr>
    </w:p>
    <w:p w14:paraId="3A413251">
      <w:pPr>
        <w:spacing w:line="500" w:lineRule="exact"/>
        <w:jc w:val="center"/>
        <w:rPr>
          <w:rFonts w:hint="eastAsia" w:ascii="宋体" w:hAnsi="宋体" w:eastAsia="宋体" w:cs="宋体"/>
          <w:color w:val="auto"/>
          <w:sz w:val="28"/>
          <w:highlight w:val="none"/>
        </w:rPr>
      </w:pPr>
    </w:p>
    <w:p w14:paraId="6A112D99">
      <w:pPr>
        <w:pStyle w:val="17"/>
        <w:rPr>
          <w:rFonts w:hint="eastAsia" w:ascii="宋体" w:hAnsi="宋体" w:eastAsia="宋体" w:cs="宋体"/>
          <w:color w:val="auto"/>
          <w:highlight w:val="none"/>
        </w:rPr>
      </w:pPr>
    </w:p>
    <w:p w14:paraId="79236278">
      <w:pPr>
        <w:pStyle w:val="17"/>
        <w:rPr>
          <w:rFonts w:hint="eastAsia" w:ascii="宋体" w:hAnsi="宋体" w:eastAsia="宋体" w:cs="宋体"/>
          <w:color w:val="auto"/>
          <w:highlight w:val="none"/>
        </w:rPr>
      </w:pPr>
    </w:p>
    <w:p w14:paraId="573198B6">
      <w:pPr>
        <w:pStyle w:val="17"/>
        <w:rPr>
          <w:rFonts w:hint="eastAsia" w:ascii="宋体" w:hAnsi="宋体" w:eastAsia="宋体" w:cs="宋体"/>
          <w:color w:val="auto"/>
          <w:highlight w:val="none"/>
        </w:rPr>
      </w:pPr>
    </w:p>
    <w:p w14:paraId="5F494A81">
      <w:pPr>
        <w:pStyle w:val="17"/>
        <w:rPr>
          <w:rFonts w:hint="eastAsia" w:ascii="宋体" w:hAnsi="宋体" w:eastAsia="宋体" w:cs="宋体"/>
          <w:color w:val="auto"/>
          <w:highlight w:val="none"/>
        </w:rPr>
      </w:pPr>
    </w:p>
    <w:p w14:paraId="6C3AE652">
      <w:pPr>
        <w:spacing w:line="500" w:lineRule="exact"/>
        <w:jc w:val="center"/>
        <w:rPr>
          <w:rFonts w:hint="eastAsia" w:ascii="宋体" w:hAnsi="宋体" w:eastAsia="宋体" w:cs="宋体"/>
          <w:color w:val="auto"/>
          <w:sz w:val="28"/>
          <w:highlight w:val="none"/>
        </w:rPr>
      </w:pPr>
    </w:p>
    <w:p w14:paraId="0CD325CE">
      <w:pPr>
        <w:spacing w:line="500" w:lineRule="exact"/>
        <w:jc w:val="center"/>
        <w:rPr>
          <w:rFonts w:hint="eastAsia" w:ascii="宋体" w:hAnsi="宋体" w:eastAsia="宋体" w:cs="宋体"/>
          <w:color w:val="auto"/>
          <w:sz w:val="28"/>
          <w:highlight w:val="none"/>
        </w:rPr>
      </w:pPr>
    </w:p>
    <w:p w14:paraId="533EEE36">
      <w:pPr>
        <w:spacing w:line="500" w:lineRule="exact"/>
        <w:jc w:val="center"/>
        <w:rPr>
          <w:rFonts w:hint="eastAsia" w:ascii="宋体" w:hAnsi="宋体" w:eastAsia="宋体" w:cs="宋体"/>
          <w:color w:val="auto"/>
          <w:sz w:val="28"/>
          <w:highlight w:val="none"/>
        </w:rPr>
      </w:pPr>
    </w:p>
    <w:p w14:paraId="0B5720CC">
      <w:pPr>
        <w:spacing w:line="500" w:lineRule="exact"/>
        <w:jc w:val="center"/>
        <w:rPr>
          <w:rFonts w:hint="eastAsia" w:ascii="宋体" w:hAnsi="宋体" w:eastAsia="宋体" w:cs="宋体"/>
          <w:color w:val="auto"/>
          <w:sz w:val="28"/>
          <w:highlight w:val="none"/>
        </w:rPr>
      </w:pPr>
    </w:p>
    <w:p w14:paraId="0AB332B3">
      <w:pPr>
        <w:pStyle w:val="17"/>
        <w:rPr>
          <w:rFonts w:hint="eastAsia" w:ascii="宋体" w:hAnsi="宋体" w:eastAsia="宋体" w:cs="宋体"/>
          <w:color w:val="auto"/>
          <w:highlight w:val="none"/>
        </w:rPr>
      </w:pPr>
    </w:p>
    <w:p w14:paraId="4274B12B">
      <w:pPr>
        <w:pStyle w:val="17"/>
        <w:rPr>
          <w:rFonts w:hint="eastAsia" w:ascii="宋体" w:hAnsi="宋体" w:eastAsia="宋体" w:cs="宋体"/>
          <w:color w:val="auto"/>
          <w:highlight w:val="none"/>
        </w:rPr>
      </w:pPr>
    </w:p>
    <w:p w14:paraId="0BC6EAB3">
      <w:pPr>
        <w:pStyle w:val="17"/>
        <w:rPr>
          <w:rFonts w:hint="eastAsia" w:ascii="宋体" w:hAnsi="宋体" w:eastAsia="宋体" w:cs="宋体"/>
          <w:color w:val="auto"/>
          <w:highlight w:val="none"/>
        </w:rPr>
      </w:pPr>
    </w:p>
    <w:p w14:paraId="2FF3909A">
      <w:pPr>
        <w:pStyle w:val="17"/>
        <w:rPr>
          <w:rFonts w:hint="eastAsia" w:ascii="宋体" w:hAnsi="宋体" w:eastAsia="宋体" w:cs="宋体"/>
          <w:color w:val="auto"/>
          <w:highlight w:val="none"/>
        </w:rPr>
      </w:pPr>
    </w:p>
    <w:p w14:paraId="02964339">
      <w:pPr>
        <w:pStyle w:val="17"/>
        <w:rPr>
          <w:rFonts w:hint="eastAsia" w:ascii="宋体" w:hAnsi="宋体" w:eastAsia="宋体" w:cs="宋体"/>
          <w:color w:val="auto"/>
          <w:highlight w:val="none"/>
        </w:rPr>
      </w:pPr>
    </w:p>
    <w:p w14:paraId="6085C9A6">
      <w:pPr>
        <w:spacing w:line="500" w:lineRule="exact"/>
        <w:jc w:val="center"/>
        <w:rPr>
          <w:rFonts w:hint="eastAsia" w:ascii="宋体" w:hAnsi="宋体" w:eastAsia="宋体" w:cs="宋体"/>
          <w:color w:val="auto"/>
          <w:sz w:val="28"/>
          <w:highlight w:val="none"/>
        </w:rPr>
      </w:pPr>
    </w:p>
    <w:p w14:paraId="49C67673">
      <w:pPr>
        <w:spacing w:line="500" w:lineRule="exact"/>
        <w:jc w:val="center"/>
        <w:rPr>
          <w:rFonts w:hint="eastAsia" w:ascii="宋体" w:hAnsi="宋体" w:eastAsia="宋体" w:cs="宋体"/>
          <w:color w:val="auto"/>
          <w:sz w:val="28"/>
          <w:highlight w:val="none"/>
        </w:rPr>
      </w:pPr>
    </w:p>
    <w:p w14:paraId="7A043736">
      <w:pPr>
        <w:spacing w:line="500" w:lineRule="exact"/>
        <w:jc w:val="center"/>
        <w:rPr>
          <w:rFonts w:hint="eastAsia" w:ascii="宋体" w:hAnsi="宋体" w:eastAsia="宋体" w:cs="宋体"/>
          <w:color w:val="auto"/>
          <w:sz w:val="28"/>
          <w:highlight w:val="none"/>
        </w:rPr>
      </w:pPr>
    </w:p>
    <w:p w14:paraId="472E929E">
      <w:pPr>
        <w:spacing w:line="500" w:lineRule="exact"/>
        <w:jc w:val="center"/>
        <w:rPr>
          <w:rFonts w:hint="eastAsia" w:ascii="宋体" w:hAnsi="宋体" w:eastAsia="宋体" w:cs="宋体"/>
          <w:color w:val="auto"/>
          <w:sz w:val="28"/>
          <w:highlight w:val="none"/>
        </w:rPr>
      </w:pPr>
    </w:p>
    <w:p w14:paraId="407747BA">
      <w:pPr>
        <w:pStyle w:val="5"/>
        <w:spacing w:after="240"/>
        <w:rPr>
          <w:rFonts w:hint="eastAsia" w:ascii="宋体" w:hAnsi="宋体" w:eastAsia="宋体" w:cs="宋体"/>
          <w:b w:val="0"/>
          <w:bCs w:val="0"/>
          <w:color w:val="auto"/>
          <w:sz w:val="28"/>
          <w:highlight w:val="none"/>
        </w:rPr>
      </w:pPr>
      <w:bookmarkStart w:id="144" w:name="_Hlt509739007"/>
      <w:bookmarkEnd w:id="144"/>
      <w:bookmarkStart w:id="145" w:name="_Toc1391_WPSOffice_Level2"/>
      <w:bookmarkStart w:id="146" w:name="_Toc40975451"/>
      <w:bookmarkStart w:id="147" w:name="_Toc516969098"/>
      <w:r>
        <w:rPr>
          <w:rFonts w:hint="eastAsia" w:ascii="宋体" w:hAnsi="宋体" w:eastAsia="宋体" w:cs="宋体"/>
          <w:b w:val="0"/>
          <w:bCs w:val="0"/>
          <w:color w:val="auto"/>
          <w:sz w:val="28"/>
          <w:highlight w:val="none"/>
        </w:rPr>
        <w:t>三．投标函</w:t>
      </w:r>
      <w:bookmarkEnd w:id="145"/>
      <w:bookmarkEnd w:id="146"/>
      <w:bookmarkEnd w:id="147"/>
    </w:p>
    <w:p w14:paraId="69C03420">
      <w:pPr>
        <w:pStyle w:val="13"/>
        <w:spacing w:line="360" w:lineRule="auto"/>
        <w:rPr>
          <w:rFonts w:hint="eastAsia" w:ascii="宋体" w:hAnsi="宋体" w:eastAsia="宋体" w:cs="宋体"/>
          <w:b w:val="0"/>
          <w:color w:val="auto"/>
          <w:sz w:val="24"/>
          <w:highlight w:val="none"/>
        </w:rPr>
      </w:pPr>
      <w:r>
        <w:rPr>
          <w:rFonts w:hint="eastAsia" w:ascii="宋体" w:hAnsi="宋体" w:eastAsia="宋体" w:cs="宋体"/>
          <w:b w:val="0"/>
          <w:color w:val="auto"/>
          <w:sz w:val="24"/>
          <w:highlight w:val="none"/>
        </w:rPr>
        <w:t>致：（采购人或采购代理机构）</w:t>
      </w:r>
    </w:p>
    <w:p w14:paraId="766FE8BD">
      <w:pPr>
        <w:spacing w:line="360" w:lineRule="auto"/>
        <w:ind w:left="239" w:leftChars="114" w:firstLine="386" w:firstLineChars="161"/>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根据贵方“项目名称、项目编号”项目招标邀请书或招标公告，正式授权下述签字人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（姓名）代表投标人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（投标人全称），提交规定形式的投标文件。</w:t>
      </w:r>
    </w:p>
    <w:p w14:paraId="38076617">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据此函，我方兹宣布同意如下：</w:t>
      </w:r>
    </w:p>
    <w:p w14:paraId="5A3BD903">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（1）如我公司中标，愿意按招标文件规定提供交付货物（包括安装调试等工作）的总报价为人民币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元，供货期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268538C1">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（2）我方根据招标文件的规定，严格履行合同的责任和义务,并保证于买方要求的日期内完成供货、安装及服务，并通过买方验收。</w:t>
      </w:r>
    </w:p>
    <w:p w14:paraId="4420D7CB">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（3）我方承诺报价低于同类货物和服务的市场平均价格。</w:t>
      </w:r>
    </w:p>
    <w:p w14:paraId="16DFE5EE">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229CD1B8">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（5）我方同意从招标文件规定的开标日期起遵循本投标文件，并在招标文件规定的投标有效期之前均具有约束力。</w:t>
      </w:r>
    </w:p>
    <w:p w14:paraId="39EC0F8B">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2CB38D3">
      <w:pPr>
        <w:pStyle w:val="30"/>
        <w:spacing w:line="360" w:lineRule="auto"/>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（7） 我方同意从招标文件规定的开标日期起遵循本投标文件，并在招标文件规定的投标有效期之前均具有约束力；投标函按统一格式填写，由投标单位加盖公章，并由投标单位法定代表人或其授权代表人签字或盖章。</w:t>
      </w:r>
    </w:p>
    <w:p w14:paraId="48BE73BB">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（8）我方完全理解贵方不一定接受最低报价的投标。</w:t>
      </w:r>
    </w:p>
    <w:p w14:paraId="6F24BE6C">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（9）我方同意招标文件规定的付款方式。</w:t>
      </w:r>
    </w:p>
    <w:p w14:paraId="40FD4D3B">
      <w:pPr>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（10）与本投标有关的通讯地址：</w:t>
      </w:r>
      <w:r>
        <w:rPr>
          <w:rFonts w:hint="eastAsia" w:ascii="宋体" w:hAnsi="宋体" w:eastAsia="宋体" w:cs="宋体"/>
          <w:color w:val="auto"/>
          <w:sz w:val="24"/>
          <w:highlight w:val="none"/>
          <w:u w:val="single"/>
        </w:rPr>
        <w:t xml:space="preserve">                                  </w:t>
      </w:r>
    </w:p>
    <w:p w14:paraId="4D68168C">
      <w:pPr>
        <w:pStyle w:val="30"/>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（11）本项目项目责任人：   电话：</w:t>
      </w:r>
    </w:p>
    <w:p w14:paraId="62832648">
      <w:pPr>
        <w:spacing w:line="380" w:lineRule="exact"/>
        <w:ind w:firstLine="1920" w:firstLineChars="8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szCs w:val="28"/>
          <w:highlight w:val="none"/>
        </w:rPr>
        <w:t>电子签章</w:t>
      </w:r>
      <w:r>
        <w:rPr>
          <w:rFonts w:hint="eastAsia" w:ascii="宋体" w:hAnsi="宋体" w:eastAsia="宋体" w:cs="宋体"/>
          <w:color w:val="auto"/>
          <w:sz w:val="24"/>
          <w:highlight w:val="none"/>
        </w:rPr>
        <w:t>）</w:t>
      </w:r>
    </w:p>
    <w:p w14:paraId="425CD253">
      <w:pPr>
        <w:spacing w:line="380" w:lineRule="exact"/>
        <w:ind w:right="640" w:firstLine="1680" w:firstLineChars="7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     （个人签字或盖章）</w:t>
      </w:r>
    </w:p>
    <w:p w14:paraId="0444523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53FC2296">
      <w:pPr>
        <w:spacing w:line="380" w:lineRule="exact"/>
        <w:jc w:val="center"/>
        <w:rPr>
          <w:rFonts w:hint="eastAsia" w:ascii="宋体" w:hAnsi="宋体" w:eastAsia="宋体" w:cs="宋体"/>
          <w:color w:val="auto"/>
          <w:sz w:val="24"/>
          <w:highlight w:val="none"/>
        </w:rPr>
      </w:pPr>
    </w:p>
    <w:p w14:paraId="22565D9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bookmarkEnd w:id="143"/>
    <w:p w14:paraId="40FE43C5">
      <w:pPr>
        <w:pStyle w:val="5"/>
        <w:rPr>
          <w:rFonts w:hint="eastAsia" w:ascii="宋体" w:hAnsi="宋体" w:eastAsia="宋体" w:cs="宋体"/>
          <w:b w:val="0"/>
          <w:bCs w:val="0"/>
          <w:color w:val="auto"/>
          <w:sz w:val="28"/>
          <w:szCs w:val="36"/>
          <w:highlight w:val="none"/>
        </w:rPr>
      </w:pPr>
      <w:bookmarkStart w:id="148" w:name="_Toc40975452"/>
      <w:bookmarkStart w:id="149" w:name="_Toc24077_WPSOffice_Level2"/>
      <w:bookmarkStart w:id="150" w:name="_Toc220232409"/>
      <w:r>
        <w:rPr>
          <w:rFonts w:hint="eastAsia" w:ascii="宋体" w:hAnsi="宋体" w:eastAsia="宋体" w:cs="宋体"/>
          <w:b w:val="0"/>
          <w:bCs w:val="0"/>
          <w:color w:val="auto"/>
          <w:sz w:val="28"/>
          <w:highlight w:val="none"/>
        </w:rPr>
        <w:t>四．投标分项报价表</w:t>
      </w:r>
      <w:bookmarkEnd w:id="148"/>
      <w:bookmarkEnd w:id="149"/>
      <w:bookmarkEnd w:id="150"/>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71B80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4B2E8AC1">
            <w:pPr>
              <w:pStyle w:val="39"/>
              <w:widowControl w:val="0"/>
              <w:spacing w:before="0" w:beforeAutospacing="0" w:after="0" w:afterAutospacing="0"/>
              <w:rPr>
                <w:rFonts w:hint="eastAsia" w:ascii="宋体" w:hAnsi="宋体" w:eastAsia="宋体" w:cs="宋体"/>
                <w:b w:val="0"/>
                <w:bCs w:val="0"/>
                <w:color w:val="auto"/>
                <w:kern w:val="2"/>
                <w:sz w:val="24"/>
                <w:szCs w:val="20"/>
                <w:highlight w:val="none"/>
              </w:rPr>
            </w:pPr>
            <w:r>
              <w:rPr>
                <w:rFonts w:hint="eastAsia" w:ascii="宋体" w:hAnsi="宋体" w:eastAsia="宋体" w:cs="宋体"/>
                <w:b w:val="0"/>
                <w:bCs w:val="0"/>
                <w:color w:val="auto"/>
                <w:kern w:val="2"/>
                <w:sz w:val="24"/>
                <w:szCs w:val="20"/>
                <w:highlight w:val="none"/>
              </w:rPr>
              <w:t>序号</w:t>
            </w:r>
          </w:p>
        </w:tc>
        <w:tc>
          <w:tcPr>
            <w:tcW w:w="2205" w:type="dxa"/>
            <w:noWrap w:val="0"/>
            <w:vAlign w:val="center"/>
          </w:tcPr>
          <w:p w14:paraId="739E781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品名品牌、规格型号、原产地及生产厂家</w:t>
            </w:r>
          </w:p>
        </w:tc>
        <w:tc>
          <w:tcPr>
            <w:tcW w:w="957" w:type="dxa"/>
            <w:noWrap w:val="0"/>
            <w:vAlign w:val="center"/>
          </w:tcPr>
          <w:p w14:paraId="2EFFD71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单位</w:t>
            </w:r>
          </w:p>
        </w:tc>
        <w:tc>
          <w:tcPr>
            <w:tcW w:w="840" w:type="dxa"/>
            <w:noWrap w:val="0"/>
            <w:vAlign w:val="center"/>
          </w:tcPr>
          <w:p w14:paraId="3115005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1260" w:type="dxa"/>
            <w:noWrap w:val="0"/>
            <w:vAlign w:val="center"/>
          </w:tcPr>
          <w:p w14:paraId="7CE4792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单价</w:t>
            </w:r>
          </w:p>
        </w:tc>
        <w:tc>
          <w:tcPr>
            <w:tcW w:w="1340" w:type="dxa"/>
            <w:noWrap w:val="0"/>
            <w:vAlign w:val="center"/>
          </w:tcPr>
          <w:p w14:paraId="18E3F3A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小计</w:t>
            </w:r>
          </w:p>
        </w:tc>
        <w:tc>
          <w:tcPr>
            <w:tcW w:w="922" w:type="dxa"/>
            <w:noWrap w:val="0"/>
            <w:vAlign w:val="center"/>
          </w:tcPr>
          <w:p w14:paraId="6055D2A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6C67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2A6DEBA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205" w:type="dxa"/>
            <w:noWrap w:val="0"/>
            <w:vAlign w:val="top"/>
          </w:tcPr>
          <w:p w14:paraId="582C888F">
            <w:pPr>
              <w:rPr>
                <w:rFonts w:hint="eastAsia" w:ascii="宋体" w:hAnsi="宋体" w:eastAsia="宋体" w:cs="宋体"/>
                <w:color w:val="auto"/>
                <w:sz w:val="24"/>
                <w:highlight w:val="none"/>
              </w:rPr>
            </w:pPr>
          </w:p>
        </w:tc>
        <w:tc>
          <w:tcPr>
            <w:tcW w:w="957" w:type="dxa"/>
            <w:noWrap w:val="0"/>
            <w:vAlign w:val="top"/>
          </w:tcPr>
          <w:p w14:paraId="6D496156">
            <w:pPr>
              <w:rPr>
                <w:rFonts w:hint="eastAsia" w:ascii="宋体" w:hAnsi="宋体" w:eastAsia="宋体" w:cs="宋体"/>
                <w:color w:val="auto"/>
                <w:sz w:val="24"/>
                <w:highlight w:val="none"/>
              </w:rPr>
            </w:pPr>
          </w:p>
        </w:tc>
        <w:tc>
          <w:tcPr>
            <w:tcW w:w="840" w:type="dxa"/>
            <w:noWrap w:val="0"/>
            <w:vAlign w:val="top"/>
          </w:tcPr>
          <w:p w14:paraId="429388E8">
            <w:pPr>
              <w:rPr>
                <w:rFonts w:hint="eastAsia" w:ascii="宋体" w:hAnsi="宋体" w:eastAsia="宋体" w:cs="宋体"/>
                <w:color w:val="auto"/>
                <w:sz w:val="24"/>
                <w:highlight w:val="none"/>
              </w:rPr>
            </w:pPr>
          </w:p>
        </w:tc>
        <w:tc>
          <w:tcPr>
            <w:tcW w:w="1260" w:type="dxa"/>
            <w:noWrap w:val="0"/>
            <w:vAlign w:val="top"/>
          </w:tcPr>
          <w:p w14:paraId="77F07328">
            <w:pPr>
              <w:rPr>
                <w:rFonts w:hint="eastAsia" w:ascii="宋体" w:hAnsi="宋体" w:eastAsia="宋体" w:cs="宋体"/>
                <w:color w:val="auto"/>
                <w:sz w:val="24"/>
                <w:highlight w:val="none"/>
              </w:rPr>
            </w:pPr>
          </w:p>
        </w:tc>
        <w:tc>
          <w:tcPr>
            <w:tcW w:w="1340" w:type="dxa"/>
            <w:noWrap w:val="0"/>
            <w:vAlign w:val="top"/>
          </w:tcPr>
          <w:p w14:paraId="69471FA1">
            <w:pPr>
              <w:rPr>
                <w:rFonts w:hint="eastAsia" w:ascii="宋体" w:hAnsi="宋体" w:eastAsia="宋体" w:cs="宋体"/>
                <w:color w:val="auto"/>
                <w:sz w:val="24"/>
                <w:highlight w:val="none"/>
              </w:rPr>
            </w:pPr>
          </w:p>
        </w:tc>
        <w:tc>
          <w:tcPr>
            <w:tcW w:w="922" w:type="dxa"/>
            <w:noWrap w:val="0"/>
            <w:vAlign w:val="top"/>
          </w:tcPr>
          <w:p w14:paraId="1BE7CC1C">
            <w:pPr>
              <w:rPr>
                <w:rFonts w:hint="eastAsia" w:ascii="宋体" w:hAnsi="宋体" w:eastAsia="宋体" w:cs="宋体"/>
                <w:color w:val="auto"/>
                <w:sz w:val="24"/>
                <w:highlight w:val="none"/>
              </w:rPr>
            </w:pPr>
          </w:p>
        </w:tc>
      </w:tr>
      <w:tr w14:paraId="4CD78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F1861B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205" w:type="dxa"/>
            <w:noWrap w:val="0"/>
            <w:vAlign w:val="top"/>
          </w:tcPr>
          <w:p w14:paraId="71FC902D">
            <w:pPr>
              <w:rPr>
                <w:rFonts w:hint="eastAsia" w:ascii="宋体" w:hAnsi="宋体" w:eastAsia="宋体" w:cs="宋体"/>
                <w:color w:val="auto"/>
                <w:sz w:val="24"/>
                <w:highlight w:val="none"/>
              </w:rPr>
            </w:pPr>
          </w:p>
        </w:tc>
        <w:tc>
          <w:tcPr>
            <w:tcW w:w="957" w:type="dxa"/>
            <w:noWrap w:val="0"/>
            <w:vAlign w:val="top"/>
          </w:tcPr>
          <w:p w14:paraId="4D488302">
            <w:pPr>
              <w:rPr>
                <w:rFonts w:hint="eastAsia" w:ascii="宋体" w:hAnsi="宋体" w:eastAsia="宋体" w:cs="宋体"/>
                <w:color w:val="auto"/>
                <w:sz w:val="24"/>
                <w:highlight w:val="none"/>
              </w:rPr>
            </w:pPr>
          </w:p>
        </w:tc>
        <w:tc>
          <w:tcPr>
            <w:tcW w:w="840" w:type="dxa"/>
            <w:noWrap w:val="0"/>
            <w:vAlign w:val="top"/>
          </w:tcPr>
          <w:p w14:paraId="6440E9FE">
            <w:pPr>
              <w:rPr>
                <w:rFonts w:hint="eastAsia" w:ascii="宋体" w:hAnsi="宋体" w:eastAsia="宋体" w:cs="宋体"/>
                <w:color w:val="auto"/>
                <w:sz w:val="24"/>
                <w:highlight w:val="none"/>
              </w:rPr>
            </w:pPr>
          </w:p>
        </w:tc>
        <w:tc>
          <w:tcPr>
            <w:tcW w:w="1260" w:type="dxa"/>
            <w:noWrap w:val="0"/>
            <w:vAlign w:val="top"/>
          </w:tcPr>
          <w:p w14:paraId="0953392D">
            <w:pPr>
              <w:rPr>
                <w:rFonts w:hint="eastAsia" w:ascii="宋体" w:hAnsi="宋体" w:eastAsia="宋体" w:cs="宋体"/>
                <w:color w:val="auto"/>
                <w:sz w:val="24"/>
                <w:highlight w:val="none"/>
              </w:rPr>
            </w:pPr>
          </w:p>
        </w:tc>
        <w:tc>
          <w:tcPr>
            <w:tcW w:w="1340" w:type="dxa"/>
            <w:noWrap w:val="0"/>
            <w:vAlign w:val="top"/>
          </w:tcPr>
          <w:p w14:paraId="0173D1F9">
            <w:pPr>
              <w:rPr>
                <w:rFonts w:hint="eastAsia" w:ascii="宋体" w:hAnsi="宋体" w:eastAsia="宋体" w:cs="宋体"/>
                <w:color w:val="auto"/>
                <w:sz w:val="24"/>
                <w:highlight w:val="none"/>
              </w:rPr>
            </w:pPr>
          </w:p>
        </w:tc>
        <w:tc>
          <w:tcPr>
            <w:tcW w:w="922" w:type="dxa"/>
            <w:noWrap w:val="0"/>
            <w:vAlign w:val="top"/>
          </w:tcPr>
          <w:p w14:paraId="003034B6">
            <w:pPr>
              <w:rPr>
                <w:rFonts w:hint="eastAsia" w:ascii="宋体" w:hAnsi="宋体" w:eastAsia="宋体" w:cs="宋体"/>
                <w:color w:val="auto"/>
                <w:sz w:val="24"/>
                <w:highlight w:val="none"/>
              </w:rPr>
            </w:pPr>
          </w:p>
        </w:tc>
      </w:tr>
      <w:tr w14:paraId="30863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B1829A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205" w:type="dxa"/>
            <w:noWrap w:val="0"/>
            <w:vAlign w:val="top"/>
          </w:tcPr>
          <w:p w14:paraId="66AF6D9E">
            <w:pPr>
              <w:rPr>
                <w:rFonts w:hint="eastAsia" w:ascii="宋体" w:hAnsi="宋体" w:eastAsia="宋体" w:cs="宋体"/>
                <w:color w:val="auto"/>
                <w:sz w:val="24"/>
                <w:highlight w:val="none"/>
              </w:rPr>
            </w:pPr>
          </w:p>
        </w:tc>
        <w:tc>
          <w:tcPr>
            <w:tcW w:w="957" w:type="dxa"/>
            <w:noWrap w:val="0"/>
            <w:vAlign w:val="top"/>
          </w:tcPr>
          <w:p w14:paraId="3180EDB2">
            <w:pPr>
              <w:rPr>
                <w:rFonts w:hint="eastAsia" w:ascii="宋体" w:hAnsi="宋体" w:eastAsia="宋体" w:cs="宋体"/>
                <w:color w:val="auto"/>
                <w:sz w:val="24"/>
                <w:highlight w:val="none"/>
              </w:rPr>
            </w:pPr>
          </w:p>
        </w:tc>
        <w:tc>
          <w:tcPr>
            <w:tcW w:w="840" w:type="dxa"/>
            <w:noWrap w:val="0"/>
            <w:vAlign w:val="top"/>
          </w:tcPr>
          <w:p w14:paraId="2D0E2918">
            <w:pPr>
              <w:rPr>
                <w:rFonts w:hint="eastAsia" w:ascii="宋体" w:hAnsi="宋体" w:eastAsia="宋体" w:cs="宋体"/>
                <w:color w:val="auto"/>
                <w:sz w:val="24"/>
                <w:highlight w:val="none"/>
              </w:rPr>
            </w:pPr>
          </w:p>
        </w:tc>
        <w:tc>
          <w:tcPr>
            <w:tcW w:w="1260" w:type="dxa"/>
            <w:noWrap w:val="0"/>
            <w:vAlign w:val="top"/>
          </w:tcPr>
          <w:p w14:paraId="088F869D">
            <w:pPr>
              <w:rPr>
                <w:rFonts w:hint="eastAsia" w:ascii="宋体" w:hAnsi="宋体" w:eastAsia="宋体" w:cs="宋体"/>
                <w:color w:val="auto"/>
                <w:sz w:val="24"/>
                <w:highlight w:val="none"/>
              </w:rPr>
            </w:pPr>
          </w:p>
        </w:tc>
        <w:tc>
          <w:tcPr>
            <w:tcW w:w="1340" w:type="dxa"/>
            <w:noWrap w:val="0"/>
            <w:vAlign w:val="top"/>
          </w:tcPr>
          <w:p w14:paraId="633EDF81">
            <w:pPr>
              <w:rPr>
                <w:rFonts w:hint="eastAsia" w:ascii="宋体" w:hAnsi="宋体" w:eastAsia="宋体" w:cs="宋体"/>
                <w:color w:val="auto"/>
                <w:sz w:val="24"/>
                <w:highlight w:val="none"/>
              </w:rPr>
            </w:pPr>
          </w:p>
        </w:tc>
        <w:tc>
          <w:tcPr>
            <w:tcW w:w="922" w:type="dxa"/>
            <w:noWrap w:val="0"/>
            <w:vAlign w:val="top"/>
          </w:tcPr>
          <w:p w14:paraId="089BE954">
            <w:pPr>
              <w:rPr>
                <w:rFonts w:hint="eastAsia" w:ascii="宋体" w:hAnsi="宋体" w:eastAsia="宋体" w:cs="宋体"/>
                <w:color w:val="auto"/>
                <w:sz w:val="24"/>
                <w:highlight w:val="none"/>
              </w:rPr>
            </w:pPr>
          </w:p>
        </w:tc>
      </w:tr>
      <w:tr w14:paraId="5DA3B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369D03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205" w:type="dxa"/>
            <w:noWrap w:val="0"/>
            <w:vAlign w:val="top"/>
          </w:tcPr>
          <w:p w14:paraId="6076D010">
            <w:pPr>
              <w:rPr>
                <w:rFonts w:hint="eastAsia" w:ascii="宋体" w:hAnsi="宋体" w:eastAsia="宋体" w:cs="宋体"/>
                <w:color w:val="auto"/>
                <w:sz w:val="24"/>
                <w:highlight w:val="none"/>
              </w:rPr>
            </w:pPr>
          </w:p>
        </w:tc>
        <w:tc>
          <w:tcPr>
            <w:tcW w:w="957" w:type="dxa"/>
            <w:noWrap w:val="0"/>
            <w:vAlign w:val="top"/>
          </w:tcPr>
          <w:p w14:paraId="256B3AF3">
            <w:pPr>
              <w:rPr>
                <w:rFonts w:hint="eastAsia" w:ascii="宋体" w:hAnsi="宋体" w:eastAsia="宋体" w:cs="宋体"/>
                <w:color w:val="auto"/>
                <w:sz w:val="24"/>
                <w:highlight w:val="none"/>
              </w:rPr>
            </w:pPr>
          </w:p>
        </w:tc>
        <w:tc>
          <w:tcPr>
            <w:tcW w:w="840" w:type="dxa"/>
            <w:noWrap w:val="0"/>
            <w:vAlign w:val="top"/>
          </w:tcPr>
          <w:p w14:paraId="5D985737">
            <w:pPr>
              <w:rPr>
                <w:rFonts w:hint="eastAsia" w:ascii="宋体" w:hAnsi="宋体" w:eastAsia="宋体" w:cs="宋体"/>
                <w:color w:val="auto"/>
                <w:sz w:val="24"/>
                <w:highlight w:val="none"/>
              </w:rPr>
            </w:pPr>
          </w:p>
        </w:tc>
        <w:tc>
          <w:tcPr>
            <w:tcW w:w="1260" w:type="dxa"/>
            <w:noWrap w:val="0"/>
            <w:vAlign w:val="top"/>
          </w:tcPr>
          <w:p w14:paraId="0E62ED65">
            <w:pPr>
              <w:rPr>
                <w:rFonts w:hint="eastAsia" w:ascii="宋体" w:hAnsi="宋体" w:eastAsia="宋体" w:cs="宋体"/>
                <w:color w:val="auto"/>
                <w:sz w:val="24"/>
                <w:highlight w:val="none"/>
              </w:rPr>
            </w:pPr>
          </w:p>
        </w:tc>
        <w:tc>
          <w:tcPr>
            <w:tcW w:w="1340" w:type="dxa"/>
            <w:noWrap w:val="0"/>
            <w:vAlign w:val="top"/>
          </w:tcPr>
          <w:p w14:paraId="1FDD7A00">
            <w:pPr>
              <w:rPr>
                <w:rFonts w:hint="eastAsia" w:ascii="宋体" w:hAnsi="宋体" w:eastAsia="宋体" w:cs="宋体"/>
                <w:color w:val="auto"/>
                <w:sz w:val="24"/>
                <w:highlight w:val="none"/>
              </w:rPr>
            </w:pPr>
          </w:p>
        </w:tc>
        <w:tc>
          <w:tcPr>
            <w:tcW w:w="922" w:type="dxa"/>
            <w:noWrap w:val="0"/>
            <w:vAlign w:val="top"/>
          </w:tcPr>
          <w:p w14:paraId="1D0E287D">
            <w:pPr>
              <w:rPr>
                <w:rFonts w:hint="eastAsia" w:ascii="宋体" w:hAnsi="宋体" w:eastAsia="宋体" w:cs="宋体"/>
                <w:color w:val="auto"/>
                <w:sz w:val="24"/>
                <w:highlight w:val="none"/>
              </w:rPr>
            </w:pPr>
          </w:p>
        </w:tc>
      </w:tr>
      <w:tr w14:paraId="4C1BD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6D660E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205" w:type="dxa"/>
            <w:noWrap w:val="0"/>
            <w:vAlign w:val="top"/>
          </w:tcPr>
          <w:p w14:paraId="59E66580">
            <w:pPr>
              <w:rPr>
                <w:rFonts w:hint="eastAsia" w:ascii="宋体" w:hAnsi="宋体" w:eastAsia="宋体" w:cs="宋体"/>
                <w:color w:val="auto"/>
                <w:sz w:val="24"/>
                <w:highlight w:val="none"/>
              </w:rPr>
            </w:pPr>
          </w:p>
        </w:tc>
        <w:tc>
          <w:tcPr>
            <w:tcW w:w="957" w:type="dxa"/>
            <w:noWrap w:val="0"/>
            <w:vAlign w:val="top"/>
          </w:tcPr>
          <w:p w14:paraId="7CA393CC">
            <w:pPr>
              <w:rPr>
                <w:rFonts w:hint="eastAsia" w:ascii="宋体" w:hAnsi="宋体" w:eastAsia="宋体" w:cs="宋体"/>
                <w:color w:val="auto"/>
                <w:sz w:val="24"/>
                <w:highlight w:val="none"/>
              </w:rPr>
            </w:pPr>
          </w:p>
        </w:tc>
        <w:tc>
          <w:tcPr>
            <w:tcW w:w="840" w:type="dxa"/>
            <w:noWrap w:val="0"/>
            <w:vAlign w:val="top"/>
          </w:tcPr>
          <w:p w14:paraId="429C2582">
            <w:pPr>
              <w:rPr>
                <w:rFonts w:hint="eastAsia" w:ascii="宋体" w:hAnsi="宋体" w:eastAsia="宋体" w:cs="宋体"/>
                <w:color w:val="auto"/>
                <w:sz w:val="24"/>
                <w:highlight w:val="none"/>
              </w:rPr>
            </w:pPr>
          </w:p>
        </w:tc>
        <w:tc>
          <w:tcPr>
            <w:tcW w:w="1260" w:type="dxa"/>
            <w:noWrap w:val="0"/>
            <w:vAlign w:val="top"/>
          </w:tcPr>
          <w:p w14:paraId="6099CB76">
            <w:pPr>
              <w:rPr>
                <w:rFonts w:hint="eastAsia" w:ascii="宋体" w:hAnsi="宋体" w:eastAsia="宋体" w:cs="宋体"/>
                <w:color w:val="auto"/>
                <w:sz w:val="24"/>
                <w:highlight w:val="none"/>
              </w:rPr>
            </w:pPr>
          </w:p>
        </w:tc>
        <w:tc>
          <w:tcPr>
            <w:tcW w:w="1340" w:type="dxa"/>
            <w:noWrap w:val="0"/>
            <w:vAlign w:val="top"/>
          </w:tcPr>
          <w:p w14:paraId="7A29918A">
            <w:pPr>
              <w:rPr>
                <w:rFonts w:hint="eastAsia" w:ascii="宋体" w:hAnsi="宋体" w:eastAsia="宋体" w:cs="宋体"/>
                <w:color w:val="auto"/>
                <w:sz w:val="24"/>
                <w:highlight w:val="none"/>
              </w:rPr>
            </w:pPr>
          </w:p>
        </w:tc>
        <w:tc>
          <w:tcPr>
            <w:tcW w:w="922" w:type="dxa"/>
            <w:noWrap w:val="0"/>
            <w:vAlign w:val="top"/>
          </w:tcPr>
          <w:p w14:paraId="4C0334F6">
            <w:pPr>
              <w:rPr>
                <w:rFonts w:hint="eastAsia" w:ascii="宋体" w:hAnsi="宋体" w:eastAsia="宋体" w:cs="宋体"/>
                <w:color w:val="auto"/>
                <w:sz w:val="24"/>
                <w:highlight w:val="none"/>
              </w:rPr>
            </w:pPr>
          </w:p>
        </w:tc>
      </w:tr>
      <w:tr w14:paraId="0FE53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71DB59B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205" w:type="dxa"/>
            <w:noWrap w:val="0"/>
            <w:vAlign w:val="top"/>
          </w:tcPr>
          <w:p w14:paraId="3218538C">
            <w:pPr>
              <w:rPr>
                <w:rFonts w:hint="eastAsia" w:ascii="宋体" w:hAnsi="宋体" w:eastAsia="宋体" w:cs="宋体"/>
                <w:color w:val="auto"/>
                <w:sz w:val="24"/>
                <w:highlight w:val="none"/>
              </w:rPr>
            </w:pPr>
          </w:p>
        </w:tc>
        <w:tc>
          <w:tcPr>
            <w:tcW w:w="957" w:type="dxa"/>
            <w:noWrap w:val="0"/>
            <w:vAlign w:val="top"/>
          </w:tcPr>
          <w:p w14:paraId="2F410BD1">
            <w:pPr>
              <w:rPr>
                <w:rFonts w:hint="eastAsia" w:ascii="宋体" w:hAnsi="宋体" w:eastAsia="宋体" w:cs="宋体"/>
                <w:color w:val="auto"/>
                <w:sz w:val="24"/>
                <w:highlight w:val="none"/>
              </w:rPr>
            </w:pPr>
          </w:p>
        </w:tc>
        <w:tc>
          <w:tcPr>
            <w:tcW w:w="840" w:type="dxa"/>
            <w:noWrap w:val="0"/>
            <w:vAlign w:val="top"/>
          </w:tcPr>
          <w:p w14:paraId="7A4ED521">
            <w:pPr>
              <w:rPr>
                <w:rFonts w:hint="eastAsia" w:ascii="宋体" w:hAnsi="宋体" w:eastAsia="宋体" w:cs="宋体"/>
                <w:color w:val="auto"/>
                <w:sz w:val="24"/>
                <w:highlight w:val="none"/>
              </w:rPr>
            </w:pPr>
          </w:p>
        </w:tc>
        <w:tc>
          <w:tcPr>
            <w:tcW w:w="1260" w:type="dxa"/>
            <w:noWrap w:val="0"/>
            <w:vAlign w:val="top"/>
          </w:tcPr>
          <w:p w14:paraId="0E63BB0B">
            <w:pPr>
              <w:rPr>
                <w:rFonts w:hint="eastAsia" w:ascii="宋体" w:hAnsi="宋体" w:eastAsia="宋体" w:cs="宋体"/>
                <w:color w:val="auto"/>
                <w:sz w:val="24"/>
                <w:highlight w:val="none"/>
              </w:rPr>
            </w:pPr>
          </w:p>
        </w:tc>
        <w:tc>
          <w:tcPr>
            <w:tcW w:w="1340" w:type="dxa"/>
            <w:noWrap w:val="0"/>
            <w:vAlign w:val="top"/>
          </w:tcPr>
          <w:p w14:paraId="0F63EB1C">
            <w:pPr>
              <w:rPr>
                <w:rFonts w:hint="eastAsia" w:ascii="宋体" w:hAnsi="宋体" w:eastAsia="宋体" w:cs="宋体"/>
                <w:color w:val="auto"/>
                <w:sz w:val="24"/>
                <w:highlight w:val="none"/>
              </w:rPr>
            </w:pPr>
          </w:p>
        </w:tc>
        <w:tc>
          <w:tcPr>
            <w:tcW w:w="922" w:type="dxa"/>
            <w:noWrap w:val="0"/>
            <w:vAlign w:val="top"/>
          </w:tcPr>
          <w:p w14:paraId="5FDF2708">
            <w:pPr>
              <w:rPr>
                <w:rFonts w:hint="eastAsia" w:ascii="宋体" w:hAnsi="宋体" w:eastAsia="宋体" w:cs="宋体"/>
                <w:color w:val="auto"/>
                <w:sz w:val="24"/>
                <w:highlight w:val="none"/>
              </w:rPr>
            </w:pPr>
          </w:p>
        </w:tc>
      </w:tr>
      <w:tr w14:paraId="5ED2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900428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205" w:type="dxa"/>
            <w:noWrap w:val="0"/>
            <w:vAlign w:val="top"/>
          </w:tcPr>
          <w:p w14:paraId="4CD06D86">
            <w:pPr>
              <w:rPr>
                <w:rFonts w:hint="eastAsia" w:ascii="宋体" w:hAnsi="宋体" w:eastAsia="宋体" w:cs="宋体"/>
                <w:color w:val="auto"/>
                <w:sz w:val="24"/>
                <w:highlight w:val="none"/>
              </w:rPr>
            </w:pPr>
          </w:p>
        </w:tc>
        <w:tc>
          <w:tcPr>
            <w:tcW w:w="957" w:type="dxa"/>
            <w:noWrap w:val="0"/>
            <w:vAlign w:val="top"/>
          </w:tcPr>
          <w:p w14:paraId="5C99BE3D">
            <w:pPr>
              <w:rPr>
                <w:rFonts w:hint="eastAsia" w:ascii="宋体" w:hAnsi="宋体" w:eastAsia="宋体" w:cs="宋体"/>
                <w:color w:val="auto"/>
                <w:sz w:val="24"/>
                <w:highlight w:val="none"/>
              </w:rPr>
            </w:pPr>
          </w:p>
        </w:tc>
        <w:tc>
          <w:tcPr>
            <w:tcW w:w="840" w:type="dxa"/>
            <w:noWrap w:val="0"/>
            <w:vAlign w:val="top"/>
          </w:tcPr>
          <w:p w14:paraId="209B70B1">
            <w:pPr>
              <w:rPr>
                <w:rFonts w:hint="eastAsia" w:ascii="宋体" w:hAnsi="宋体" w:eastAsia="宋体" w:cs="宋体"/>
                <w:color w:val="auto"/>
                <w:sz w:val="24"/>
                <w:highlight w:val="none"/>
              </w:rPr>
            </w:pPr>
          </w:p>
        </w:tc>
        <w:tc>
          <w:tcPr>
            <w:tcW w:w="1260" w:type="dxa"/>
            <w:noWrap w:val="0"/>
            <w:vAlign w:val="top"/>
          </w:tcPr>
          <w:p w14:paraId="60DFD6C3">
            <w:pPr>
              <w:rPr>
                <w:rFonts w:hint="eastAsia" w:ascii="宋体" w:hAnsi="宋体" w:eastAsia="宋体" w:cs="宋体"/>
                <w:color w:val="auto"/>
                <w:sz w:val="24"/>
                <w:highlight w:val="none"/>
              </w:rPr>
            </w:pPr>
          </w:p>
        </w:tc>
        <w:tc>
          <w:tcPr>
            <w:tcW w:w="1340" w:type="dxa"/>
            <w:noWrap w:val="0"/>
            <w:vAlign w:val="top"/>
          </w:tcPr>
          <w:p w14:paraId="7C214566">
            <w:pPr>
              <w:rPr>
                <w:rFonts w:hint="eastAsia" w:ascii="宋体" w:hAnsi="宋体" w:eastAsia="宋体" w:cs="宋体"/>
                <w:color w:val="auto"/>
                <w:sz w:val="24"/>
                <w:highlight w:val="none"/>
              </w:rPr>
            </w:pPr>
          </w:p>
        </w:tc>
        <w:tc>
          <w:tcPr>
            <w:tcW w:w="922" w:type="dxa"/>
            <w:noWrap w:val="0"/>
            <w:vAlign w:val="top"/>
          </w:tcPr>
          <w:p w14:paraId="66FF262E">
            <w:pPr>
              <w:rPr>
                <w:rFonts w:hint="eastAsia" w:ascii="宋体" w:hAnsi="宋体" w:eastAsia="宋体" w:cs="宋体"/>
                <w:color w:val="auto"/>
                <w:sz w:val="24"/>
                <w:highlight w:val="none"/>
              </w:rPr>
            </w:pPr>
          </w:p>
        </w:tc>
      </w:tr>
      <w:tr w14:paraId="014F9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A10064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205" w:type="dxa"/>
            <w:noWrap w:val="0"/>
            <w:vAlign w:val="top"/>
          </w:tcPr>
          <w:p w14:paraId="588C2975">
            <w:pPr>
              <w:rPr>
                <w:rFonts w:hint="eastAsia" w:ascii="宋体" w:hAnsi="宋体" w:eastAsia="宋体" w:cs="宋体"/>
                <w:color w:val="auto"/>
                <w:sz w:val="24"/>
                <w:highlight w:val="none"/>
              </w:rPr>
            </w:pPr>
          </w:p>
        </w:tc>
        <w:tc>
          <w:tcPr>
            <w:tcW w:w="957" w:type="dxa"/>
            <w:noWrap w:val="0"/>
            <w:vAlign w:val="top"/>
          </w:tcPr>
          <w:p w14:paraId="1D4C4A6D">
            <w:pPr>
              <w:rPr>
                <w:rFonts w:hint="eastAsia" w:ascii="宋体" w:hAnsi="宋体" w:eastAsia="宋体" w:cs="宋体"/>
                <w:color w:val="auto"/>
                <w:sz w:val="24"/>
                <w:highlight w:val="none"/>
              </w:rPr>
            </w:pPr>
          </w:p>
        </w:tc>
        <w:tc>
          <w:tcPr>
            <w:tcW w:w="840" w:type="dxa"/>
            <w:noWrap w:val="0"/>
            <w:vAlign w:val="top"/>
          </w:tcPr>
          <w:p w14:paraId="28C19D52">
            <w:pPr>
              <w:rPr>
                <w:rFonts w:hint="eastAsia" w:ascii="宋体" w:hAnsi="宋体" w:eastAsia="宋体" w:cs="宋体"/>
                <w:color w:val="auto"/>
                <w:sz w:val="24"/>
                <w:highlight w:val="none"/>
              </w:rPr>
            </w:pPr>
          </w:p>
        </w:tc>
        <w:tc>
          <w:tcPr>
            <w:tcW w:w="1260" w:type="dxa"/>
            <w:noWrap w:val="0"/>
            <w:vAlign w:val="top"/>
          </w:tcPr>
          <w:p w14:paraId="4396AFCC">
            <w:pPr>
              <w:rPr>
                <w:rFonts w:hint="eastAsia" w:ascii="宋体" w:hAnsi="宋体" w:eastAsia="宋体" w:cs="宋体"/>
                <w:color w:val="auto"/>
                <w:sz w:val="24"/>
                <w:highlight w:val="none"/>
              </w:rPr>
            </w:pPr>
          </w:p>
        </w:tc>
        <w:tc>
          <w:tcPr>
            <w:tcW w:w="1340" w:type="dxa"/>
            <w:noWrap w:val="0"/>
            <w:vAlign w:val="top"/>
          </w:tcPr>
          <w:p w14:paraId="29BA12B2">
            <w:pPr>
              <w:rPr>
                <w:rFonts w:hint="eastAsia" w:ascii="宋体" w:hAnsi="宋体" w:eastAsia="宋体" w:cs="宋体"/>
                <w:color w:val="auto"/>
                <w:sz w:val="24"/>
                <w:highlight w:val="none"/>
              </w:rPr>
            </w:pPr>
          </w:p>
        </w:tc>
        <w:tc>
          <w:tcPr>
            <w:tcW w:w="922" w:type="dxa"/>
            <w:noWrap w:val="0"/>
            <w:vAlign w:val="top"/>
          </w:tcPr>
          <w:p w14:paraId="0FF93B68">
            <w:pPr>
              <w:rPr>
                <w:rFonts w:hint="eastAsia" w:ascii="宋体" w:hAnsi="宋体" w:eastAsia="宋体" w:cs="宋体"/>
                <w:color w:val="auto"/>
                <w:sz w:val="24"/>
                <w:highlight w:val="none"/>
              </w:rPr>
            </w:pPr>
          </w:p>
        </w:tc>
      </w:tr>
      <w:tr w14:paraId="5830D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407152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205" w:type="dxa"/>
            <w:noWrap w:val="0"/>
            <w:vAlign w:val="top"/>
          </w:tcPr>
          <w:p w14:paraId="0E9EAB61">
            <w:pPr>
              <w:rPr>
                <w:rFonts w:hint="eastAsia" w:ascii="宋体" w:hAnsi="宋体" w:eastAsia="宋体" w:cs="宋体"/>
                <w:color w:val="auto"/>
                <w:sz w:val="24"/>
                <w:highlight w:val="none"/>
              </w:rPr>
            </w:pPr>
          </w:p>
        </w:tc>
        <w:tc>
          <w:tcPr>
            <w:tcW w:w="957" w:type="dxa"/>
            <w:noWrap w:val="0"/>
            <w:vAlign w:val="top"/>
          </w:tcPr>
          <w:p w14:paraId="37EA1611">
            <w:pPr>
              <w:rPr>
                <w:rFonts w:hint="eastAsia" w:ascii="宋体" w:hAnsi="宋体" w:eastAsia="宋体" w:cs="宋体"/>
                <w:color w:val="auto"/>
                <w:sz w:val="24"/>
                <w:highlight w:val="none"/>
              </w:rPr>
            </w:pPr>
          </w:p>
        </w:tc>
        <w:tc>
          <w:tcPr>
            <w:tcW w:w="840" w:type="dxa"/>
            <w:noWrap w:val="0"/>
            <w:vAlign w:val="top"/>
          </w:tcPr>
          <w:p w14:paraId="5353BC44">
            <w:pPr>
              <w:rPr>
                <w:rFonts w:hint="eastAsia" w:ascii="宋体" w:hAnsi="宋体" w:eastAsia="宋体" w:cs="宋体"/>
                <w:color w:val="auto"/>
                <w:sz w:val="24"/>
                <w:highlight w:val="none"/>
              </w:rPr>
            </w:pPr>
          </w:p>
        </w:tc>
        <w:tc>
          <w:tcPr>
            <w:tcW w:w="1260" w:type="dxa"/>
            <w:noWrap w:val="0"/>
            <w:vAlign w:val="top"/>
          </w:tcPr>
          <w:p w14:paraId="56B59EFE">
            <w:pPr>
              <w:rPr>
                <w:rFonts w:hint="eastAsia" w:ascii="宋体" w:hAnsi="宋体" w:eastAsia="宋体" w:cs="宋体"/>
                <w:color w:val="auto"/>
                <w:sz w:val="24"/>
                <w:highlight w:val="none"/>
              </w:rPr>
            </w:pPr>
          </w:p>
        </w:tc>
        <w:tc>
          <w:tcPr>
            <w:tcW w:w="1340" w:type="dxa"/>
            <w:noWrap w:val="0"/>
            <w:vAlign w:val="top"/>
          </w:tcPr>
          <w:p w14:paraId="2C3210FF">
            <w:pPr>
              <w:rPr>
                <w:rFonts w:hint="eastAsia" w:ascii="宋体" w:hAnsi="宋体" w:eastAsia="宋体" w:cs="宋体"/>
                <w:color w:val="auto"/>
                <w:sz w:val="24"/>
                <w:highlight w:val="none"/>
              </w:rPr>
            </w:pPr>
          </w:p>
        </w:tc>
        <w:tc>
          <w:tcPr>
            <w:tcW w:w="922" w:type="dxa"/>
            <w:noWrap w:val="0"/>
            <w:vAlign w:val="top"/>
          </w:tcPr>
          <w:p w14:paraId="2949CD84">
            <w:pPr>
              <w:rPr>
                <w:rFonts w:hint="eastAsia" w:ascii="宋体" w:hAnsi="宋体" w:eastAsia="宋体" w:cs="宋体"/>
                <w:color w:val="auto"/>
                <w:sz w:val="24"/>
                <w:highlight w:val="none"/>
              </w:rPr>
            </w:pPr>
          </w:p>
        </w:tc>
      </w:tr>
      <w:tr w14:paraId="6B0F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3A9D41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205" w:type="dxa"/>
            <w:noWrap w:val="0"/>
            <w:vAlign w:val="top"/>
          </w:tcPr>
          <w:p w14:paraId="7E044ADE">
            <w:pPr>
              <w:rPr>
                <w:rFonts w:hint="eastAsia" w:ascii="宋体" w:hAnsi="宋体" w:eastAsia="宋体" w:cs="宋体"/>
                <w:color w:val="auto"/>
                <w:sz w:val="24"/>
                <w:highlight w:val="none"/>
              </w:rPr>
            </w:pPr>
          </w:p>
        </w:tc>
        <w:tc>
          <w:tcPr>
            <w:tcW w:w="957" w:type="dxa"/>
            <w:noWrap w:val="0"/>
            <w:vAlign w:val="top"/>
          </w:tcPr>
          <w:p w14:paraId="39B947FB">
            <w:pPr>
              <w:rPr>
                <w:rFonts w:hint="eastAsia" w:ascii="宋体" w:hAnsi="宋体" w:eastAsia="宋体" w:cs="宋体"/>
                <w:color w:val="auto"/>
                <w:sz w:val="24"/>
                <w:highlight w:val="none"/>
              </w:rPr>
            </w:pPr>
          </w:p>
        </w:tc>
        <w:tc>
          <w:tcPr>
            <w:tcW w:w="840" w:type="dxa"/>
            <w:noWrap w:val="0"/>
            <w:vAlign w:val="top"/>
          </w:tcPr>
          <w:p w14:paraId="6529D19E">
            <w:pPr>
              <w:rPr>
                <w:rFonts w:hint="eastAsia" w:ascii="宋体" w:hAnsi="宋体" w:eastAsia="宋体" w:cs="宋体"/>
                <w:color w:val="auto"/>
                <w:sz w:val="24"/>
                <w:highlight w:val="none"/>
              </w:rPr>
            </w:pPr>
          </w:p>
        </w:tc>
        <w:tc>
          <w:tcPr>
            <w:tcW w:w="1260" w:type="dxa"/>
            <w:noWrap w:val="0"/>
            <w:vAlign w:val="top"/>
          </w:tcPr>
          <w:p w14:paraId="559E732E">
            <w:pPr>
              <w:rPr>
                <w:rFonts w:hint="eastAsia" w:ascii="宋体" w:hAnsi="宋体" w:eastAsia="宋体" w:cs="宋体"/>
                <w:color w:val="auto"/>
                <w:sz w:val="24"/>
                <w:highlight w:val="none"/>
              </w:rPr>
            </w:pPr>
          </w:p>
        </w:tc>
        <w:tc>
          <w:tcPr>
            <w:tcW w:w="1340" w:type="dxa"/>
            <w:noWrap w:val="0"/>
            <w:vAlign w:val="top"/>
          </w:tcPr>
          <w:p w14:paraId="57138043">
            <w:pPr>
              <w:rPr>
                <w:rFonts w:hint="eastAsia" w:ascii="宋体" w:hAnsi="宋体" w:eastAsia="宋体" w:cs="宋体"/>
                <w:color w:val="auto"/>
                <w:sz w:val="24"/>
                <w:highlight w:val="none"/>
              </w:rPr>
            </w:pPr>
          </w:p>
        </w:tc>
        <w:tc>
          <w:tcPr>
            <w:tcW w:w="922" w:type="dxa"/>
            <w:noWrap w:val="0"/>
            <w:vAlign w:val="top"/>
          </w:tcPr>
          <w:p w14:paraId="620AE2B5">
            <w:pPr>
              <w:rPr>
                <w:rFonts w:hint="eastAsia" w:ascii="宋体" w:hAnsi="宋体" w:eastAsia="宋体" w:cs="宋体"/>
                <w:color w:val="auto"/>
                <w:sz w:val="24"/>
                <w:highlight w:val="none"/>
              </w:rPr>
            </w:pPr>
          </w:p>
        </w:tc>
      </w:tr>
      <w:tr w14:paraId="6808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F2FFF9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205" w:type="dxa"/>
            <w:noWrap w:val="0"/>
            <w:vAlign w:val="top"/>
          </w:tcPr>
          <w:p w14:paraId="4F44A49C">
            <w:pPr>
              <w:rPr>
                <w:rFonts w:hint="eastAsia" w:ascii="宋体" w:hAnsi="宋体" w:eastAsia="宋体" w:cs="宋体"/>
                <w:color w:val="auto"/>
                <w:sz w:val="24"/>
                <w:highlight w:val="none"/>
              </w:rPr>
            </w:pPr>
          </w:p>
        </w:tc>
        <w:tc>
          <w:tcPr>
            <w:tcW w:w="957" w:type="dxa"/>
            <w:noWrap w:val="0"/>
            <w:vAlign w:val="top"/>
          </w:tcPr>
          <w:p w14:paraId="5E1F2672">
            <w:pPr>
              <w:rPr>
                <w:rFonts w:hint="eastAsia" w:ascii="宋体" w:hAnsi="宋体" w:eastAsia="宋体" w:cs="宋体"/>
                <w:color w:val="auto"/>
                <w:sz w:val="24"/>
                <w:highlight w:val="none"/>
              </w:rPr>
            </w:pPr>
          </w:p>
        </w:tc>
        <w:tc>
          <w:tcPr>
            <w:tcW w:w="840" w:type="dxa"/>
            <w:noWrap w:val="0"/>
            <w:vAlign w:val="top"/>
          </w:tcPr>
          <w:p w14:paraId="6E2E57DC">
            <w:pPr>
              <w:rPr>
                <w:rFonts w:hint="eastAsia" w:ascii="宋体" w:hAnsi="宋体" w:eastAsia="宋体" w:cs="宋体"/>
                <w:color w:val="auto"/>
                <w:sz w:val="24"/>
                <w:highlight w:val="none"/>
              </w:rPr>
            </w:pPr>
          </w:p>
        </w:tc>
        <w:tc>
          <w:tcPr>
            <w:tcW w:w="1260" w:type="dxa"/>
            <w:noWrap w:val="0"/>
            <w:vAlign w:val="top"/>
          </w:tcPr>
          <w:p w14:paraId="0DB87750">
            <w:pPr>
              <w:rPr>
                <w:rFonts w:hint="eastAsia" w:ascii="宋体" w:hAnsi="宋体" w:eastAsia="宋体" w:cs="宋体"/>
                <w:color w:val="auto"/>
                <w:sz w:val="24"/>
                <w:highlight w:val="none"/>
              </w:rPr>
            </w:pPr>
          </w:p>
        </w:tc>
        <w:tc>
          <w:tcPr>
            <w:tcW w:w="1340" w:type="dxa"/>
            <w:noWrap w:val="0"/>
            <w:vAlign w:val="top"/>
          </w:tcPr>
          <w:p w14:paraId="34EE01B0">
            <w:pPr>
              <w:rPr>
                <w:rFonts w:hint="eastAsia" w:ascii="宋体" w:hAnsi="宋体" w:eastAsia="宋体" w:cs="宋体"/>
                <w:color w:val="auto"/>
                <w:sz w:val="24"/>
                <w:highlight w:val="none"/>
              </w:rPr>
            </w:pPr>
          </w:p>
        </w:tc>
        <w:tc>
          <w:tcPr>
            <w:tcW w:w="922" w:type="dxa"/>
            <w:noWrap w:val="0"/>
            <w:vAlign w:val="top"/>
          </w:tcPr>
          <w:p w14:paraId="773641A7">
            <w:pPr>
              <w:rPr>
                <w:rFonts w:hint="eastAsia" w:ascii="宋体" w:hAnsi="宋体" w:eastAsia="宋体" w:cs="宋体"/>
                <w:color w:val="auto"/>
                <w:sz w:val="24"/>
                <w:highlight w:val="none"/>
              </w:rPr>
            </w:pPr>
          </w:p>
        </w:tc>
      </w:tr>
      <w:tr w14:paraId="6A9B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7D1445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205" w:type="dxa"/>
            <w:noWrap w:val="0"/>
            <w:vAlign w:val="top"/>
          </w:tcPr>
          <w:p w14:paraId="0BE3E748">
            <w:pPr>
              <w:rPr>
                <w:rFonts w:hint="eastAsia" w:ascii="宋体" w:hAnsi="宋体" w:eastAsia="宋体" w:cs="宋体"/>
                <w:color w:val="auto"/>
                <w:sz w:val="24"/>
                <w:highlight w:val="none"/>
              </w:rPr>
            </w:pPr>
          </w:p>
        </w:tc>
        <w:tc>
          <w:tcPr>
            <w:tcW w:w="957" w:type="dxa"/>
            <w:noWrap w:val="0"/>
            <w:vAlign w:val="top"/>
          </w:tcPr>
          <w:p w14:paraId="0F16072D">
            <w:pPr>
              <w:rPr>
                <w:rFonts w:hint="eastAsia" w:ascii="宋体" w:hAnsi="宋体" w:eastAsia="宋体" w:cs="宋体"/>
                <w:color w:val="auto"/>
                <w:sz w:val="24"/>
                <w:highlight w:val="none"/>
              </w:rPr>
            </w:pPr>
          </w:p>
        </w:tc>
        <w:tc>
          <w:tcPr>
            <w:tcW w:w="840" w:type="dxa"/>
            <w:noWrap w:val="0"/>
            <w:vAlign w:val="top"/>
          </w:tcPr>
          <w:p w14:paraId="2E813E1B">
            <w:pPr>
              <w:rPr>
                <w:rFonts w:hint="eastAsia" w:ascii="宋体" w:hAnsi="宋体" w:eastAsia="宋体" w:cs="宋体"/>
                <w:color w:val="auto"/>
                <w:sz w:val="24"/>
                <w:highlight w:val="none"/>
              </w:rPr>
            </w:pPr>
          </w:p>
        </w:tc>
        <w:tc>
          <w:tcPr>
            <w:tcW w:w="1260" w:type="dxa"/>
            <w:noWrap w:val="0"/>
            <w:vAlign w:val="top"/>
          </w:tcPr>
          <w:p w14:paraId="53BA73BA">
            <w:pPr>
              <w:rPr>
                <w:rFonts w:hint="eastAsia" w:ascii="宋体" w:hAnsi="宋体" w:eastAsia="宋体" w:cs="宋体"/>
                <w:color w:val="auto"/>
                <w:sz w:val="24"/>
                <w:highlight w:val="none"/>
              </w:rPr>
            </w:pPr>
          </w:p>
        </w:tc>
        <w:tc>
          <w:tcPr>
            <w:tcW w:w="1340" w:type="dxa"/>
            <w:noWrap w:val="0"/>
            <w:vAlign w:val="top"/>
          </w:tcPr>
          <w:p w14:paraId="42538037">
            <w:pPr>
              <w:rPr>
                <w:rFonts w:hint="eastAsia" w:ascii="宋体" w:hAnsi="宋体" w:eastAsia="宋体" w:cs="宋体"/>
                <w:color w:val="auto"/>
                <w:sz w:val="24"/>
                <w:highlight w:val="none"/>
              </w:rPr>
            </w:pPr>
          </w:p>
        </w:tc>
        <w:tc>
          <w:tcPr>
            <w:tcW w:w="922" w:type="dxa"/>
            <w:noWrap w:val="0"/>
            <w:vAlign w:val="top"/>
          </w:tcPr>
          <w:p w14:paraId="120C328C">
            <w:pPr>
              <w:rPr>
                <w:rFonts w:hint="eastAsia" w:ascii="宋体" w:hAnsi="宋体" w:eastAsia="宋体" w:cs="宋体"/>
                <w:color w:val="auto"/>
                <w:sz w:val="24"/>
                <w:highlight w:val="none"/>
              </w:rPr>
            </w:pPr>
          </w:p>
        </w:tc>
      </w:tr>
      <w:tr w14:paraId="25F1B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71C5E2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205" w:type="dxa"/>
            <w:noWrap w:val="0"/>
            <w:vAlign w:val="top"/>
          </w:tcPr>
          <w:p w14:paraId="1CB6B13E">
            <w:pPr>
              <w:rPr>
                <w:rFonts w:hint="eastAsia" w:ascii="宋体" w:hAnsi="宋体" w:eastAsia="宋体" w:cs="宋体"/>
                <w:color w:val="auto"/>
                <w:sz w:val="24"/>
                <w:highlight w:val="none"/>
              </w:rPr>
            </w:pPr>
          </w:p>
        </w:tc>
        <w:tc>
          <w:tcPr>
            <w:tcW w:w="957" w:type="dxa"/>
            <w:noWrap w:val="0"/>
            <w:vAlign w:val="top"/>
          </w:tcPr>
          <w:p w14:paraId="0DF6923D">
            <w:pPr>
              <w:rPr>
                <w:rFonts w:hint="eastAsia" w:ascii="宋体" w:hAnsi="宋体" w:eastAsia="宋体" w:cs="宋体"/>
                <w:color w:val="auto"/>
                <w:sz w:val="24"/>
                <w:highlight w:val="none"/>
              </w:rPr>
            </w:pPr>
          </w:p>
        </w:tc>
        <w:tc>
          <w:tcPr>
            <w:tcW w:w="840" w:type="dxa"/>
            <w:noWrap w:val="0"/>
            <w:vAlign w:val="top"/>
          </w:tcPr>
          <w:p w14:paraId="0F9A227E">
            <w:pPr>
              <w:rPr>
                <w:rFonts w:hint="eastAsia" w:ascii="宋体" w:hAnsi="宋体" w:eastAsia="宋体" w:cs="宋体"/>
                <w:color w:val="auto"/>
                <w:sz w:val="24"/>
                <w:highlight w:val="none"/>
              </w:rPr>
            </w:pPr>
          </w:p>
        </w:tc>
        <w:tc>
          <w:tcPr>
            <w:tcW w:w="1260" w:type="dxa"/>
            <w:noWrap w:val="0"/>
            <w:vAlign w:val="top"/>
          </w:tcPr>
          <w:p w14:paraId="71788B23">
            <w:pPr>
              <w:rPr>
                <w:rFonts w:hint="eastAsia" w:ascii="宋体" w:hAnsi="宋体" w:eastAsia="宋体" w:cs="宋体"/>
                <w:color w:val="auto"/>
                <w:sz w:val="24"/>
                <w:highlight w:val="none"/>
              </w:rPr>
            </w:pPr>
          </w:p>
        </w:tc>
        <w:tc>
          <w:tcPr>
            <w:tcW w:w="1340" w:type="dxa"/>
            <w:noWrap w:val="0"/>
            <w:vAlign w:val="top"/>
          </w:tcPr>
          <w:p w14:paraId="64C8A8CA">
            <w:pPr>
              <w:rPr>
                <w:rFonts w:hint="eastAsia" w:ascii="宋体" w:hAnsi="宋体" w:eastAsia="宋体" w:cs="宋体"/>
                <w:color w:val="auto"/>
                <w:sz w:val="24"/>
                <w:highlight w:val="none"/>
              </w:rPr>
            </w:pPr>
          </w:p>
        </w:tc>
        <w:tc>
          <w:tcPr>
            <w:tcW w:w="922" w:type="dxa"/>
            <w:noWrap w:val="0"/>
            <w:vAlign w:val="top"/>
          </w:tcPr>
          <w:p w14:paraId="32B77EE5">
            <w:pPr>
              <w:rPr>
                <w:rFonts w:hint="eastAsia" w:ascii="宋体" w:hAnsi="宋体" w:eastAsia="宋体" w:cs="宋体"/>
                <w:color w:val="auto"/>
                <w:sz w:val="24"/>
                <w:highlight w:val="none"/>
              </w:rPr>
            </w:pPr>
          </w:p>
        </w:tc>
      </w:tr>
      <w:tr w14:paraId="1F289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C628FE5">
            <w:pPr>
              <w:jc w:val="center"/>
              <w:rPr>
                <w:rFonts w:hint="eastAsia" w:ascii="宋体" w:hAnsi="宋体" w:eastAsia="宋体" w:cs="宋体"/>
                <w:color w:val="auto"/>
                <w:sz w:val="24"/>
                <w:highlight w:val="none"/>
              </w:rPr>
            </w:pPr>
          </w:p>
        </w:tc>
        <w:tc>
          <w:tcPr>
            <w:tcW w:w="2205" w:type="dxa"/>
            <w:noWrap w:val="0"/>
            <w:vAlign w:val="center"/>
          </w:tcPr>
          <w:p w14:paraId="78AB6C41">
            <w:pPr>
              <w:pStyle w:val="38"/>
              <w:rPr>
                <w:rFonts w:hint="eastAsia" w:ascii="宋体" w:hAnsi="宋体" w:eastAsia="宋体" w:cs="宋体"/>
                <w:color w:val="auto"/>
                <w:highlight w:val="none"/>
              </w:rPr>
            </w:pPr>
            <w:r>
              <w:rPr>
                <w:rFonts w:hint="eastAsia" w:ascii="宋体" w:hAnsi="宋体" w:eastAsia="宋体" w:cs="宋体"/>
                <w:color w:val="auto"/>
                <w:highlight w:val="none"/>
              </w:rPr>
              <w:t>其他费用</w:t>
            </w:r>
          </w:p>
        </w:tc>
        <w:tc>
          <w:tcPr>
            <w:tcW w:w="957" w:type="dxa"/>
            <w:noWrap w:val="0"/>
            <w:vAlign w:val="top"/>
          </w:tcPr>
          <w:p w14:paraId="64D3B6C7">
            <w:pPr>
              <w:rPr>
                <w:rFonts w:hint="eastAsia" w:ascii="宋体" w:hAnsi="宋体" w:eastAsia="宋体" w:cs="宋体"/>
                <w:color w:val="auto"/>
                <w:sz w:val="24"/>
                <w:highlight w:val="none"/>
              </w:rPr>
            </w:pPr>
          </w:p>
        </w:tc>
        <w:tc>
          <w:tcPr>
            <w:tcW w:w="840" w:type="dxa"/>
            <w:noWrap w:val="0"/>
            <w:vAlign w:val="top"/>
          </w:tcPr>
          <w:p w14:paraId="0FEB1154">
            <w:pPr>
              <w:rPr>
                <w:rFonts w:hint="eastAsia" w:ascii="宋体" w:hAnsi="宋体" w:eastAsia="宋体" w:cs="宋体"/>
                <w:color w:val="auto"/>
                <w:sz w:val="24"/>
                <w:highlight w:val="none"/>
              </w:rPr>
            </w:pPr>
          </w:p>
        </w:tc>
        <w:tc>
          <w:tcPr>
            <w:tcW w:w="1260" w:type="dxa"/>
            <w:noWrap w:val="0"/>
            <w:vAlign w:val="top"/>
          </w:tcPr>
          <w:p w14:paraId="20A12C3D">
            <w:pPr>
              <w:rPr>
                <w:rFonts w:hint="eastAsia" w:ascii="宋体" w:hAnsi="宋体" w:eastAsia="宋体" w:cs="宋体"/>
                <w:color w:val="auto"/>
                <w:sz w:val="24"/>
                <w:highlight w:val="none"/>
              </w:rPr>
            </w:pPr>
          </w:p>
        </w:tc>
        <w:tc>
          <w:tcPr>
            <w:tcW w:w="1340" w:type="dxa"/>
            <w:noWrap w:val="0"/>
            <w:vAlign w:val="top"/>
          </w:tcPr>
          <w:p w14:paraId="3C69AF41">
            <w:pPr>
              <w:rPr>
                <w:rFonts w:hint="eastAsia" w:ascii="宋体" w:hAnsi="宋体" w:eastAsia="宋体" w:cs="宋体"/>
                <w:color w:val="auto"/>
                <w:sz w:val="24"/>
                <w:highlight w:val="none"/>
              </w:rPr>
            </w:pPr>
          </w:p>
        </w:tc>
        <w:tc>
          <w:tcPr>
            <w:tcW w:w="922" w:type="dxa"/>
            <w:noWrap w:val="0"/>
            <w:vAlign w:val="top"/>
          </w:tcPr>
          <w:p w14:paraId="3EB483D9">
            <w:pPr>
              <w:rPr>
                <w:rFonts w:hint="eastAsia" w:ascii="宋体" w:hAnsi="宋体" w:eastAsia="宋体" w:cs="宋体"/>
                <w:color w:val="auto"/>
                <w:sz w:val="24"/>
                <w:highlight w:val="none"/>
              </w:rPr>
            </w:pPr>
          </w:p>
        </w:tc>
      </w:tr>
      <w:tr w14:paraId="3073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ADD7908">
            <w:pPr>
              <w:jc w:val="center"/>
              <w:rPr>
                <w:rFonts w:hint="eastAsia" w:ascii="宋体" w:hAnsi="宋体" w:eastAsia="宋体" w:cs="宋体"/>
                <w:color w:val="auto"/>
                <w:sz w:val="24"/>
                <w:highlight w:val="none"/>
              </w:rPr>
            </w:pPr>
          </w:p>
        </w:tc>
        <w:tc>
          <w:tcPr>
            <w:tcW w:w="2205" w:type="dxa"/>
            <w:noWrap w:val="0"/>
            <w:vAlign w:val="center"/>
          </w:tcPr>
          <w:p w14:paraId="306C5A96">
            <w:pPr>
              <w:pStyle w:val="38"/>
              <w:rPr>
                <w:rFonts w:hint="eastAsia" w:ascii="宋体" w:hAnsi="宋体" w:eastAsia="宋体" w:cs="宋体"/>
                <w:color w:val="auto"/>
                <w:highlight w:val="none"/>
              </w:rPr>
            </w:pPr>
            <w:r>
              <w:rPr>
                <w:rFonts w:hint="eastAsia" w:ascii="宋体" w:hAnsi="宋体" w:eastAsia="宋体" w:cs="宋体"/>
                <w:color w:val="auto"/>
                <w:highlight w:val="none"/>
              </w:rPr>
              <w:t>合计</w:t>
            </w:r>
          </w:p>
        </w:tc>
        <w:tc>
          <w:tcPr>
            <w:tcW w:w="957" w:type="dxa"/>
            <w:noWrap w:val="0"/>
            <w:vAlign w:val="top"/>
          </w:tcPr>
          <w:p w14:paraId="5DDA8801">
            <w:pPr>
              <w:rPr>
                <w:rFonts w:hint="eastAsia" w:ascii="宋体" w:hAnsi="宋体" w:eastAsia="宋体" w:cs="宋体"/>
                <w:color w:val="auto"/>
                <w:sz w:val="24"/>
                <w:highlight w:val="none"/>
              </w:rPr>
            </w:pPr>
          </w:p>
        </w:tc>
        <w:tc>
          <w:tcPr>
            <w:tcW w:w="840" w:type="dxa"/>
            <w:noWrap w:val="0"/>
            <w:vAlign w:val="top"/>
          </w:tcPr>
          <w:p w14:paraId="2B5A0EE6">
            <w:pPr>
              <w:rPr>
                <w:rFonts w:hint="eastAsia" w:ascii="宋体" w:hAnsi="宋体" w:eastAsia="宋体" w:cs="宋体"/>
                <w:color w:val="auto"/>
                <w:sz w:val="24"/>
                <w:highlight w:val="none"/>
              </w:rPr>
            </w:pPr>
          </w:p>
        </w:tc>
        <w:tc>
          <w:tcPr>
            <w:tcW w:w="1260" w:type="dxa"/>
            <w:noWrap w:val="0"/>
            <w:vAlign w:val="top"/>
          </w:tcPr>
          <w:p w14:paraId="4DEB4447">
            <w:pPr>
              <w:rPr>
                <w:rFonts w:hint="eastAsia" w:ascii="宋体" w:hAnsi="宋体" w:eastAsia="宋体" w:cs="宋体"/>
                <w:color w:val="auto"/>
                <w:sz w:val="24"/>
                <w:highlight w:val="none"/>
              </w:rPr>
            </w:pPr>
          </w:p>
        </w:tc>
        <w:tc>
          <w:tcPr>
            <w:tcW w:w="1340" w:type="dxa"/>
            <w:noWrap w:val="0"/>
            <w:vAlign w:val="top"/>
          </w:tcPr>
          <w:p w14:paraId="1F213F58">
            <w:pPr>
              <w:rPr>
                <w:rFonts w:hint="eastAsia" w:ascii="宋体" w:hAnsi="宋体" w:eastAsia="宋体" w:cs="宋体"/>
                <w:color w:val="auto"/>
                <w:sz w:val="24"/>
                <w:highlight w:val="none"/>
              </w:rPr>
            </w:pPr>
          </w:p>
        </w:tc>
        <w:tc>
          <w:tcPr>
            <w:tcW w:w="922" w:type="dxa"/>
            <w:noWrap w:val="0"/>
            <w:vAlign w:val="top"/>
          </w:tcPr>
          <w:p w14:paraId="58A618BD">
            <w:pPr>
              <w:rPr>
                <w:rFonts w:hint="eastAsia" w:ascii="宋体" w:hAnsi="宋体" w:eastAsia="宋体" w:cs="宋体"/>
                <w:color w:val="auto"/>
                <w:sz w:val="24"/>
                <w:highlight w:val="none"/>
              </w:rPr>
            </w:pPr>
          </w:p>
        </w:tc>
        <w:bookmarkStart w:id="151" w:name="_Hlt514495724"/>
        <w:bookmarkStart w:id="152" w:name="_Hlt533408944"/>
      </w:tr>
      <w:bookmarkEnd w:id="128"/>
      <w:bookmarkEnd w:id="129"/>
      <w:bookmarkEnd w:id="130"/>
      <w:bookmarkEnd w:id="151"/>
      <w:bookmarkEnd w:id="152"/>
    </w:tbl>
    <w:p w14:paraId="79508649">
      <w:pPr>
        <w:pStyle w:val="13"/>
        <w:spacing w:line="360" w:lineRule="auto"/>
        <w:rPr>
          <w:rFonts w:hint="eastAsia" w:ascii="宋体" w:hAnsi="宋体" w:eastAsia="宋体" w:cs="宋体"/>
          <w:b w:val="0"/>
          <w:color w:val="auto"/>
          <w:sz w:val="24"/>
          <w:highlight w:val="none"/>
        </w:rPr>
      </w:pPr>
      <w:bookmarkStart w:id="153" w:name="_Toc27270_WPSOffice_Level2"/>
      <w:bookmarkStart w:id="154" w:name="_Toc197934552"/>
    </w:p>
    <w:p w14:paraId="2E6BE911">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供应商名称：（电子公章）</w:t>
      </w:r>
    </w:p>
    <w:p w14:paraId="2CF30269">
      <w:pPr>
        <w:spacing w:line="380" w:lineRule="exact"/>
        <w:ind w:right="640" w:firstLine="1560" w:firstLineChars="650"/>
        <w:rPr>
          <w:rFonts w:hint="eastAsia" w:ascii="宋体" w:hAnsi="宋体" w:eastAsia="宋体" w:cs="宋体"/>
          <w:color w:val="auto"/>
          <w:sz w:val="24"/>
          <w:highlight w:val="none"/>
        </w:rPr>
      </w:pPr>
    </w:p>
    <w:p w14:paraId="05A44A67">
      <w:pPr>
        <w:spacing w:line="380" w:lineRule="exact"/>
        <w:ind w:right="640"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法人代表：（签字）</w:t>
      </w:r>
    </w:p>
    <w:p w14:paraId="5530D234">
      <w:pPr>
        <w:spacing w:line="380" w:lineRule="exact"/>
        <w:jc w:val="center"/>
        <w:rPr>
          <w:rFonts w:hint="eastAsia" w:ascii="宋体" w:hAnsi="宋体" w:eastAsia="宋体" w:cs="宋体"/>
          <w:color w:val="auto"/>
          <w:sz w:val="24"/>
          <w:highlight w:val="none"/>
        </w:rPr>
      </w:pPr>
    </w:p>
    <w:p w14:paraId="2B4DDBD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6C30AF15">
      <w:pPr>
        <w:adjustRightInd w:val="0"/>
        <w:snapToGrid w:val="0"/>
        <w:spacing w:line="360" w:lineRule="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备注：</w:t>
      </w:r>
    </w:p>
    <w:p w14:paraId="2CC807A2">
      <w:pPr>
        <w:adjustRightInd w:val="0"/>
        <w:snapToGrid w:val="0"/>
        <w:spacing w:line="360" w:lineRule="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报价为所投货物的单价组成。包括货物出厂价格、运费、税金及其它。</w:t>
      </w:r>
    </w:p>
    <w:p w14:paraId="11E6837E">
      <w:pPr>
        <w:pStyle w:val="17"/>
        <w:rPr>
          <w:rFonts w:hint="eastAsia" w:ascii="宋体" w:hAnsi="宋体" w:eastAsia="宋体" w:cs="宋体"/>
          <w:color w:val="auto"/>
          <w:highlight w:val="none"/>
        </w:rPr>
      </w:pPr>
    </w:p>
    <w:p w14:paraId="7348F0C9">
      <w:pPr>
        <w:pStyle w:val="17"/>
        <w:rPr>
          <w:rFonts w:hint="eastAsia" w:ascii="宋体" w:hAnsi="宋体" w:eastAsia="宋体" w:cs="宋体"/>
          <w:color w:val="auto"/>
          <w:highlight w:val="none"/>
        </w:rPr>
      </w:pPr>
    </w:p>
    <w:p w14:paraId="29F9E179">
      <w:pPr>
        <w:pStyle w:val="17"/>
        <w:rPr>
          <w:rFonts w:hint="eastAsia" w:ascii="宋体" w:hAnsi="宋体" w:eastAsia="宋体" w:cs="宋体"/>
          <w:color w:val="auto"/>
          <w:highlight w:val="none"/>
        </w:rPr>
      </w:pPr>
    </w:p>
    <w:p w14:paraId="2484A6EF">
      <w:pPr>
        <w:pStyle w:val="17"/>
        <w:rPr>
          <w:rFonts w:hint="eastAsia" w:ascii="宋体" w:hAnsi="宋体" w:eastAsia="宋体" w:cs="宋体"/>
          <w:color w:val="auto"/>
          <w:highlight w:val="none"/>
        </w:rPr>
      </w:pPr>
    </w:p>
    <w:p w14:paraId="059C11BC">
      <w:pPr>
        <w:pStyle w:val="17"/>
        <w:rPr>
          <w:rFonts w:hint="eastAsia" w:ascii="宋体" w:hAnsi="宋体" w:eastAsia="宋体" w:cs="宋体"/>
          <w:color w:val="auto"/>
          <w:highlight w:val="none"/>
        </w:rPr>
      </w:pPr>
    </w:p>
    <w:p w14:paraId="6FB4DF27">
      <w:pPr>
        <w:pStyle w:val="17"/>
        <w:rPr>
          <w:rFonts w:hint="eastAsia" w:ascii="宋体" w:hAnsi="宋体" w:eastAsia="宋体" w:cs="宋体"/>
          <w:color w:val="auto"/>
          <w:highlight w:val="none"/>
        </w:rPr>
      </w:pPr>
    </w:p>
    <w:p w14:paraId="47D6298F">
      <w:pPr>
        <w:pStyle w:val="17"/>
        <w:rPr>
          <w:rFonts w:hint="eastAsia" w:ascii="宋体" w:hAnsi="宋体" w:eastAsia="宋体" w:cs="宋体"/>
          <w:color w:val="auto"/>
          <w:highlight w:val="none"/>
        </w:rPr>
      </w:pPr>
    </w:p>
    <w:p w14:paraId="7B2DCD9C">
      <w:pPr>
        <w:pStyle w:val="5"/>
        <w:rPr>
          <w:rFonts w:hint="eastAsia" w:ascii="宋体" w:hAnsi="宋体" w:eastAsia="宋体" w:cs="宋体"/>
          <w:b w:val="0"/>
          <w:bCs w:val="0"/>
          <w:color w:val="auto"/>
          <w:sz w:val="28"/>
          <w:highlight w:val="none"/>
        </w:rPr>
      </w:pPr>
      <w:bookmarkStart w:id="155" w:name="_Toc40975453"/>
      <w:r>
        <w:rPr>
          <w:rFonts w:hint="eastAsia" w:ascii="宋体" w:hAnsi="宋体" w:eastAsia="宋体" w:cs="宋体"/>
          <w:b w:val="0"/>
          <w:bCs w:val="0"/>
          <w:color w:val="auto"/>
          <w:sz w:val="28"/>
          <w:highlight w:val="none"/>
        </w:rPr>
        <w:t>五．投标响应表</w:t>
      </w:r>
      <w:bookmarkEnd w:id="153"/>
      <w:bookmarkEnd w:id="154"/>
      <w:bookmarkEnd w:id="155"/>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0FDE4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0CE43F1E">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按招标文件规定填写</w:t>
            </w:r>
          </w:p>
        </w:tc>
        <w:tc>
          <w:tcPr>
            <w:tcW w:w="3534" w:type="dxa"/>
            <w:gridSpan w:val="2"/>
            <w:noWrap w:val="0"/>
            <w:vAlign w:val="center"/>
          </w:tcPr>
          <w:p w14:paraId="0DFB74CA">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按投标人所投内容填写</w:t>
            </w:r>
          </w:p>
        </w:tc>
      </w:tr>
      <w:tr w14:paraId="68491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67C67804">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第一部分：技术部分响应</w:t>
            </w:r>
          </w:p>
        </w:tc>
      </w:tr>
      <w:tr w14:paraId="2C5E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6530C176">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470" w:type="dxa"/>
            <w:noWrap w:val="0"/>
            <w:vAlign w:val="center"/>
          </w:tcPr>
          <w:p w14:paraId="6B4348E0">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品名</w:t>
            </w:r>
          </w:p>
        </w:tc>
        <w:tc>
          <w:tcPr>
            <w:tcW w:w="2520" w:type="dxa"/>
            <w:noWrap w:val="0"/>
            <w:vAlign w:val="center"/>
          </w:tcPr>
          <w:p w14:paraId="4ACE6444">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技术规格及配置</w:t>
            </w:r>
          </w:p>
        </w:tc>
        <w:tc>
          <w:tcPr>
            <w:tcW w:w="2310" w:type="dxa"/>
            <w:noWrap w:val="0"/>
            <w:vAlign w:val="center"/>
          </w:tcPr>
          <w:p w14:paraId="0DF50728">
            <w:pPr>
              <w:pStyle w:val="12"/>
              <w:rPr>
                <w:rFonts w:hint="eastAsia" w:ascii="宋体" w:hAnsi="宋体" w:eastAsia="宋体" w:cs="宋体"/>
                <w:color w:val="auto"/>
                <w:sz w:val="24"/>
                <w:highlight w:val="none"/>
              </w:rPr>
            </w:pPr>
            <w:r>
              <w:rPr>
                <w:rFonts w:hint="eastAsia" w:ascii="宋体" w:hAnsi="宋体" w:eastAsia="宋体" w:cs="宋体"/>
                <w:color w:val="auto"/>
                <w:sz w:val="24"/>
                <w:highlight w:val="none"/>
              </w:rPr>
              <w:t>品牌、型号</w:t>
            </w:r>
          </w:p>
          <w:p w14:paraId="72FF0C1A">
            <w:pPr>
              <w:pStyle w:val="12"/>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技术规格及配置</w:t>
            </w:r>
          </w:p>
        </w:tc>
        <w:tc>
          <w:tcPr>
            <w:tcW w:w="1224" w:type="dxa"/>
            <w:noWrap w:val="0"/>
            <w:vAlign w:val="center"/>
          </w:tcPr>
          <w:p w14:paraId="7B82086D">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偏离说明</w:t>
            </w:r>
          </w:p>
        </w:tc>
      </w:tr>
      <w:tr w14:paraId="36B18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761970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470" w:type="dxa"/>
            <w:noWrap w:val="0"/>
            <w:vAlign w:val="top"/>
          </w:tcPr>
          <w:p w14:paraId="49439B69">
            <w:pPr>
              <w:rPr>
                <w:rFonts w:hint="eastAsia" w:ascii="宋体" w:hAnsi="宋体" w:eastAsia="宋体" w:cs="宋体"/>
                <w:color w:val="auto"/>
                <w:sz w:val="24"/>
                <w:highlight w:val="none"/>
              </w:rPr>
            </w:pPr>
          </w:p>
        </w:tc>
        <w:tc>
          <w:tcPr>
            <w:tcW w:w="2520" w:type="dxa"/>
            <w:noWrap w:val="0"/>
            <w:vAlign w:val="top"/>
          </w:tcPr>
          <w:p w14:paraId="47230DE7">
            <w:pPr>
              <w:rPr>
                <w:rFonts w:hint="eastAsia" w:ascii="宋体" w:hAnsi="宋体" w:eastAsia="宋体" w:cs="宋体"/>
                <w:color w:val="auto"/>
                <w:sz w:val="24"/>
                <w:highlight w:val="none"/>
              </w:rPr>
            </w:pPr>
          </w:p>
        </w:tc>
        <w:tc>
          <w:tcPr>
            <w:tcW w:w="2310" w:type="dxa"/>
            <w:noWrap w:val="0"/>
            <w:vAlign w:val="top"/>
          </w:tcPr>
          <w:p w14:paraId="2103606C">
            <w:pPr>
              <w:rPr>
                <w:rFonts w:hint="eastAsia" w:ascii="宋体" w:hAnsi="宋体" w:eastAsia="宋体" w:cs="宋体"/>
                <w:color w:val="auto"/>
                <w:sz w:val="24"/>
                <w:highlight w:val="none"/>
              </w:rPr>
            </w:pPr>
          </w:p>
        </w:tc>
        <w:tc>
          <w:tcPr>
            <w:tcW w:w="1224" w:type="dxa"/>
            <w:noWrap w:val="0"/>
            <w:vAlign w:val="top"/>
          </w:tcPr>
          <w:p w14:paraId="2240FBA2">
            <w:pPr>
              <w:rPr>
                <w:rFonts w:hint="eastAsia" w:ascii="宋体" w:hAnsi="宋体" w:eastAsia="宋体" w:cs="宋体"/>
                <w:color w:val="auto"/>
                <w:sz w:val="24"/>
                <w:highlight w:val="none"/>
              </w:rPr>
            </w:pPr>
          </w:p>
        </w:tc>
      </w:tr>
      <w:tr w14:paraId="6C5E9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66E43E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470" w:type="dxa"/>
            <w:noWrap w:val="0"/>
            <w:vAlign w:val="top"/>
          </w:tcPr>
          <w:p w14:paraId="2B6CD357">
            <w:pPr>
              <w:rPr>
                <w:rFonts w:hint="eastAsia" w:ascii="宋体" w:hAnsi="宋体" w:eastAsia="宋体" w:cs="宋体"/>
                <w:color w:val="auto"/>
                <w:sz w:val="24"/>
                <w:highlight w:val="none"/>
              </w:rPr>
            </w:pPr>
          </w:p>
        </w:tc>
        <w:tc>
          <w:tcPr>
            <w:tcW w:w="2520" w:type="dxa"/>
            <w:noWrap w:val="0"/>
            <w:vAlign w:val="top"/>
          </w:tcPr>
          <w:p w14:paraId="304B7A45">
            <w:pPr>
              <w:rPr>
                <w:rFonts w:hint="eastAsia" w:ascii="宋体" w:hAnsi="宋体" w:eastAsia="宋体" w:cs="宋体"/>
                <w:color w:val="auto"/>
                <w:sz w:val="24"/>
                <w:highlight w:val="none"/>
              </w:rPr>
            </w:pPr>
          </w:p>
        </w:tc>
        <w:tc>
          <w:tcPr>
            <w:tcW w:w="2310" w:type="dxa"/>
            <w:noWrap w:val="0"/>
            <w:vAlign w:val="top"/>
          </w:tcPr>
          <w:p w14:paraId="56856937">
            <w:pPr>
              <w:rPr>
                <w:rFonts w:hint="eastAsia" w:ascii="宋体" w:hAnsi="宋体" w:eastAsia="宋体" w:cs="宋体"/>
                <w:color w:val="auto"/>
                <w:sz w:val="24"/>
                <w:highlight w:val="none"/>
              </w:rPr>
            </w:pPr>
          </w:p>
        </w:tc>
        <w:tc>
          <w:tcPr>
            <w:tcW w:w="1224" w:type="dxa"/>
            <w:noWrap w:val="0"/>
            <w:vAlign w:val="top"/>
          </w:tcPr>
          <w:p w14:paraId="169F056C">
            <w:pPr>
              <w:rPr>
                <w:rFonts w:hint="eastAsia" w:ascii="宋体" w:hAnsi="宋体" w:eastAsia="宋体" w:cs="宋体"/>
                <w:color w:val="auto"/>
                <w:sz w:val="24"/>
                <w:highlight w:val="none"/>
              </w:rPr>
            </w:pPr>
          </w:p>
        </w:tc>
      </w:tr>
      <w:tr w14:paraId="00F0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E5CE3E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470" w:type="dxa"/>
            <w:noWrap w:val="0"/>
            <w:vAlign w:val="top"/>
          </w:tcPr>
          <w:p w14:paraId="4E398567">
            <w:pPr>
              <w:rPr>
                <w:rFonts w:hint="eastAsia" w:ascii="宋体" w:hAnsi="宋体" w:eastAsia="宋体" w:cs="宋体"/>
                <w:color w:val="auto"/>
                <w:sz w:val="24"/>
                <w:highlight w:val="none"/>
              </w:rPr>
            </w:pPr>
          </w:p>
        </w:tc>
        <w:tc>
          <w:tcPr>
            <w:tcW w:w="2520" w:type="dxa"/>
            <w:noWrap w:val="0"/>
            <w:vAlign w:val="top"/>
          </w:tcPr>
          <w:p w14:paraId="60966D8E">
            <w:pPr>
              <w:rPr>
                <w:rFonts w:hint="eastAsia" w:ascii="宋体" w:hAnsi="宋体" w:eastAsia="宋体" w:cs="宋体"/>
                <w:color w:val="auto"/>
                <w:sz w:val="24"/>
                <w:highlight w:val="none"/>
              </w:rPr>
            </w:pPr>
          </w:p>
        </w:tc>
        <w:tc>
          <w:tcPr>
            <w:tcW w:w="2310" w:type="dxa"/>
            <w:noWrap w:val="0"/>
            <w:vAlign w:val="top"/>
          </w:tcPr>
          <w:p w14:paraId="1ACB4EC5">
            <w:pPr>
              <w:pStyle w:val="38"/>
              <w:rPr>
                <w:rFonts w:hint="eastAsia" w:ascii="宋体" w:hAnsi="宋体" w:eastAsia="宋体" w:cs="宋体"/>
                <w:color w:val="auto"/>
                <w:highlight w:val="none"/>
              </w:rPr>
            </w:pPr>
          </w:p>
        </w:tc>
        <w:tc>
          <w:tcPr>
            <w:tcW w:w="1224" w:type="dxa"/>
            <w:noWrap w:val="0"/>
            <w:vAlign w:val="top"/>
          </w:tcPr>
          <w:p w14:paraId="6808E2C2">
            <w:pPr>
              <w:rPr>
                <w:rFonts w:hint="eastAsia" w:ascii="宋体" w:hAnsi="宋体" w:eastAsia="宋体" w:cs="宋体"/>
                <w:color w:val="auto"/>
                <w:sz w:val="24"/>
                <w:highlight w:val="none"/>
              </w:rPr>
            </w:pPr>
          </w:p>
        </w:tc>
      </w:tr>
      <w:tr w14:paraId="7903A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E4039B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470" w:type="dxa"/>
            <w:noWrap w:val="0"/>
            <w:vAlign w:val="top"/>
          </w:tcPr>
          <w:p w14:paraId="6EAE154A">
            <w:pPr>
              <w:rPr>
                <w:rFonts w:hint="eastAsia" w:ascii="宋体" w:hAnsi="宋体" w:eastAsia="宋体" w:cs="宋体"/>
                <w:color w:val="auto"/>
                <w:sz w:val="24"/>
                <w:highlight w:val="none"/>
              </w:rPr>
            </w:pPr>
          </w:p>
        </w:tc>
        <w:tc>
          <w:tcPr>
            <w:tcW w:w="2520" w:type="dxa"/>
            <w:noWrap w:val="0"/>
            <w:vAlign w:val="top"/>
          </w:tcPr>
          <w:p w14:paraId="003A821B">
            <w:pPr>
              <w:rPr>
                <w:rFonts w:hint="eastAsia" w:ascii="宋体" w:hAnsi="宋体" w:eastAsia="宋体" w:cs="宋体"/>
                <w:color w:val="auto"/>
                <w:sz w:val="24"/>
                <w:highlight w:val="none"/>
              </w:rPr>
            </w:pPr>
          </w:p>
        </w:tc>
        <w:tc>
          <w:tcPr>
            <w:tcW w:w="2310" w:type="dxa"/>
            <w:noWrap w:val="0"/>
            <w:vAlign w:val="top"/>
          </w:tcPr>
          <w:p w14:paraId="4B0AF468">
            <w:pPr>
              <w:rPr>
                <w:rFonts w:hint="eastAsia" w:ascii="宋体" w:hAnsi="宋体" w:eastAsia="宋体" w:cs="宋体"/>
                <w:color w:val="auto"/>
                <w:sz w:val="24"/>
                <w:highlight w:val="none"/>
              </w:rPr>
            </w:pPr>
          </w:p>
        </w:tc>
        <w:tc>
          <w:tcPr>
            <w:tcW w:w="1224" w:type="dxa"/>
            <w:noWrap w:val="0"/>
            <w:vAlign w:val="top"/>
          </w:tcPr>
          <w:p w14:paraId="376A4FA5">
            <w:pPr>
              <w:rPr>
                <w:rFonts w:hint="eastAsia" w:ascii="宋体" w:hAnsi="宋体" w:eastAsia="宋体" w:cs="宋体"/>
                <w:color w:val="auto"/>
                <w:sz w:val="24"/>
                <w:highlight w:val="none"/>
              </w:rPr>
            </w:pPr>
          </w:p>
        </w:tc>
      </w:tr>
      <w:tr w14:paraId="4886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6251BD51">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第二部分：资信及报价部分响应</w:t>
            </w:r>
          </w:p>
        </w:tc>
      </w:tr>
      <w:tr w14:paraId="69E22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496D4C9">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470" w:type="dxa"/>
            <w:noWrap w:val="0"/>
            <w:vAlign w:val="center"/>
          </w:tcPr>
          <w:p w14:paraId="2272BDC2">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内容</w:t>
            </w:r>
          </w:p>
        </w:tc>
        <w:tc>
          <w:tcPr>
            <w:tcW w:w="2520" w:type="dxa"/>
            <w:noWrap w:val="0"/>
            <w:vAlign w:val="center"/>
          </w:tcPr>
          <w:p w14:paraId="2BBABA42">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招标要求</w:t>
            </w:r>
          </w:p>
        </w:tc>
        <w:tc>
          <w:tcPr>
            <w:tcW w:w="2310" w:type="dxa"/>
            <w:noWrap w:val="0"/>
            <w:vAlign w:val="center"/>
          </w:tcPr>
          <w:p w14:paraId="50B14F49">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投标承诺</w:t>
            </w:r>
          </w:p>
        </w:tc>
        <w:tc>
          <w:tcPr>
            <w:tcW w:w="1224" w:type="dxa"/>
            <w:noWrap w:val="0"/>
            <w:vAlign w:val="center"/>
          </w:tcPr>
          <w:p w14:paraId="6607C6CE">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偏离说明</w:t>
            </w:r>
          </w:p>
        </w:tc>
      </w:tr>
      <w:tr w14:paraId="242A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AFA51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470" w:type="dxa"/>
            <w:noWrap w:val="0"/>
            <w:vAlign w:val="center"/>
          </w:tcPr>
          <w:p w14:paraId="53B0080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供货期</w:t>
            </w:r>
          </w:p>
        </w:tc>
        <w:tc>
          <w:tcPr>
            <w:tcW w:w="2520" w:type="dxa"/>
            <w:noWrap w:val="0"/>
            <w:vAlign w:val="top"/>
          </w:tcPr>
          <w:p w14:paraId="2077E072">
            <w:pPr>
              <w:rPr>
                <w:rFonts w:hint="eastAsia" w:ascii="宋体" w:hAnsi="宋体" w:eastAsia="宋体" w:cs="宋体"/>
                <w:color w:val="auto"/>
                <w:sz w:val="24"/>
                <w:highlight w:val="none"/>
              </w:rPr>
            </w:pPr>
          </w:p>
        </w:tc>
        <w:tc>
          <w:tcPr>
            <w:tcW w:w="2310" w:type="dxa"/>
            <w:noWrap w:val="0"/>
            <w:vAlign w:val="top"/>
          </w:tcPr>
          <w:p w14:paraId="01859C72">
            <w:pPr>
              <w:rPr>
                <w:rFonts w:hint="eastAsia" w:ascii="宋体" w:hAnsi="宋体" w:eastAsia="宋体" w:cs="宋体"/>
                <w:color w:val="auto"/>
                <w:sz w:val="24"/>
                <w:highlight w:val="none"/>
              </w:rPr>
            </w:pPr>
          </w:p>
        </w:tc>
        <w:tc>
          <w:tcPr>
            <w:tcW w:w="1224" w:type="dxa"/>
            <w:noWrap w:val="0"/>
            <w:vAlign w:val="top"/>
          </w:tcPr>
          <w:p w14:paraId="41EDF7FE">
            <w:pPr>
              <w:rPr>
                <w:rFonts w:hint="eastAsia" w:ascii="宋体" w:hAnsi="宋体" w:eastAsia="宋体" w:cs="宋体"/>
                <w:color w:val="auto"/>
                <w:sz w:val="24"/>
                <w:highlight w:val="none"/>
              </w:rPr>
            </w:pPr>
          </w:p>
        </w:tc>
      </w:tr>
      <w:tr w14:paraId="100C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780C06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470" w:type="dxa"/>
            <w:noWrap w:val="0"/>
            <w:vAlign w:val="center"/>
          </w:tcPr>
          <w:p w14:paraId="46DD49B3">
            <w:pPr>
              <w:rPr>
                <w:rFonts w:hint="eastAsia" w:ascii="宋体" w:hAnsi="宋体" w:eastAsia="宋体" w:cs="宋体"/>
                <w:color w:val="auto"/>
                <w:sz w:val="24"/>
                <w:highlight w:val="none"/>
              </w:rPr>
            </w:pPr>
            <w:r>
              <w:rPr>
                <w:rFonts w:hint="eastAsia" w:ascii="宋体" w:hAnsi="宋体" w:eastAsia="宋体" w:cs="宋体"/>
                <w:color w:val="auto"/>
                <w:sz w:val="24"/>
                <w:highlight w:val="none"/>
              </w:rPr>
              <w:t>免费质保期</w:t>
            </w:r>
          </w:p>
        </w:tc>
        <w:tc>
          <w:tcPr>
            <w:tcW w:w="2520" w:type="dxa"/>
            <w:noWrap w:val="0"/>
            <w:vAlign w:val="top"/>
          </w:tcPr>
          <w:p w14:paraId="1E14F9CE">
            <w:pPr>
              <w:rPr>
                <w:rFonts w:hint="eastAsia" w:ascii="宋体" w:hAnsi="宋体" w:eastAsia="宋体" w:cs="宋体"/>
                <w:color w:val="auto"/>
                <w:sz w:val="24"/>
                <w:highlight w:val="none"/>
              </w:rPr>
            </w:pPr>
          </w:p>
        </w:tc>
        <w:tc>
          <w:tcPr>
            <w:tcW w:w="2310" w:type="dxa"/>
            <w:noWrap w:val="0"/>
            <w:vAlign w:val="top"/>
          </w:tcPr>
          <w:p w14:paraId="1263062E">
            <w:pPr>
              <w:rPr>
                <w:rFonts w:hint="eastAsia" w:ascii="宋体" w:hAnsi="宋体" w:eastAsia="宋体" w:cs="宋体"/>
                <w:color w:val="auto"/>
                <w:sz w:val="24"/>
                <w:highlight w:val="none"/>
              </w:rPr>
            </w:pPr>
          </w:p>
        </w:tc>
        <w:tc>
          <w:tcPr>
            <w:tcW w:w="1224" w:type="dxa"/>
            <w:noWrap w:val="0"/>
            <w:vAlign w:val="top"/>
          </w:tcPr>
          <w:p w14:paraId="1209FDBB">
            <w:pPr>
              <w:rPr>
                <w:rFonts w:hint="eastAsia" w:ascii="宋体" w:hAnsi="宋体" w:eastAsia="宋体" w:cs="宋体"/>
                <w:color w:val="auto"/>
                <w:sz w:val="24"/>
                <w:highlight w:val="none"/>
              </w:rPr>
            </w:pPr>
          </w:p>
        </w:tc>
      </w:tr>
      <w:tr w14:paraId="1CE6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FB2859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470" w:type="dxa"/>
            <w:noWrap w:val="0"/>
            <w:vAlign w:val="center"/>
          </w:tcPr>
          <w:p w14:paraId="7464653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付款响应</w:t>
            </w:r>
          </w:p>
        </w:tc>
        <w:tc>
          <w:tcPr>
            <w:tcW w:w="2520" w:type="dxa"/>
            <w:noWrap w:val="0"/>
            <w:vAlign w:val="top"/>
          </w:tcPr>
          <w:p w14:paraId="216DEA1F">
            <w:pPr>
              <w:rPr>
                <w:rFonts w:hint="eastAsia" w:ascii="宋体" w:hAnsi="宋体" w:eastAsia="宋体" w:cs="宋体"/>
                <w:color w:val="auto"/>
                <w:sz w:val="24"/>
                <w:highlight w:val="none"/>
              </w:rPr>
            </w:pPr>
          </w:p>
        </w:tc>
        <w:tc>
          <w:tcPr>
            <w:tcW w:w="2310" w:type="dxa"/>
            <w:noWrap w:val="0"/>
            <w:vAlign w:val="top"/>
          </w:tcPr>
          <w:p w14:paraId="5E83FDFB">
            <w:pPr>
              <w:rPr>
                <w:rFonts w:hint="eastAsia" w:ascii="宋体" w:hAnsi="宋体" w:eastAsia="宋体" w:cs="宋体"/>
                <w:color w:val="auto"/>
                <w:sz w:val="24"/>
                <w:highlight w:val="none"/>
              </w:rPr>
            </w:pPr>
          </w:p>
        </w:tc>
        <w:tc>
          <w:tcPr>
            <w:tcW w:w="1224" w:type="dxa"/>
            <w:noWrap w:val="0"/>
            <w:vAlign w:val="top"/>
          </w:tcPr>
          <w:p w14:paraId="3E85FCCB">
            <w:pPr>
              <w:rPr>
                <w:rFonts w:hint="eastAsia" w:ascii="宋体" w:hAnsi="宋体" w:eastAsia="宋体" w:cs="宋体"/>
                <w:color w:val="auto"/>
                <w:sz w:val="24"/>
                <w:highlight w:val="none"/>
              </w:rPr>
            </w:pPr>
          </w:p>
        </w:tc>
      </w:tr>
      <w:tr w14:paraId="4E2B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F2701B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470" w:type="dxa"/>
            <w:noWrap w:val="0"/>
            <w:vAlign w:val="center"/>
          </w:tcPr>
          <w:p w14:paraId="6A5BC48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业绩</w:t>
            </w:r>
          </w:p>
        </w:tc>
        <w:tc>
          <w:tcPr>
            <w:tcW w:w="2520" w:type="dxa"/>
            <w:noWrap w:val="0"/>
            <w:vAlign w:val="top"/>
          </w:tcPr>
          <w:p w14:paraId="2E0C37C7">
            <w:pPr>
              <w:rPr>
                <w:rFonts w:hint="eastAsia" w:ascii="宋体" w:hAnsi="宋体" w:eastAsia="宋体" w:cs="宋体"/>
                <w:color w:val="auto"/>
                <w:sz w:val="24"/>
                <w:highlight w:val="none"/>
              </w:rPr>
            </w:pPr>
          </w:p>
        </w:tc>
        <w:tc>
          <w:tcPr>
            <w:tcW w:w="2310" w:type="dxa"/>
            <w:noWrap w:val="0"/>
            <w:vAlign w:val="top"/>
          </w:tcPr>
          <w:p w14:paraId="125E00C9">
            <w:pPr>
              <w:rPr>
                <w:rFonts w:hint="eastAsia" w:ascii="宋体" w:hAnsi="宋体" w:eastAsia="宋体" w:cs="宋体"/>
                <w:color w:val="auto"/>
                <w:sz w:val="24"/>
                <w:highlight w:val="none"/>
              </w:rPr>
            </w:pPr>
          </w:p>
        </w:tc>
        <w:tc>
          <w:tcPr>
            <w:tcW w:w="1224" w:type="dxa"/>
            <w:noWrap w:val="0"/>
            <w:vAlign w:val="top"/>
          </w:tcPr>
          <w:p w14:paraId="5E7AF09E">
            <w:pPr>
              <w:rPr>
                <w:rFonts w:hint="eastAsia" w:ascii="宋体" w:hAnsi="宋体" w:eastAsia="宋体" w:cs="宋体"/>
                <w:color w:val="auto"/>
                <w:sz w:val="24"/>
                <w:highlight w:val="none"/>
              </w:rPr>
            </w:pPr>
          </w:p>
        </w:tc>
      </w:tr>
      <w:tr w14:paraId="3CD7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E4A513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1470" w:type="dxa"/>
            <w:noWrap w:val="0"/>
            <w:vAlign w:val="center"/>
          </w:tcPr>
          <w:p w14:paraId="4BB514D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w:t>
            </w:r>
          </w:p>
        </w:tc>
        <w:tc>
          <w:tcPr>
            <w:tcW w:w="2520" w:type="dxa"/>
            <w:noWrap w:val="0"/>
            <w:vAlign w:val="top"/>
          </w:tcPr>
          <w:p w14:paraId="61922277">
            <w:pPr>
              <w:rPr>
                <w:rFonts w:hint="eastAsia" w:ascii="宋体" w:hAnsi="宋体" w:eastAsia="宋体" w:cs="宋体"/>
                <w:color w:val="auto"/>
                <w:sz w:val="24"/>
                <w:highlight w:val="none"/>
              </w:rPr>
            </w:pPr>
          </w:p>
        </w:tc>
        <w:tc>
          <w:tcPr>
            <w:tcW w:w="2310" w:type="dxa"/>
            <w:noWrap w:val="0"/>
            <w:vAlign w:val="top"/>
          </w:tcPr>
          <w:p w14:paraId="368F24AB">
            <w:pPr>
              <w:rPr>
                <w:rFonts w:hint="eastAsia" w:ascii="宋体" w:hAnsi="宋体" w:eastAsia="宋体" w:cs="宋体"/>
                <w:color w:val="auto"/>
                <w:sz w:val="24"/>
                <w:highlight w:val="none"/>
              </w:rPr>
            </w:pPr>
          </w:p>
        </w:tc>
        <w:tc>
          <w:tcPr>
            <w:tcW w:w="1224" w:type="dxa"/>
            <w:noWrap w:val="0"/>
            <w:vAlign w:val="top"/>
          </w:tcPr>
          <w:p w14:paraId="05B599D7">
            <w:pPr>
              <w:rPr>
                <w:rFonts w:hint="eastAsia" w:ascii="宋体" w:hAnsi="宋体" w:eastAsia="宋体" w:cs="宋体"/>
                <w:color w:val="auto"/>
                <w:sz w:val="24"/>
                <w:highlight w:val="none"/>
              </w:rPr>
            </w:pPr>
          </w:p>
        </w:tc>
      </w:tr>
    </w:tbl>
    <w:p w14:paraId="4DB69579">
      <w:pPr>
        <w:spacing w:line="38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供应商名称：（电子公章）</w:t>
      </w:r>
    </w:p>
    <w:p w14:paraId="7D87D367">
      <w:pPr>
        <w:spacing w:line="380" w:lineRule="exact"/>
        <w:ind w:right="640" w:firstLine="1560" w:firstLineChars="650"/>
        <w:jc w:val="left"/>
        <w:rPr>
          <w:rFonts w:hint="eastAsia" w:ascii="宋体" w:hAnsi="宋体" w:eastAsia="宋体" w:cs="宋体"/>
          <w:color w:val="auto"/>
          <w:sz w:val="24"/>
          <w:highlight w:val="none"/>
        </w:rPr>
      </w:pPr>
    </w:p>
    <w:p w14:paraId="4CE7C2C4">
      <w:pPr>
        <w:spacing w:line="380" w:lineRule="exact"/>
        <w:ind w:right="64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法人代表：（签字）</w:t>
      </w:r>
    </w:p>
    <w:p w14:paraId="7FC20BB8">
      <w:pPr>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62564CA4">
      <w:pPr>
        <w:adjustRightInd w:val="0"/>
        <w:snapToGrid w:val="0"/>
        <w:spacing w:line="360" w:lineRule="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备注：</w:t>
      </w:r>
    </w:p>
    <w:p w14:paraId="53E901EA">
      <w:pPr>
        <w:adjustRightInd w:val="0"/>
        <w:snapToGrid w:val="0"/>
        <w:spacing w:line="360" w:lineRule="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1、投标人必须逐项对应描述投标货物主要参数、配置及服务要求，如不进行描述，仅在响应栏填“响应”或未填写的，将可能导致投标无效；</w:t>
      </w:r>
    </w:p>
    <w:p w14:paraId="6FCD2AB7">
      <w:pPr>
        <w:adjustRightInd w:val="0"/>
        <w:snapToGrid w:val="0"/>
        <w:spacing w:line="360" w:lineRule="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2、投标人所投产品如与招标文件要求的规格及配置不一致，则须在上表偏离说明中详细注明。</w:t>
      </w:r>
    </w:p>
    <w:p w14:paraId="029C7D6A">
      <w:pPr>
        <w:adjustRightInd w:val="0"/>
        <w:snapToGrid w:val="0"/>
        <w:spacing w:line="360" w:lineRule="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3、响应部分可后附详细说明及技术资料，并应注明投标文件中对应的页码范围。</w:t>
      </w:r>
    </w:p>
    <w:p w14:paraId="2AA06F02">
      <w:pPr>
        <w:pStyle w:val="17"/>
        <w:rPr>
          <w:rFonts w:hint="eastAsia" w:ascii="宋体" w:hAnsi="宋体" w:eastAsia="宋体" w:cs="宋体"/>
          <w:color w:val="auto"/>
          <w:highlight w:val="none"/>
        </w:rPr>
      </w:pPr>
    </w:p>
    <w:p w14:paraId="1D323759">
      <w:pPr>
        <w:pStyle w:val="17"/>
        <w:rPr>
          <w:rFonts w:hint="eastAsia" w:ascii="宋体" w:hAnsi="宋体" w:eastAsia="宋体" w:cs="宋体"/>
          <w:color w:val="auto"/>
          <w:highlight w:val="none"/>
        </w:rPr>
      </w:pPr>
    </w:p>
    <w:p w14:paraId="47DE0FA6">
      <w:pPr>
        <w:pStyle w:val="17"/>
        <w:rPr>
          <w:rFonts w:hint="eastAsia" w:ascii="宋体" w:hAnsi="宋体" w:eastAsia="宋体" w:cs="宋体"/>
          <w:color w:val="auto"/>
          <w:highlight w:val="none"/>
        </w:rPr>
      </w:pPr>
    </w:p>
    <w:p w14:paraId="5546ADB3">
      <w:pPr>
        <w:pStyle w:val="17"/>
        <w:rPr>
          <w:rFonts w:hint="eastAsia" w:ascii="宋体" w:hAnsi="宋体" w:eastAsia="宋体" w:cs="宋体"/>
          <w:color w:val="auto"/>
          <w:highlight w:val="none"/>
        </w:rPr>
      </w:pPr>
    </w:p>
    <w:p w14:paraId="573931B4">
      <w:pPr>
        <w:pStyle w:val="17"/>
        <w:rPr>
          <w:rFonts w:hint="eastAsia" w:ascii="宋体" w:hAnsi="宋体" w:eastAsia="宋体" w:cs="宋体"/>
          <w:color w:val="auto"/>
          <w:highlight w:val="none"/>
        </w:rPr>
      </w:pPr>
    </w:p>
    <w:p w14:paraId="07D1509A">
      <w:pPr>
        <w:pStyle w:val="17"/>
        <w:rPr>
          <w:rFonts w:hint="eastAsia" w:ascii="宋体" w:hAnsi="宋体" w:eastAsia="宋体" w:cs="宋体"/>
          <w:color w:val="auto"/>
          <w:highlight w:val="none"/>
        </w:rPr>
      </w:pPr>
    </w:p>
    <w:p w14:paraId="39ED7A4A">
      <w:pPr>
        <w:pStyle w:val="5"/>
        <w:rPr>
          <w:rFonts w:hint="eastAsia" w:ascii="宋体" w:hAnsi="宋体" w:eastAsia="宋体" w:cs="宋体"/>
          <w:b w:val="0"/>
          <w:bCs w:val="0"/>
          <w:color w:val="auto"/>
          <w:sz w:val="28"/>
          <w:szCs w:val="36"/>
          <w:highlight w:val="none"/>
        </w:rPr>
      </w:pPr>
      <w:bookmarkStart w:id="156" w:name="_Hlt509738950"/>
      <w:bookmarkEnd w:id="156"/>
      <w:bookmarkStart w:id="157" w:name="_Toc2238_WPSOffice_Level2"/>
      <w:bookmarkStart w:id="158" w:name="_Toc220232400"/>
      <w:bookmarkStart w:id="159" w:name="_Toc40975454"/>
      <w:r>
        <w:rPr>
          <w:rFonts w:hint="eastAsia" w:ascii="宋体" w:hAnsi="宋体" w:eastAsia="宋体" w:cs="宋体"/>
          <w:b w:val="0"/>
          <w:bCs w:val="0"/>
          <w:color w:val="auto"/>
          <w:sz w:val="28"/>
          <w:highlight w:val="none"/>
        </w:rPr>
        <w:t>六．产品质量承诺</w:t>
      </w:r>
      <w:bookmarkEnd w:id="157"/>
      <w:bookmarkEnd w:id="158"/>
      <w:bookmarkEnd w:id="159"/>
    </w:p>
    <w:p w14:paraId="2CB5584D">
      <w:pPr>
        <w:spacing w:before="62" w:beforeLines="20" w:after="62" w:afterLines="2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(投标人可自行制作格式)</w:t>
      </w:r>
    </w:p>
    <w:p w14:paraId="3ED8F58D">
      <w:pPr>
        <w:spacing w:before="62" w:beforeLines="20" w:after="62" w:afterLines="20" w:line="360" w:lineRule="auto"/>
        <w:rPr>
          <w:rFonts w:hint="eastAsia" w:ascii="宋体" w:hAnsi="宋体" w:eastAsia="宋体" w:cs="宋体"/>
          <w:color w:val="auto"/>
          <w:sz w:val="28"/>
          <w:highlight w:val="none"/>
        </w:rPr>
      </w:pPr>
    </w:p>
    <w:p w14:paraId="11AD6920">
      <w:pPr>
        <w:pStyle w:val="17"/>
        <w:rPr>
          <w:rFonts w:hint="eastAsia" w:ascii="宋体" w:hAnsi="宋体" w:eastAsia="宋体" w:cs="宋体"/>
          <w:color w:val="auto"/>
          <w:highlight w:val="none"/>
        </w:rPr>
      </w:pPr>
    </w:p>
    <w:p w14:paraId="1CD35CC5">
      <w:pPr>
        <w:pStyle w:val="17"/>
        <w:rPr>
          <w:rFonts w:hint="eastAsia" w:ascii="宋体" w:hAnsi="宋体" w:eastAsia="宋体" w:cs="宋体"/>
          <w:color w:val="auto"/>
          <w:highlight w:val="none"/>
        </w:rPr>
      </w:pPr>
    </w:p>
    <w:p w14:paraId="229036FE">
      <w:pPr>
        <w:pStyle w:val="17"/>
        <w:rPr>
          <w:rFonts w:hint="eastAsia" w:ascii="宋体" w:hAnsi="宋体" w:eastAsia="宋体" w:cs="宋体"/>
          <w:color w:val="auto"/>
          <w:highlight w:val="none"/>
        </w:rPr>
      </w:pPr>
    </w:p>
    <w:p w14:paraId="1BB48332">
      <w:pPr>
        <w:pStyle w:val="17"/>
        <w:rPr>
          <w:rFonts w:hint="eastAsia" w:ascii="宋体" w:hAnsi="宋体" w:eastAsia="宋体" w:cs="宋体"/>
          <w:color w:val="auto"/>
          <w:highlight w:val="none"/>
        </w:rPr>
      </w:pPr>
    </w:p>
    <w:p w14:paraId="1B7300A2">
      <w:pPr>
        <w:pStyle w:val="17"/>
        <w:rPr>
          <w:rFonts w:hint="eastAsia" w:ascii="宋体" w:hAnsi="宋体" w:eastAsia="宋体" w:cs="宋体"/>
          <w:color w:val="auto"/>
          <w:highlight w:val="none"/>
        </w:rPr>
      </w:pPr>
    </w:p>
    <w:p w14:paraId="6AC3A3CF">
      <w:pPr>
        <w:pStyle w:val="17"/>
        <w:rPr>
          <w:rFonts w:hint="eastAsia" w:ascii="宋体" w:hAnsi="宋体" w:eastAsia="宋体" w:cs="宋体"/>
          <w:color w:val="auto"/>
          <w:highlight w:val="none"/>
        </w:rPr>
      </w:pPr>
    </w:p>
    <w:p w14:paraId="0D26FF96">
      <w:pPr>
        <w:pStyle w:val="17"/>
        <w:rPr>
          <w:rFonts w:hint="eastAsia" w:ascii="宋体" w:hAnsi="宋体" w:eastAsia="宋体" w:cs="宋体"/>
          <w:color w:val="auto"/>
          <w:highlight w:val="none"/>
        </w:rPr>
      </w:pPr>
    </w:p>
    <w:p w14:paraId="3E104436">
      <w:pPr>
        <w:pStyle w:val="17"/>
        <w:rPr>
          <w:rFonts w:hint="eastAsia" w:ascii="宋体" w:hAnsi="宋体" w:eastAsia="宋体" w:cs="宋体"/>
          <w:color w:val="auto"/>
          <w:highlight w:val="none"/>
        </w:rPr>
      </w:pPr>
    </w:p>
    <w:p w14:paraId="6406E3CD">
      <w:pPr>
        <w:pStyle w:val="17"/>
        <w:rPr>
          <w:rFonts w:hint="eastAsia" w:ascii="宋体" w:hAnsi="宋体" w:eastAsia="宋体" w:cs="宋体"/>
          <w:color w:val="auto"/>
          <w:highlight w:val="none"/>
        </w:rPr>
      </w:pPr>
    </w:p>
    <w:p w14:paraId="4B5F2EED">
      <w:pPr>
        <w:pStyle w:val="17"/>
        <w:rPr>
          <w:rFonts w:hint="eastAsia" w:ascii="宋体" w:hAnsi="宋体" w:eastAsia="宋体" w:cs="宋体"/>
          <w:color w:val="auto"/>
          <w:highlight w:val="none"/>
        </w:rPr>
      </w:pPr>
    </w:p>
    <w:p w14:paraId="0BBE7F58">
      <w:pPr>
        <w:pStyle w:val="17"/>
        <w:rPr>
          <w:rFonts w:hint="eastAsia" w:ascii="宋体" w:hAnsi="宋体" w:eastAsia="宋体" w:cs="宋体"/>
          <w:color w:val="auto"/>
          <w:highlight w:val="none"/>
        </w:rPr>
      </w:pPr>
    </w:p>
    <w:p w14:paraId="502F71B6">
      <w:pPr>
        <w:pStyle w:val="17"/>
        <w:rPr>
          <w:rFonts w:hint="eastAsia" w:ascii="宋体" w:hAnsi="宋体" w:eastAsia="宋体" w:cs="宋体"/>
          <w:color w:val="auto"/>
          <w:highlight w:val="none"/>
        </w:rPr>
      </w:pPr>
    </w:p>
    <w:p w14:paraId="0975E3E9">
      <w:pPr>
        <w:pStyle w:val="17"/>
        <w:rPr>
          <w:rFonts w:hint="eastAsia" w:ascii="宋体" w:hAnsi="宋体" w:eastAsia="宋体" w:cs="宋体"/>
          <w:color w:val="auto"/>
          <w:highlight w:val="none"/>
        </w:rPr>
      </w:pPr>
    </w:p>
    <w:p w14:paraId="3B5B3A42">
      <w:pPr>
        <w:pStyle w:val="17"/>
        <w:rPr>
          <w:rFonts w:hint="eastAsia" w:ascii="宋体" w:hAnsi="宋体" w:eastAsia="宋体" w:cs="宋体"/>
          <w:color w:val="auto"/>
          <w:highlight w:val="none"/>
        </w:rPr>
      </w:pPr>
    </w:p>
    <w:p w14:paraId="384536C4">
      <w:pPr>
        <w:pStyle w:val="17"/>
        <w:rPr>
          <w:rFonts w:hint="eastAsia" w:ascii="宋体" w:hAnsi="宋体" w:eastAsia="宋体" w:cs="宋体"/>
          <w:color w:val="auto"/>
          <w:highlight w:val="none"/>
        </w:rPr>
      </w:pPr>
    </w:p>
    <w:p w14:paraId="26DB1815">
      <w:pPr>
        <w:pStyle w:val="17"/>
        <w:rPr>
          <w:rFonts w:hint="eastAsia" w:ascii="宋体" w:hAnsi="宋体" w:eastAsia="宋体" w:cs="宋体"/>
          <w:color w:val="auto"/>
          <w:highlight w:val="none"/>
        </w:rPr>
      </w:pPr>
    </w:p>
    <w:p w14:paraId="3DFB162F">
      <w:pPr>
        <w:pStyle w:val="17"/>
        <w:rPr>
          <w:rFonts w:hint="eastAsia" w:ascii="宋体" w:hAnsi="宋体" w:eastAsia="宋体" w:cs="宋体"/>
          <w:color w:val="auto"/>
          <w:highlight w:val="none"/>
        </w:rPr>
      </w:pPr>
    </w:p>
    <w:p w14:paraId="5E869B0E">
      <w:pPr>
        <w:pStyle w:val="17"/>
        <w:rPr>
          <w:rFonts w:hint="eastAsia" w:ascii="宋体" w:hAnsi="宋体" w:eastAsia="宋体" w:cs="宋体"/>
          <w:color w:val="auto"/>
          <w:highlight w:val="none"/>
        </w:rPr>
      </w:pPr>
    </w:p>
    <w:p w14:paraId="6DFFB95E">
      <w:pPr>
        <w:pStyle w:val="17"/>
        <w:rPr>
          <w:rFonts w:hint="eastAsia" w:ascii="宋体" w:hAnsi="宋体" w:eastAsia="宋体" w:cs="宋体"/>
          <w:color w:val="auto"/>
          <w:highlight w:val="none"/>
        </w:rPr>
      </w:pPr>
    </w:p>
    <w:p w14:paraId="7E3A30BA">
      <w:pPr>
        <w:pStyle w:val="17"/>
        <w:rPr>
          <w:rFonts w:hint="eastAsia" w:ascii="宋体" w:hAnsi="宋体" w:eastAsia="宋体" w:cs="宋体"/>
          <w:color w:val="auto"/>
          <w:highlight w:val="none"/>
        </w:rPr>
      </w:pPr>
    </w:p>
    <w:p w14:paraId="63CCEA1B">
      <w:pPr>
        <w:pStyle w:val="17"/>
        <w:rPr>
          <w:rFonts w:hint="eastAsia" w:ascii="宋体" w:hAnsi="宋体" w:eastAsia="宋体" w:cs="宋体"/>
          <w:color w:val="auto"/>
          <w:highlight w:val="none"/>
        </w:rPr>
      </w:pPr>
    </w:p>
    <w:p w14:paraId="6E932145">
      <w:pPr>
        <w:pStyle w:val="17"/>
        <w:rPr>
          <w:rFonts w:hint="eastAsia" w:ascii="宋体" w:hAnsi="宋体" w:eastAsia="宋体" w:cs="宋体"/>
          <w:color w:val="auto"/>
          <w:highlight w:val="none"/>
        </w:rPr>
      </w:pPr>
    </w:p>
    <w:p w14:paraId="052B4390">
      <w:pPr>
        <w:pStyle w:val="17"/>
        <w:rPr>
          <w:rFonts w:hint="eastAsia" w:ascii="宋体" w:hAnsi="宋体" w:eastAsia="宋体" w:cs="宋体"/>
          <w:color w:val="auto"/>
          <w:highlight w:val="none"/>
        </w:rPr>
      </w:pPr>
    </w:p>
    <w:p w14:paraId="02592B36">
      <w:pPr>
        <w:pStyle w:val="17"/>
        <w:rPr>
          <w:rFonts w:hint="eastAsia" w:ascii="宋体" w:hAnsi="宋体" w:eastAsia="宋体" w:cs="宋体"/>
          <w:color w:val="auto"/>
          <w:highlight w:val="none"/>
        </w:rPr>
      </w:pPr>
    </w:p>
    <w:p w14:paraId="44C65B45">
      <w:pPr>
        <w:pStyle w:val="17"/>
        <w:rPr>
          <w:rFonts w:hint="eastAsia" w:ascii="宋体" w:hAnsi="宋体" w:eastAsia="宋体" w:cs="宋体"/>
          <w:color w:val="auto"/>
          <w:highlight w:val="none"/>
        </w:rPr>
      </w:pPr>
    </w:p>
    <w:p w14:paraId="4661ED14">
      <w:pPr>
        <w:pStyle w:val="17"/>
        <w:rPr>
          <w:rFonts w:hint="eastAsia" w:ascii="宋体" w:hAnsi="宋体" w:eastAsia="宋体" w:cs="宋体"/>
          <w:color w:val="auto"/>
          <w:highlight w:val="none"/>
        </w:rPr>
      </w:pPr>
    </w:p>
    <w:p w14:paraId="34E33FB7">
      <w:pPr>
        <w:pStyle w:val="17"/>
        <w:rPr>
          <w:rFonts w:hint="eastAsia" w:ascii="宋体" w:hAnsi="宋体" w:eastAsia="宋体" w:cs="宋体"/>
          <w:color w:val="auto"/>
          <w:highlight w:val="none"/>
        </w:rPr>
      </w:pPr>
    </w:p>
    <w:p w14:paraId="4EC204F2">
      <w:pPr>
        <w:pStyle w:val="17"/>
        <w:rPr>
          <w:rFonts w:hint="eastAsia" w:ascii="宋体" w:hAnsi="宋体" w:eastAsia="宋体" w:cs="宋体"/>
          <w:color w:val="auto"/>
          <w:highlight w:val="none"/>
        </w:rPr>
      </w:pPr>
    </w:p>
    <w:p w14:paraId="5A340C64">
      <w:pPr>
        <w:pStyle w:val="17"/>
        <w:rPr>
          <w:rFonts w:hint="eastAsia" w:ascii="宋体" w:hAnsi="宋体" w:eastAsia="宋体" w:cs="宋体"/>
          <w:color w:val="auto"/>
          <w:highlight w:val="none"/>
        </w:rPr>
      </w:pPr>
    </w:p>
    <w:p w14:paraId="75D22960">
      <w:pPr>
        <w:pStyle w:val="17"/>
        <w:rPr>
          <w:rFonts w:hint="eastAsia" w:ascii="宋体" w:hAnsi="宋体" w:eastAsia="宋体" w:cs="宋体"/>
          <w:color w:val="auto"/>
          <w:highlight w:val="none"/>
        </w:rPr>
      </w:pPr>
    </w:p>
    <w:p w14:paraId="387ADA88">
      <w:pPr>
        <w:pStyle w:val="17"/>
        <w:rPr>
          <w:rFonts w:hint="eastAsia" w:ascii="宋体" w:hAnsi="宋体" w:eastAsia="宋体" w:cs="宋体"/>
          <w:color w:val="auto"/>
          <w:highlight w:val="none"/>
        </w:rPr>
      </w:pPr>
    </w:p>
    <w:p w14:paraId="65B359CD">
      <w:pPr>
        <w:pStyle w:val="17"/>
        <w:rPr>
          <w:rFonts w:hint="eastAsia" w:ascii="宋体" w:hAnsi="宋体" w:eastAsia="宋体" w:cs="宋体"/>
          <w:color w:val="auto"/>
          <w:highlight w:val="none"/>
        </w:rPr>
      </w:pPr>
    </w:p>
    <w:p w14:paraId="6F96C979">
      <w:pPr>
        <w:pStyle w:val="17"/>
        <w:rPr>
          <w:rFonts w:hint="eastAsia" w:ascii="宋体" w:hAnsi="宋体" w:eastAsia="宋体" w:cs="宋体"/>
          <w:color w:val="auto"/>
          <w:highlight w:val="none"/>
        </w:rPr>
      </w:pPr>
    </w:p>
    <w:p w14:paraId="2C50FAEB">
      <w:pPr>
        <w:pStyle w:val="17"/>
        <w:rPr>
          <w:rFonts w:hint="eastAsia" w:ascii="宋体" w:hAnsi="宋体" w:eastAsia="宋体" w:cs="宋体"/>
          <w:color w:val="auto"/>
          <w:highlight w:val="none"/>
        </w:rPr>
      </w:pPr>
    </w:p>
    <w:p w14:paraId="6B8ABED4">
      <w:pPr>
        <w:pStyle w:val="17"/>
        <w:rPr>
          <w:rFonts w:hint="eastAsia" w:ascii="宋体" w:hAnsi="宋体" w:eastAsia="宋体" w:cs="宋体"/>
          <w:color w:val="auto"/>
          <w:highlight w:val="none"/>
        </w:rPr>
      </w:pPr>
    </w:p>
    <w:p w14:paraId="245E9AEB">
      <w:pPr>
        <w:pStyle w:val="17"/>
        <w:rPr>
          <w:rFonts w:hint="eastAsia" w:ascii="宋体" w:hAnsi="宋体" w:eastAsia="宋体" w:cs="宋体"/>
          <w:color w:val="auto"/>
          <w:highlight w:val="none"/>
        </w:rPr>
      </w:pPr>
    </w:p>
    <w:p w14:paraId="7985B865">
      <w:pPr>
        <w:pStyle w:val="17"/>
        <w:rPr>
          <w:rFonts w:hint="eastAsia" w:ascii="宋体" w:hAnsi="宋体" w:eastAsia="宋体" w:cs="宋体"/>
          <w:color w:val="auto"/>
          <w:highlight w:val="none"/>
        </w:rPr>
      </w:pPr>
    </w:p>
    <w:p w14:paraId="5163D093">
      <w:pPr>
        <w:pStyle w:val="17"/>
        <w:rPr>
          <w:rFonts w:hint="eastAsia" w:ascii="宋体" w:hAnsi="宋体" w:eastAsia="宋体" w:cs="宋体"/>
          <w:color w:val="auto"/>
          <w:highlight w:val="none"/>
        </w:rPr>
      </w:pPr>
    </w:p>
    <w:p w14:paraId="48726038">
      <w:pPr>
        <w:pStyle w:val="17"/>
        <w:rPr>
          <w:rFonts w:hint="eastAsia" w:ascii="宋体" w:hAnsi="宋体" w:eastAsia="宋体" w:cs="宋体"/>
          <w:color w:val="auto"/>
          <w:highlight w:val="none"/>
        </w:rPr>
      </w:pPr>
    </w:p>
    <w:p w14:paraId="33B7F9A7">
      <w:pPr>
        <w:pStyle w:val="17"/>
        <w:rPr>
          <w:rFonts w:hint="eastAsia" w:ascii="宋体" w:hAnsi="宋体" w:eastAsia="宋体" w:cs="宋体"/>
          <w:color w:val="auto"/>
          <w:highlight w:val="none"/>
        </w:rPr>
      </w:pPr>
    </w:p>
    <w:p w14:paraId="5C36C497">
      <w:pPr>
        <w:pStyle w:val="17"/>
        <w:rPr>
          <w:rFonts w:hint="eastAsia" w:ascii="宋体" w:hAnsi="宋体" w:eastAsia="宋体" w:cs="宋体"/>
          <w:color w:val="auto"/>
          <w:highlight w:val="none"/>
        </w:rPr>
      </w:pPr>
    </w:p>
    <w:p w14:paraId="10E2284E">
      <w:pPr>
        <w:pStyle w:val="17"/>
        <w:rPr>
          <w:rFonts w:hint="eastAsia" w:ascii="宋体" w:hAnsi="宋体" w:eastAsia="宋体" w:cs="宋体"/>
          <w:color w:val="auto"/>
          <w:highlight w:val="none"/>
        </w:rPr>
      </w:pPr>
    </w:p>
    <w:p w14:paraId="188F6461">
      <w:pPr>
        <w:pStyle w:val="17"/>
        <w:rPr>
          <w:rFonts w:hint="eastAsia" w:ascii="宋体" w:hAnsi="宋体" w:eastAsia="宋体" w:cs="宋体"/>
          <w:color w:val="auto"/>
          <w:highlight w:val="none"/>
        </w:rPr>
      </w:pPr>
    </w:p>
    <w:p w14:paraId="60B25D3C">
      <w:pPr>
        <w:pStyle w:val="17"/>
        <w:rPr>
          <w:rFonts w:hint="eastAsia" w:ascii="宋体" w:hAnsi="宋体" w:eastAsia="宋体" w:cs="宋体"/>
          <w:color w:val="auto"/>
          <w:highlight w:val="none"/>
        </w:rPr>
      </w:pPr>
    </w:p>
    <w:p w14:paraId="587A9117">
      <w:pPr>
        <w:pStyle w:val="17"/>
        <w:rPr>
          <w:rFonts w:hint="eastAsia" w:ascii="宋体" w:hAnsi="宋体" w:eastAsia="宋体" w:cs="宋体"/>
          <w:color w:val="auto"/>
          <w:highlight w:val="none"/>
        </w:rPr>
      </w:pPr>
    </w:p>
    <w:p w14:paraId="7A4FA804">
      <w:pPr>
        <w:pStyle w:val="17"/>
        <w:rPr>
          <w:rFonts w:hint="eastAsia" w:ascii="宋体" w:hAnsi="宋体" w:eastAsia="宋体" w:cs="宋体"/>
          <w:color w:val="auto"/>
          <w:highlight w:val="none"/>
        </w:rPr>
      </w:pPr>
    </w:p>
    <w:p w14:paraId="0ABA9C38">
      <w:pPr>
        <w:pStyle w:val="17"/>
        <w:rPr>
          <w:rFonts w:hint="eastAsia" w:ascii="宋体" w:hAnsi="宋体" w:eastAsia="宋体" w:cs="宋体"/>
          <w:color w:val="auto"/>
          <w:highlight w:val="none"/>
        </w:rPr>
      </w:pPr>
    </w:p>
    <w:p w14:paraId="3CDA94A6">
      <w:pPr>
        <w:pStyle w:val="17"/>
        <w:rPr>
          <w:rFonts w:hint="eastAsia" w:ascii="宋体" w:hAnsi="宋体" w:eastAsia="宋体" w:cs="宋体"/>
          <w:color w:val="auto"/>
          <w:highlight w:val="none"/>
        </w:rPr>
      </w:pPr>
    </w:p>
    <w:p w14:paraId="03462795">
      <w:pPr>
        <w:pStyle w:val="17"/>
        <w:rPr>
          <w:rFonts w:hint="eastAsia" w:ascii="宋体" w:hAnsi="宋体" w:eastAsia="宋体" w:cs="宋体"/>
          <w:color w:val="auto"/>
          <w:highlight w:val="none"/>
        </w:rPr>
      </w:pPr>
    </w:p>
    <w:p w14:paraId="54201A26">
      <w:pPr>
        <w:pStyle w:val="17"/>
        <w:rPr>
          <w:rFonts w:hint="eastAsia" w:ascii="宋体" w:hAnsi="宋体" w:eastAsia="宋体" w:cs="宋体"/>
          <w:color w:val="auto"/>
          <w:highlight w:val="none"/>
        </w:rPr>
      </w:pPr>
    </w:p>
    <w:p w14:paraId="59925D2B">
      <w:pPr>
        <w:pStyle w:val="17"/>
        <w:rPr>
          <w:rFonts w:hint="eastAsia" w:ascii="宋体" w:hAnsi="宋体" w:eastAsia="宋体" w:cs="宋体"/>
          <w:color w:val="auto"/>
          <w:highlight w:val="none"/>
        </w:rPr>
      </w:pPr>
    </w:p>
    <w:p w14:paraId="0DF14597">
      <w:pPr>
        <w:pStyle w:val="5"/>
        <w:rPr>
          <w:rFonts w:hint="eastAsia" w:ascii="宋体" w:hAnsi="宋体" w:eastAsia="宋体" w:cs="宋体"/>
          <w:b w:val="0"/>
          <w:bCs w:val="0"/>
          <w:color w:val="auto"/>
          <w:sz w:val="28"/>
          <w:szCs w:val="36"/>
          <w:highlight w:val="none"/>
        </w:rPr>
      </w:pPr>
      <w:bookmarkStart w:id="160" w:name="_Toc40975455"/>
      <w:bookmarkStart w:id="161" w:name="_Toc220232401"/>
      <w:bookmarkStart w:id="162" w:name="_Toc516969104"/>
      <w:bookmarkStart w:id="163" w:name="_Toc31042_WPSOffice_Level2"/>
      <w:bookmarkStart w:id="164" w:name="_Hlt510342906"/>
      <w:r>
        <w:rPr>
          <w:rFonts w:hint="eastAsia" w:ascii="宋体" w:hAnsi="宋体" w:eastAsia="宋体" w:cs="宋体"/>
          <w:b w:val="0"/>
          <w:bCs w:val="0"/>
          <w:color w:val="auto"/>
          <w:sz w:val="28"/>
          <w:highlight w:val="none"/>
        </w:rPr>
        <w:t>七．所</w:t>
      </w:r>
      <w:bookmarkStart w:id="165" w:name="_Hlt510342883"/>
      <w:bookmarkEnd w:id="165"/>
      <w:r>
        <w:rPr>
          <w:rFonts w:hint="eastAsia" w:ascii="宋体" w:hAnsi="宋体" w:eastAsia="宋体" w:cs="宋体"/>
          <w:b w:val="0"/>
          <w:bCs w:val="0"/>
          <w:color w:val="auto"/>
          <w:sz w:val="28"/>
          <w:highlight w:val="none"/>
        </w:rPr>
        <w:t>供货物组部件、备品、备件清单</w:t>
      </w:r>
      <w:bookmarkEnd w:id="160"/>
      <w:bookmarkEnd w:id="161"/>
      <w:bookmarkEnd w:id="162"/>
      <w:bookmarkEnd w:id="163"/>
      <w:r>
        <w:rPr>
          <w:rFonts w:hint="eastAsia" w:ascii="宋体" w:hAnsi="宋体" w:eastAsia="宋体" w:cs="宋体"/>
          <w:b w:val="0"/>
          <w:bCs w:val="0"/>
          <w:color w:val="auto"/>
          <w:sz w:val="28"/>
          <w:highlight w:val="none"/>
        </w:rPr>
        <w:t>（可不填写）</w:t>
      </w:r>
    </w:p>
    <w:bookmarkEnd w:id="164"/>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1441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6CB1A76D">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186" w:type="dxa"/>
            <w:noWrap w:val="0"/>
            <w:vAlign w:val="center"/>
          </w:tcPr>
          <w:p w14:paraId="62F0AD24">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名称</w:t>
            </w:r>
          </w:p>
        </w:tc>
        <w:tc>
          <w:tcPr>
            <w:tcW w:w="1730" w:type="dxa"/>
            <w:noWrap w:val="0"/>
            <w:vAlign w:val="center"/>
          </w:tcPr>
          <w:p w14:paraId="62EE80D8">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规格型号</w:t>
            </w:r>
          </w:p>
        </w:tc>
        <w:tc>
          <w:tcPr>
            <w:tcW w:w="1037" w:type="dxa"/>
            <w:noWrap w:val="0"/>
            <w:vAlign w:val="center"/>
          </w:tcPr>
          <w:p w14:paraId="1E7A84D8">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1286" w:type="dxa"/>
            <w:noWrap w:val="0"/>
            <w:vAlign w:val="center"/>
          </w:tcPr>
          <w:p w14:paraId="66971064">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单价</w:t>
            </w:r>
          </w:p>
        </w:tc>
        <w:tc>
          <w:tcPr>
            <w:tcW w:w="1236" w:type="dxa"/>
            <w:noWrap w:val="0"/>
            <w:vAlign w:val="center"/>
          </w:tcPr>
          <w:p w14:paraId="394277B9">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小计</w:t>
            </w:r>
          </w:p>
        </w:tc>
        <w:tc>
          <w:tcPr>
            <w:tcW w:w="1098" w:type="dxa"/>
            <w:noWrap w:val="0"/>
            <w:vAlign w:val="center"/>
          </w:tcPr>
          <w:p w14:paraId="6CB052DF">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1294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EE9E972">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186" w:type="dxa"/>
            <w:noWrap w:val="0"/>
            <w:vAlign w:val="top"/>
          </w:tcPr>
          <w:p w14:paraId="7C245378">
            <w:pPr>
              <w:rPr>
                <w:rFonts w:hint="eastAsia" w:ascii="宋体" w:hAnsi="宋体" w:eastAsia="宋体" w:cs="宋体"/>
                <w:color w:val="auto"/>
                <w:sz w:val="24"/>
                <w:highlight w:val="none"/>
              </w:rPr>
            </w:pPr>
          </w:p>
        </w:tc>
        <w:tc>
          <w:tcPr>
            <w:tcW w:w="1730" w:type="dxa"/>
            <w:noWrap w:val="0"/>
            <w:vAlign w:val="top"/>
          </w:tcPr>
          <w:p w14:paraId="360BCB38">
            <w:pPr>
              <w:rPr>
                <w:rFonts w:hint="eastAsia" w:ascii="宋体" w:hAnsi="宋体" w:eastAsia="宋体" w:cs="宋体"/>
                <w:color w:val="auto"/>
                <w:sz w:val="24"/>
                <w:highlight w:val="none"/>
              </w:rPr>
            </w:pPr>
          </w:p>
        </w:tc>
        <w:tc>
          <w:tcPr>
            <w:tcW w:w="1037" w:type="dxa"/>
            <w:noWrap w:val="0"/>
            <w:vAlign w:val="top"/>
          </w:tcPr>
          <w:p w14:paraId="6DD8E98A">
            <w:pPr>
              <w:rPr>
                <w:rFonts w:hint="eastAsia" w:ascii="宋体" w:hAnsi="宋体" w:eastAsia="宋体" w:cs="宋体"/>
                <w:color w:val="auto"/>
                <w:sz w:val="24"/>
                <w:highlight w:val="none"/>
              </w:rPr>
            </w:pPr>
          </w:p>
        </w:tc>
        <w:tc>
          <w:tcPr>
            <w:tcW w:w="1286" w:type="dxa"/>
            <w:noWrap w:val="0"/>
            <w:vAlign w:val="top"/>
          </w:tcPr>
          <w:p w14:paraId="3510628A">
            <w:pPr>
              <w:pStyle w:val="12"/>
              <w:rPr>
                <w:rFonts w:hint="eastAsia" w:ascii="宋体" w:hAnsi="宋体" w:eastAsia="宋体" w:cs="宋体"/>
                <w:color w:val="auto"/>
                <w:sz w:val="24"/>
                <w:highlight w:val="none"/>
              </w:rPr>
            </w:pPr>
          </w:p>
        </w:tc>
        <w:tc>
          <w:tcPr>
            <w:tcW w:w="1236" w:type="dxa"/>
            <w:noWrap w:val="0"/>
            <w:vAlign w:val="top"/>
          </w:tcPr>
          <w:p w14:paraId="67545895">
            <w:pPr>
              <w:pStyle w:val="12"/>
              <w:rPr>
                <w:rFonts w:hint="eastAsia" w:ascii="宋体" w:hAnsi="宋体" w:eastAsia="宋体" w:cs="宋体"/>
                <w:color w:val="auto"/>
                <w:sz w:val="24"/>
                <w:highlight w:val="none"/>
              </w:rPr>
            </w:pPr>
          </w:p>
        </w:tc>
        <w:tc>
          <w:tcPr>
            <w:tcW w:w="1098" w:type="dxa"/>
            <w:noWrap w:val="0"/>
            <w:vAlign w:val="top"/>
          </w:tcPr>
          <w:p w14:paraId="5A58D4B6">
            <w:pPr>
              <w:pStyle w:val="12"/>
              <w:rPr>
                <w:rFonts w:hint="eastAsia" w:ascii="宋体" w:hAnsi="宋体" w:eastAsia="宋体" w:cs="宋体"/>
                <w:color w:val="auto"/>
                <w:sz w:val="24"/>
                <w:highlight w:val="none"/>
              </w:rPr>
            </w:pPr>
          </w:p>
        </w:tc>
      </w:tr>
      <w:tr w14:paraId="35D43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A266CDC">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186" w:type="dxa"/>
            <w:noWrap w:val="0"/>
            <w:vAlign w:val="top"/>
          </w:tcPr>
          <w:p w14:paraId="689C19E7">
            <w:pPr>
              <w:rPr>
                <w:rFonts w:hint="eastAsia" w:ascii="宋体" w:hAnsi="宋体" w:eastAsia="宋体" w:cs="宋体"/>
                <w:color w:val="auto"/>
                <w:sz w:val="24"/>
                <w:highlight w:val="none"/>
              </w:rPr>
            </w:pPr>
          </w:p>
        </w:tc>
        <w:tc>
          <w:tcPr>
            <w:tcW w:w="1730" w:type="dxa"/>
            <w:noWrap w:val="0"/>
            <w:vAlign w:val="top"/>
          </w:tcPr>
          <w:p w14:paraId="59FDB68D">
            <w:pPr>
              <w:rPr>
                <w:rFonts w:hint="eastAsia" w:ascii="宋体" w:hAnsi="宋体" w:eastAsia="宋体" w:cs="宋体"/>
                <w:color w:val="auto"/>
                <w:sz w:val="24"/>
                <w:highlight w:val="none"/>
              </w:rPr>
            </w:pPr>
          </w:p>
        </w:tc>
        <w:tc>
          <w:tcPr>
            <w:tcW w:w="1037" w:type="dxa"/>
            <w:noWrap w:val="0"/>
            <w:vAlign w:val="top"/>
          </w:tcPr>
          <w:p w14:paraId="13EA3186">
            <w:pPr>
              <w:rPr>
                <w:rFonts w:hint="eastAsia" w:ascii="宋体" w:hAnsi="宋体" w:eastAsia="宋体" w:cs="宋体"/>
                <w:color w:val="auto"/>
                <w:sz w:val="24"/>
                <w:highlight w:val="none"/>
              </w:rPr>
            </w:pPr>
          </w:p>
        </w:tc>
        <w:tc>
          <w:tcPr>
            <w:tcW w:w="1286" w:type="dxa"/>
            <w:noWrap w:val="0"/>
            <w:vAlign w:val="top"/>
          </w:tcPr>
          <w:p w14:paraId="00041D6D">
            <w:pPr>
              <w:pStyle w:val="12"/>
              <w:rPr>
                <w:rFonts w:hint="eastAsia" w:ascii="宋体" w:hAnsi="宋体" w:eastAsia="宋体" w:cs="宋体"/>
                <w:color w:val="auto"/>
                <w:sz w:val="24"/>
                <w:highlight w:val="none"/>
              </w:rPr>
            </w:pPr>
          </w:p>
        </w:tc>
        <w:tc>
          <w:tcPr>
            <w:tcW w:w="1236" w:type="dxa"/>
            <w:noWrap w:val="0"/>
            <w:vAlign w:val="top"/>
          </w:tcPr>
          <w:p w14:paraId="54D534FA">
            <w:pPr>
              <w:pStyle w:val="12"/>
              <w:rPr>
                <w:rFonts w:hint="eastAsia" w:ascii="宋体" w:hAnsi="宋体" w:eastAsia="宋体" w:cs="宋体"/>
                <w:color w:val="auto"/>
                <w:sz w:val="24"/>
                <w:highlight w:val="none"/>
              </w:rPr>
            </w:pPr>
          </w:p>
        </w:tc>
        <w:tc>
          <w:tcPr>
            <w:tcW w:w="1098" w:type="dxa"/>
            <w:noWrap w:val="0"/>
            <w:vAlign w:val="top"/>
          </w:tcPr>
          <w:p w14:paraId="3B605FD0">
            <w:pPr>
              <w:pStyle w:val="12"/>
              <w:rPr>
                <w:rFonts w:hint="eastAsia" w:ascii="宋体" w:hAnsi="宋体" w:eastAsia="宋体" w:cs="宋体"/>
                <w:color w:val="auto"/>
                <w:sz w:val="24"/>
                <w:highlight w:val="none"/>
              </w:rPr>
            </w:pPr>
          </w:p>
        </w:tc>
      </w:tr>
      <w:tr w14:paraId="20DFF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38D4C56">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186" w:type="dxa"/>
            <w:noWrap w:val="0"/>
            <w:vAlign w:val="top"/>
          </w:tcPr>
          <w:p w14:paraId="7053ED53">
            <w:pPr>
              <w:rPr>
                <w:rFonts w:hint="eastAsia" w:ascii="宋体" w:hAnsi="宋体" w:eastAsia="宋体" w:cs="宋体"/>
                <w:color w:val="auto"/>
                <w:sz w:val="24"/>
                <w:highlight w:val="none"/>
              </w:rPr>
            </w:pPr>
          </w:p>
        </w:tc>
        <w:tc>
          <w:tcPr>
            <w:tcW w:w="1730" w:type="dxa"/>
            <w:noWrap w:val="0"/>
            <w:vAlign w:val="top"/>
          </w:tcPr>
          <w:p w14:paraId="700A7353">
            <w:pPr>
              <w:rPr>
                <w:rFonts w:hint="eastAsia" w:ascii="宋体" w:hAnsi="宋体" w:eastAsia="宋体" w:cs="宋体"/>
                <w:color w:val="auto"/>
                <w:sz w:val="24"/>
                <w:highlight w:val="none"/>
              </w:rPr>
            </w:pPr>
          </w:p>
        </w:tc>
        <w:tc>
          <w:tcPr>
            <w:tcW w:w="1037" w:type="dxa"/>
            <w:noWrap w:val="0"/>
            <w:vAlign w:val="top"/>
          </w:tcPr>
          <w:p w14:paraId="7F813B41">
            <w:pPr>
              <w:rPr>
                <w:rFonts w:hint="eastAsia" w:ascii="宋体" w:hAnsi="宋体" w:eastAsia="宋体" w:cs="宋体"/>
                <w:color w:val="auto"/>
                <w:sz w:val="24"/>
                <w:highlight w:val="none"/>
              </w:rPr>
            </w:pPr>
          </w:p>
        </w:tc>
        <w:tc>
          <w:tcPr>
            <w:tcW w:w="1286" w:type="dxa"/>
            <w:noWrap w:val="0"/>
            <w:vAlign w:val="top"/>
          </w:tcPr>
          <w:p w14:paraId="5C1E0B86">
            <w:pPr>
              <w:pStyle w:val="12"/>
              <w:rPr>
                <w:rFonts w:hint="eastAsia" w:ascii="宋体" w:hAnsi="宋体" w:eastAsia="宋体" w:cs="宋体"/>
                <w:color w:val="auto"/>
                <w:sz w:val="24"/>
                <w:highlight w:val="none"/>
              </w:rPr>
            </w:pPr>
          </w:p>
        </w:tc>
        <w:tc>
          <w:tcPr>
            <w:tcW w:w="1236" w:type="dxa"/>
            <w:noWrap w:val="0"/>
            <w:vAlign w:val="top"/>
          </w:tcPr>
          <w:p w14:paraId="06278965">
            <w:pPr>
              <w:pStyle w:val="12"/>
              <w:rPr>
                <w:rFonts w:hint="eastAsia" w:ascii="宋体" w:hAnsi="宋体" w:eastAsia="宋体" w:cs="宋体"/>
                <w:color w:val="auto"/>
                <w:sz w:val="24"/>
                <w:highlight w:val="none"/>
              </w:rPr>
            </w:pPr>
          </w:p>
        </w:tc>
        <w:tc>
          <w:tcPr>
            <w:tcW w:w="1098" w:type="dxa"/>
            <w:noWrap w:val="0"/>
            <w:vAlign w:val="top"/>
          </w:tcPr>
          <w:p w14:paraId="61E309A6">
            <w:pPr>
              <w:pStyle w:val="12"/>
              <w:rPr>
                <w:rFonts w:hint="eastAsia" w:ascii="宋体" w:hAnsi="宋体" w:eastAsia="宋体" w:cs="宋体"/>
                <w:color w:val="auto"/>
                <w:sz w:val="24"/>
                <w:highlight w:val="none"/>
              </w:rPr>
            </w:pPr>
          </w:p>
        </w:tc>
      </w:tr>
      <w:tr w14:paraId="790B8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3B484FB">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186" w:type="dxa"/>
            <w:tcBorders>
              <w:right w:val="single" w:color="auto" w:sz="4" w:space="0"/>
            </w:tcBorders>
            <w:noWrap w:val="0"/>
            <w:vAlign w:val="top"/>
          </w:tcPr>
          <w:p w14:paraId="31F4FD89">
            <w:pPr>
              <w:rPr>
                <w:rFonts w:hint="eastAsia" w:ascii="宋体" w:hAnsi="宋体" w:eastAsia="宋体" w:cs="宋体"/>
                <w:color w:val="auto"/>
                <w:sz w:val="24"/>
                <w:highlight w:val="none"/>
              </w:rPr>
            </w:pPr>
          </w:p>
        </w:tc>
        <w:tc>
          <w:tcPr>
            <w:tcW w:w="1730" w:type="dxa"/>
            <w:tcBorders>
              <w:right w:val="single" w:color="auto" w:sz="4" w:space="0"/>
            </w:tcBorders>
            <w:noWrap w:val="0"/>
            <w:vAlign w:val="top"/>
          </w:tcPr>
          <w:p w14:paraId="3A1BE38A">
            <w:pPr>
              <w:rPr>
                <w:rFonts w:hint="eastAsia" w:ascii="宋体" w:hAnsi="宋体" w:eastAsia="宋体" w:cs="宋体"/>
                <w:color w:val="auto"/>
                <w:sz w:val="24"/>
                <w:highlight w:val="none"/>
              </w:rPr>
            </w:pPr>
          </w:p>
        </w:tc>
        <w:tc>
          <w:tcPr>
            <w:tcW w:w="1037" w:type="dxa"/>
            <w:tcBorders>
              <w:left w:val="single" w:color="auto" w:sz="4" w:space="0"/>
            </w:tcBorders>
            <w:noWrap w:val="0"/>
            <w:vAlign w:val="top"/>
          </w:tcPr>
          <w:p w14:paraId="590E357B">
            <w:pPr>
              <w:rPr>
                <w:rFonts w:hint="eastAsia" w:ascii="宋体" w:hAnsi="宋体" w:eastAsia="宋体" w:cs="宋体"/>
                <w:color w:val="auto"/>
                <w:sz w:val="24"/>
                <w:highlight w:val="none"/>
              </w:rPr>
            </w:pPr>
          </w:p>
        </w:tc>
        <w:tc>
          <w:tcPr>
            <w:tcW w:w="1286" w:type="dxa"/>
            <w:tcBorders>
              <w:left w:val="single" w:color="auto" w:sz="4" w:space="0"/>
            </w:tcBorders>
            <w:noWrap w:val="0"/>
            <w:vAlign w:val="top"/>
          </w:tcPr>
          <w:p w14:paraId="437B8156">
            <w:pPr>
              <w:pStyle w:val="12"/>
              <w:rPr>
                <w:rFonts w:hint="eastAsia" w:ascii="宋体" w:hAnsi="宋体" w:eastAsia="宋体" w:cs="宋体"/>
                <w:color w:val="auto"/>
                <w:sz w:val="24"/>
                <w:highlight w:val="none"/>
              </w:rPr>
            </w:pPr>
          </w:p>
        </w:tc>
        <w:tc>
          <w:tcPr>
            <w:tcW w:w="1236" w:type="dxa"/>
            <w:tcBorders>
              <w:left w:val="nil"/>
            </w:tcBorders>
            <w:noWrap w:val="0"/>
            <w:vAlign w:val="top"/>
          </w:tcPr>
          <w:p w14:paraId="64B0338C">
            <w:pPr>
              <w:pStyle w:val="12"/>
              <w:rPr>
                <w:rFonts w:hint="eastAsia" w:ascii="宋体" w:hAnsi="宋体" w:eastAsia="宋体" w:cs="宋体"/>
                <w:color w:val="auto"/>
                <w:sz w:val="24"/>
                <w:highlight w:val="none"/>
              </w:rPr>
            </w:pPr>
          </w:p>
        </w:tc>
        <w:tc>
          <w:tcPr>
            <w:tcW w:w="1098" w:type="dxa"/>
            <w:noWrap w:val="0"/>
            <w:vAlign w:val="top"/>
          </w:tcPr>
          <w:p w14:paraId="1C260EAE">
            <w:pPr>
              <w:pStyle w:val="12"/>
              <w:rPr>
                <w:rFonts w:hint="eastAsia" w:ascii="宋体" w:hAnsi="宋体" w:eastAsia="宋体" w:cs="宋体"/>
                <w:color w:val="auto"/>
                <w:sz w:val="24"/>
                <w:highlight w:val="none"/>
              </w:rPr>
            </w:pPr>
          </w:p>
        </w:tc>
      </w:tr>
      <w:tr w14:paraId="3446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9953FAA">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1186" w:type="dxa"/>
            <w:noWrap w:val="0"/>
            <w:vAlign w:val="top"/>
          </w:tcPr>
          <w:p w14:paraId="61860BC8">
            <w:pPr>
              <w:rPr>
                <w:rFonts w:hint="eastAsia" w:ascii="宋体" w:hAnsi="宋体" w:eastAsia="宋体" w:cs="宋体"/>
                <w:color w:val="auto"/>
                <w:sz w:val="24"/>
                <w:highlight w:val="none"/>
              </w:rPr>
            </w:pPr>
          </w:p>
        </w:tc>
        <w:tc>
          <w:tcPr>
            <w:tcW w:w="1730" w:type="dxa"/>
            <w:noWrap w:val="0"/>
            <w:vAlign w:val="top"/>
          </w:tcPr>
          <w:p w14:paraId="1E0C961D">
            <w:pPr>
              <w:rPr>
                <w:rFonts w:hint="eastAsia" w:ascii="宋体" w:hAnsi="宋体" w:eastAsia="宋体" w:cs="宋体"/>
                <w:color w:val="auto"/>
                <w:sz w:val="24"/>
                <w:highlight w:val="none"/>
              </w:rPr>
            </w:pPr>
          </w:p>
        </w:tc>
        <w:tc>
          <w:tcPr>
            <w:tcW w:w="1037" w:type="dxa"/>
            <w:noWrap w:val="0"/>
            <w:vAlign w:val="top"/>
          </w:tcPr>
          <w:p w14:paraId="3C204210">
            <w:pPr>
              <w:rPr>
                <w:rFonts w:hint="eastAsia" w:ascii="宋体" w:hAnsi="宋体" w:eastAsia="宋体" w:cs="宋体"/>
                <w:color w:val="auto"/>
                <w:sz w:val="24"/>
                <w:highlight w:val="none"/>
              </w:rPr>
            </w:pPr>
          </w:p>
        </w:tc>
        <w:tc>
          <w:tcPr>
            <w:tcW w:w="1286" w:type="dxa"/>
            <w:noWrap w:val="0"/>
            <w:vAlign w:val="top"/>
          </w:tcPr>
          <w:p w14:paraId="0993E2B3">
            <w:pPr>
              <w:pStyle w:val="12"/>
              <w:rPr>
                <w:rFonts w:hint="eastAsia" w:ascii="宋体" w:hAnsi="宋体" w:eastAsia="宋体" w:cs="宋体"/>
                <w:color w:val="auto"/>
                <w:sz w:val="24"/>
                <w:highlight w:val="none"/>
              </w:rPr>
            </w:pPr>
          </w:p>
        </w:tc>
        <w:tc>
          <w:tcPr>
            <w:tcW w:w="1236" w:type="dxa"/>
            <w:noWrap w:val="0"/>
            <w:vAlign w:val="top"/>
          </w:tcPr>
          <w:p w14:paraId="2A0D720E">
            <w:pPr>
              <w:pStyle w:val="12"/>
              <w:rPr>
                <w:rFonts w:hint="eastAsia" w:ascii="宋体" w:hAnsi="宋体" w:eastAsia="宋体" w:cs="宋体"/>
                <w:color w:val="auto"/>
                <w:sz w:val="24"/>
                <w:highlight w:val="none"/>
              </w:rPr>
            </w:pPr>
          </w:p>
        </w:tc>
        <w:tc>
          <w:tcPr>
            <w:tcW w:w="1098" w:type="dxa"/>
            <w:noWrap w:val="0"/>
            <w:vAlign w:val="top"/>
          </w:tcPr>
          <w:p w14:paraId="72929359">
            <w:pPr>
              <w:pStyle w:val="12"/>
              <w:rPr>
                <w:rFonts w:hint="eastAsia" w:ascii="宋体" w:hAnsi="宋体" w:eastAsia="宋体" w:cs="宋体"/>
                <w:color w:val="auto"/>
                <w:sz w:val="24"/>
                <w:highlight w:val="none"/>
              </w:rPr>
            </w:pPr>
          </w:p>
        </w:tc>
      </w:tr>
      <w:tr w14:paraId="2444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EAFE601">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1186" w:type="dxa"/>
            <w:noWrap w:val="0"/>
            <w:vAlign w:val="top"/>
          </w:tcPr>
          <w:p w14:paraId="2DAE1C38">
            <w:pPr>
              <w:rPr>
                <w:rFonts w:hint="eastAsia" w:ascii="宋体" w:hAnsi="宋体" w:eastAsia="宋体" w:cs="宋体"/>
                <w:color w:val="auto"/>
                <w:sz w:val="24"/>
                <w:highlight w:val="none"/>
              </w:rPr>
            </w:pPr>
          </w:p>
        </w:tc>
        <w:tc>
          <w:tcPr>
            <w:tcW w:w="1730" w:type="dxa"/>
            <w:noWrap w:val="0"/>
            <w:vAlign w:val="top"/>
          </w:tcPr>
          <w:p w14:paraId="0F4DCCD7">
            <w:pPr>
              <w:rPr>
                <w:rFonts w:hint="eastAsia" w:ascii="宋体" w:hAnsi="宋体" w:eastAsia="宋体" w:cs="宋体"/>
                <w:color w:val="auto"/>
                <w:sz w:val="24"/>
                <w:highlight w:val="none"/>
              </w:rPr>
            </w:pPr>
          </w:p>
        </w:tc>
        <w:tc>
          <w:tcPr>
            <w:tcW w:w="1037" w:type="dxa"/>
            <w:noWrap w:val="0"/>
            <w:vAlign w:val="top"/>
          </w:tcPr>
          <w:p w14:paraId="615181E9">
            <w:pPr>
              <w:rPr>
                <w:rFonts w:hint="eastAsia" w:ascii="宋体" w:hAnsi="宋体" w:eastAsia="宋体" w:cs="宋体"/>
                <w:color w:val="auto"/>
                <w:sz w:val="24"/>
                <w:highlight w:val="none"/>
              </w:rPr>
            </w:pPr>
          </w:p>
        </w:tc>
        <w:tc>
          <w:tcPr>
            <w:tcW w:w="1286" w:type="dxa"/>
            <w:noWrap w:val="0"/>
            <w:vAlign w:val="top"/>
          </w:tcPr>
          <w:p w14:paraId="7C4FE232">
            <w:pPr>
              <w:pStyle w:val="12"/>
              <w:rPr>
                <w:rFonts w:hint="eastAsia" w:ascii="宋体" w:hAnsi="宋体" w:eastAsia="宋体" w:cs="宋体"/>
                <w:color w:val="auto"/>
                <w:sz w:val="24"/>
                <w:highlight w:val="none"/>
              </w:rPr>
            </w:pPr>
          </w:p>
        </w:tc>
        <w:tc>
          <w:tcPr>
            <w:tcW w:w="1236" w:type="dxa"/>
            <w:noWrap w:val="0"/>
            <w:vAlign w:val="top"/>
          </w:tcPr>
          <w:p w14:paraId="28E7B766">
            <w:pPr>
              <w:pStyle w:val="12"/>
              <w:rPr>
                <w:rFonts w:hint="eastAsia" w:ascii="宋体" w:hAnsi="宋体" w:eastAsia="宋体" w:cs="宋体"/>
                <w:color w:val="auto"/>
                <w:sz w:val="24"/>
                <w:highlight w:val="none"/>
              </w:rPr>
            </w:pPr>
          </w:p>
        </w:tc>
        <w:tc>
          <w:tcPr>
            <w:tcW w:w="1098" w:type="dxa"/>
            <w:noWrap w:val="0"/>
            <w:vAlign w:val="top"/>
          </w:tcPr>
          <w:p w14:paraId="37BEA66D">
            <w:pPr>
              <w:pStyle w:val="12"/>
              <w:rPr>
                <w:rFonts w:hint="eastAsia" w:ascii="宋体" w:hAnsi="宋体" w:eastAsia="宋体" w:cs="宋体"/>
                <w:color w:val="auto"/>
                <w:sz w:val="24"/>
                <w:highlight w:val="none"/>
              </w:rPr>
            </w:pPr>
          </w:p>
        </w:tc>
      </w:tr>
      <w:tr w14:paraId="707D7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BF47BC9">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1186" w:type="dxa"/>
            <w:noWrap w:val="0"/>
            <w:vAlign w:val="top"/>
          </w:tcPr>
          <w:p w14:paraId="48D4F0A0">
            <w:pPr>
              <w:rPr>
                <w:rFonts w:hint="eastAsia" w:ascii="宋体" w:hAnsi="宋体" w:eastAsia="宋体" w:cs="宋体"/>
                <w:color w:val="auto"/>
                <w:sz w:val="24"/>
                <w:highlight w:val="none"/>
              </w:rPr>
            </w:pPr>
          </w:p>
        </w:tc>
        <w:tc>
          <w:tcPr>
            <w:tcW w:w="1730" w:type="dxa"/>
            <w:noWrap w:val="0"/>
            <w:vAlign w:val="top"/>
          </w:tcPr>
          <w:p w14:paraId="7760376A">
            <w:pPr>
              <w:rPr>
                <w:rFonts w:hint="eastAsia" w:ascii="宋体" w:hAnsi="宋体" w:eastAsia="宋体" w:cs="宋体"/>
                <w:color w:val="auto"/>
                <w:sz w:val="24"/>
                <w:highlight w:val="none"/>
              </w:rPr>
            </w:pPr>
          </w:p>
        </w:tc>
        <w:tc>
          <w:tcPr>
            <w:tcW w:w="1037" w:type="dxa"/>
            <w:noWrap w:val="0"/>
            <w:vAlign w:val="top"/>
          </w:tcPr>
          <w:p w14:paraId="5B1CF52F">
            <w:pPr>
              <w:rPr>
                <w:rFonts w:hint="eastAsia" w:ascii="宋体" w:hAnsi="宋体" w:eastAsia="宋体" w:cs="宋体"/>
                <w:color w:val="auto"/>
                <w:sz w:val="24"/>
                <w:highlight w:val="none"/>
              </w:rPr>
            </w:pPr>
          </w:p>
        </w:tc>
        <w:tc>
          <w:tcPr>
            <w:tcW w:w="1286" w:type="dxa"/>
            <w:noWrap w:val="0"/>
            <w:vAlign w:val="top"/>
          </w:tcPr>
          <w:p w14:paraId="1A2BEA73">
            <w:pPr>
              <w:pStyle w:val="12"/>
              <w:rPr>
                <w:rFonts w:hint="eastAsia" w:ascii="宋体" w:hAnsi="宋体" w:eastAsia="宋体" w:cs="宋体"/>
                <w:color w:val="auto"/>
                <w:sz w:val="24"/>
                <w:highlight w:val="none"/>
              </w:rPr>
            </w:pPr>
          </w:p>
        </w:tc>
        <w:tc>
          <w:tcPr>
            <w:tcW w:w="1236" w:type="dxa"/>
            <w:noWrap w:val="0"/>
            <w:vAlign w:val="top"/>
          </w:tcPr>
          <w:p w14:paraId="2E70C1D5">
            <w:pPr>
              <w:pStyle w:val="12"/>
              <w:rPr>
                <w:rFonts w:hint="eastAsia" w:ascii="宋体" w:hAnsi="宋体" w:eastAsia="宋体" w:cs="宋体"/>
                <w:color w:val="auto"/>
                <w:sz w:val="24"/>
                <w:highlight w:val="none"/>
              </w:rPr>
            </w:pPr>
          </w:p>
        </w:tc>
        <w:tc>
          <w:tcPr>
            <w:tcW w:w="1098" w:type="dxa"/>
            <w:noWrap w:val="0"/>
            <w:vAlign w:val="top"/>
          </w:tcPr>
          <w:p w14:paraId="5E6E4216">
            <w:pPr>
              <w:pStyle w:val="12"/>
              <w:rPr>
                <w:rFonts w:hint="eastAsia" w:ascii="宋体" w:hAnsi="宋体" w:eastAsia="宋体" w:cs="宋体"/>
                <w:color w:val="auto"/>
                <w:sz w:val="24"/>
                <w:highlight w:val="none"/>
              </w:rPr>
            </w:pPr>
          </w:p>
        </w:tc>
      </w:tr>
      <w:tr w14:paraId="3A7EC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5EC1105">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1186" w:type="dxa"/>
            <w:noWrap w:val="0"/>
            <w:vAlign w:val="top"/>
          </w:tcPr>
          <w:p w14:paraId="293DB5AA">
            <w:pPr>
              <w:rPr>
                <w:rFonts w:hint="eastAsia" w:ascii="宋体" w:hAnsi="宋体" w:eastAsia="宋体" w:cs="宋体"/>
                <w:color w:val="auto"/>
                <w:sz w:val="24"/>
                <w:highlight w:val="none"/>
              </w:rPr>
            </w:pPr>
          </w:p>
        </w:tc>
        <w:tc>
          <w:tcPr>
            <w:tcW w:w="1730" w:type="dxa"/>
            <w:noWrap w:val="0"/>
            <w:vAlign w:val="top"/>
          </w:tcPr>
          <w:p w14:paraId="2F24F5E3">
            <w:pPr>
              <w:rPr>
                <w:rFonts w:hint="eastAsia" w:ascii="宋体" w:hAnsi="宋体" w:eastAsia="宋体" w:cs="宋体"/>
                <w:color w:val="auto"/>
                <w:sz w:val="24"/>
                <w:highlight w:val="none"/>
              </w:rPr>
            </w:pPr>
          </w:p>
        </w:tc>
        <w:tc>
          <w:tcPr>
            <w:tcW w:w="1037" w:type="dxa"/>
            <w:noWrap w:val="0"/>
            <w:vAlign w:val="top"/>
          </w:tcPr>
          <w:p w14:paraId="00333991">
            <w:pPr>
              <w:rPr>
                <w:rFonts w:hint="eastAsia" w:ascii="宋体" w:hAnsi="宋体" w:eastAsia="宋体" w:cs="宋体"/>
                <w:color w:val="auto"/>
                <w:sz w:val="24"/>
                <w:highlight w:val="none"/>
              </w:rPr>
            </w:pPr>
          </w:p>
        </w:tc>
        <w:tc>
          <w:tcPr>
            <w:tcW w:w="1286" w:type="dxa"/>
            <w:noWrap w:val="0"/>
            <w:vAlign w:val="top"/>
          </w:tcPr>
          <w:p w14:paraId="1C602633">
            <w:pPr>
              <w:pStyle w:val="12"/>
              <w:rPr>
                <w:rFonts w:hint="eastAsia" w:ascii="宋体" w:hAnsi="宋体" w:eastAsia="宋体" w:cs="宋体"/>
                <w:color w:val="auto"/>
                <w:sz w:val="24"/>
                <w:highlight w:val="none"/>
              </w:rPr>
            </w:pPr>
          </w:p>
        </w:tc>
        <w:tc>
          <w:tcPr>
            <w:tcW w:w="1236" w:type="dxa"/>
            <w:noWrap w:val="0"/>
            <w:vAlign w:val="top"/>
          </w:tcPr>
          <w:p w14:paraId="1038BFDC">
            <w:pPr>
              <w:pStyle w:val="12"/>
              <w:rPr>
                <w:rFonts w:hint="eastAsia" w:ascii="宋体" w:hAnsi="宋体" w:eastAsia="宋体" w:cs="宋体"/>
                <w:color w:val="auto"/>
                <w:sz w:val="24"/>
                <w:highlight w:val="none"/>
              </w:rPr>
            </w:pPr>
          </w:p>
        </w:tc>
        <w:tc>
          <w:tcPr>
            <w:tcW w:w="1098" w:type="dxa"/>
            <w:noWrap w:val="0"/>
            <w:vAlign w:val="top"/>
          </w:tcPr>
          <w:p w14:paraId="16707A9A">
            <w:pPr>
              <w:pStyle w:val="12"/>
              <w:rPr>
                <w:rFonts w:hint="eastAsia" w:ascii="宋体" w:hAnsi="宋体" w:eastAsia="宋体" w:cs="宋体"/>
                <w:color w:val="auto"/>
                <w:sz w:val="24"/>
                <w:highlight w:val="none"/>
              </w:rPr>
            </w:pPr>
          </w:p>
        </w:tc>
      </w:tr>
      <w:tr w14:paraId="2F52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D94FF62">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1186" w:type="dxa"/>
            <w:noWrap w:val="0"/>
            <w:vAlign w:val="top"/>
          </w:tcPr>
          <w:p w14:paraId="5CBB49B5">
            <w:pPr>
              <w:rPr>
                <w:rFonts w:hint="eastAsia" w:ascii="宋体" w:hAnsi="宋体" w:eastAsia="宋体" w:cs="宋体"/>
                <w:color w:val="auto"/>
                <w:sz w:val="24"/>
                <w:highlight w:val="none"/>
              </w:rPr>
            </w:pPr>
          </w:p>
        </w:tc>
        <w:tc>
          <w:tcPr>
            <w:tcW w:w="1730" w:type="dxa"/>
            <w:noWrap w:val="0"/>
            <w:vAlign w:val="top"/>
          </w:tcPr>
          <w:p w14:paraId="74035124">
            <w:pPr>
              <w:rPr>
                <w:rFonts w:hint="eastAsia" w:ascii="宋体" w:hAnsi="宋体" w:eastAsia="宋体" w:cs="宋体"/>
                <w:color w:val="auto"/>
                <w:sz w:val="24"/>
                <w:highlight w:val="none"/>
              </w:rPr>
            </w:pPr>
          </w:p>
        </w:tc>
        <w:tc>
          <w:tcPr>
            <w:tcW w:w="1037" w:type="dxa"/>
            <w:noWrap w:val="0"/>
            <w:vAlign w:val="top"/>
          </w:tcPr>
          <w:p w14:paraId="07A5FA29">
            <w:pPr>
              <w:rPr>
                <w:rFonts w:hint="eastAsia" w:ascii="宋体" w:hAnsi="宋体" w:eastAsia="宋体" w:cs="宋体"/>
                <w:color w:val="auto"/>
                <w:sz w:val="24"/>
                <w:highlight w:val="none"/>
              </w:rPr>
            </w:pPr>
          </w:p>
        </w:tc>
        <w:tc>
          <w:tcPr>
            <w:tcW w:w="1286" w:type="dxa"/>
            <w:noWrap w:val="0"/>
            <w:vAlign w:val="top"/>
          </w:tcPr>
          <w:p w14:paraId="19B04091">
            <w:pPr>
              <w:pStyle w:val="12"/>
              <w:rPr>
                <w:rFonts w:hint="eastAsia" w:ascii="宋体" w:hAnsi="宋体" w:eastAsia="宋体" w:cs="宋体"/>
                <w:color w:val="auto"/>
                <w:sz w:val="24"/>
                <w:highlight w:val="none"/>
              </w:rPr>
            </w:pPr>
          </w:p>
        </w:tc>
        <w:tc>
          <w:tcPr>
            <w:tcW w:w="1236" w:type="dxa"/>
            <w:noWrap w:val="0"/>
            <w:vAlign w:val="top"/>
          </w:tcPr>
          <w:p w14:paraId="06A75456">
            <w:pPr>
              <w:pStyle w:val="12"/>
              <w:rPr>
                <w:rFonts w:hint="eastAsia" w:ascii="宋体" w:hAnsi="宋体" w:eastAsia="宋体" w:cs="宋体"/>
                <w:color w:val="auto"/>
                <w:sz w:val="24"/>
                <w:highlight w:val="none"/>
              </w:rPr>
            </w:pPr>
          </w:p>
        </w:tc>
        <w:tc>
          <w:tcPr>
            <w:tcW w:w="1098" w:type="dxa"/>
            <w:noWrap w:val="0"/>
            <w:vAlign w:val="top"/>
          </w:tcPr>
          <w:p w14:paraId="0E12192C">
            <w:pPr>
              <w:pStyle w:val="12"/>
              <w:rPr>
                <w:rFonts w:hint="eastAsia" w:ascii="宋体" w:hAnsi="宋体" w:eastAsia="宋体" w:cs="宋体"/>
                <w:color w:val="auto"/>
                <w:sz w:val="24"/>
                <w:highlight w:val="none"/>
              </w:rPr>
            </w:pPr>
          </w:p>
        </w:tc>
      </w:tr>
      <w:tr w14:paraId="1E9E4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5B3C2277">
            <w:pPr>
              <w:pStyle w:val="1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合计</w:t>
            </w:r>
          </w:p>
        </w:tc>
        <w:tc>
          <w:tcPr>
            <w:tcW w:w="1236" w:type="dxa"/>
            <w:noWrap w:val="0"/>
            <w:vAlign w:val="center"/>
          </w:tcPr>
          <w:p w14:paraId="112BD2FB">
            <w:pPr>
              <w:pStyle w:val="12"/>
              <w:jc w:val="center"/>
              <w:rPr>
                <w:rFonts w:hint="eastAsia" w:ascii="宋体" w:hAnsi="宋体" w:eastAsia="宋体" w:cs="宋体"/>
                <w:color w:val="auto"/>
                <w:sz w:val="24"/>
                <w:highlight w:val="none"/>
              </w:rPr>
            </w:pPr>
          </w:p>
        </w:tc>
        <w:tc>
          <w:tcPr>
            <w:tcW w:w="1098" w:type="dxa"/>
            <w:noWrap w:val="0"/>
            <w:vAlign w:val="center"/>
          </w:tcPr>
          <w:p w14:paraId="2183235A">
            <w:pPr>
              <w:pStyle w:val="12"/>
              <w:jc w:val="center"/>
              <w:rPr>
                <w:rFonts w:hint="eastAsia" w:ascii="宋体" w:hAnsi="宋体" w:eastAsia="宋体" w:cs="宋体"/>
                <w:color w:val="auto"/>
                <w:sz w:val="24"/>
                <w:highlight w:val="none"/>
              </w:rPr>
            </w:pPr>
          </w:p>
        </w:tc>
      </w:tr>
    </w:tbl>
    <w:p w14:paraId="18016385">
      <w:pPr>
        <w:pStyle w:val="13"/>
        <w:spacing w:line="360" w:lineRule="auto"/>
        <w:rPr>
          <w:rFonts w:hint="eastAsia" w:ascii="宋体" w:hAnsi="宋体" w:eastAsia="宋体" w:cs="宋体"/>
          <w:b w:val="0"/>
          <w:color w:val="auto"/>
          <w:sz w:val="24"/>
          <w:highlight w:val="none"/>
        </w:rPr>
      </w:pPr>
      <w:r>
        <w:rPr>
          <w:rFonts w:hint="eastAsia" w:ascii="宋体" w:hAnsi="宋体" w:eastAsia="宋体" w:cs="宋体"/>
          <w:b w:val="0"/>
          <w:color w:val="auto"/>
          <w:sz w:val="24"/>
          <w:highlight w:val="none"/>
        </w:rPr>
        <w:t>投标人电子公签章：</w:t>
      </w:r>
    </w:p>
    <w:p w14:paraId="20159D49">
      <w:pPr>
        <w:rPr>
          <w:rFonts w:hint="eastAsia" w:ascii="宋体" w:hAnsi="宋体" w:eastAsia="宋体" w:cs="宋体"/>
          <w:color w:val="auto"/>
          <w:highlight w:val="none"/>
        </w:rPr>
      </w:pPr>
      <w:r>
        <w:rPr>
          <w:rFonts w:hint="eastAsia" w:ascii="宋体" w:hAnsi="宋体" w:eastAsia="宋体" w:cs="宋体"/>
          <w:color w:val="auto"/>
          <w:sz w:val="24"/>
          <w:highlight w:val="none"/>
        </w:rPr>
        <w:t>年   月    日</w:t>
      </w:r>
    </w:p>
    <w:p w14:paraId="18CBC368">
      <w:pPr>
        <w:spacing w:before="62" w:beforeLines="20" w:after="62" w:afterLines="20" w:line="360" w:lineRule="auto"/>
        <w:rPr>
          <w:rFonts w:hint="eastAsia" w:ascii="宋体" w:hAnsi="宋体" w:eastAsia="宋体" w:cs="宋体"/>
          <w:color w:val="auto"/>
          <w:sz w:val="28"/>
          <w:highlight w:val="none"/>
        </w:rPr>
      </w:pPr>
      <w:r>
        <w:rPr>
          <w:rFonts w:hint="eastAsia" w:ascii="宋体" w:hAnsi="宋体" w:eastAsia="宋体" w:cs="宋体"/>
          <w:color w:val="auto"/>
          <w:sz w:val="24"/>
          <w:szCs w:val="27"/>
          <w:highlight w:val="none"/>
        </w:rPr>
        <w:t>备注：备品备件系指免费质保期满后一定期限的易损件、耗材等。</w:t>
      </w:r>
    </w:p>
    <w:p w14:paraId="28E6A4B4">
      <w:pPr>
        <w:spacing w:before="62" w:beforeLines="20" w:after="62" w:afterLines="20" w:line="360" w:lineRule="auto"/>
        <w:rPr>
          <w:rFonts w:hint="eastAsia" w:ascii="宋体" w:hAnsi="宋体" w:eastAsia="宋体" w:cs="宋体"/>
          <w:color w:val="auto"/>
          <w:sz w:val="28"/>
          <w:highlight w:val="none"/>
        </w:rPr>
      </w:pPr>
    </w:p>
    <w:p w14:paraId="386B6110">
      <w:pPr>
        <w:spacing w:before="62" w:beforeLines="20" w:after="62" w:afterLines="20" w:line="360" w:lineRule="auto"/>
        <w:rPr>
          <w:rFonts w:hint="eastAsia" w:ascii="宋体" w:hAnsi="宋体" w:eastAsia="宋体" w:cs="宋体"/>
          <w:color w:val="auto"/>
          <w:sz w:val="28"/>
          <w:highlight w:val="none"/>
        </w:rPr>
      </w:pPr>
    </w:p>
    <w:p w14:paraId="7F38229D">
      <w:pPr>
        <w:pStyle w:val="17"/>
        <w:rPr>
          <w:rFonts w:hint="eastAsia" w:ascii="宋体" w:hAnsi="宋体" w:eastAsia="宋体" w:cs="宋体"/>
          <w:color w:val="auto"/>
          <w:highlight w:val="none"/>
        </w:rPr>
      </w:pPr>
    </w:p>
    <w:p w14:paraId="653A3747">
      <w:pPr>
        <w:pStyle w:val="17"/>
        <w:rPr>
          <w:rFonts w:hint="eastAsia" w:ascii="宋体" w:hAnsi="宋体" w:eastAsia="宋体" w:cs="宋体"/>
          <w:color w:val="auto"/>
          <w:highlight w:val="none"/>
        </w:rPr>
      </w:pPr>
    </w:p>
    <w:p w14:paraId="64E6A584">
      <w:pPr>
        <w:pStyle w:val="17"/>
        <w:rPr>
          <w:rFonts w:hint="eastAsia" w:ascii="宋体" w:hAnsi="宋体" w:eastAsia="宋体" w:cs="宋体"/>
          <w:color w:val="auto"/>
          <w:highlight w:val="none"/>
        </w:rPr>
      </w:pPr>
    </w:p>
    <w:p w14:paraId="045D32C1">
      <w:pPr>
        <w:pStyle w:val="17"/>
        <w:rPr>
          <w:rFonts w:hint="eastAsia" w:ascii="宋体" w:hAnsi="宋体" w:eastAsia="宋体" w:cs="宋体"/>
          <w:color w:val="auto"/>
          <w:highlight w:val="none"/>
        </w:rPr>
      </w:pPr>
    </w:p>
    <w:p w14:paraId="4ABE53DB">
      <w:pPr>
        <w:pStyle w:val="17"/>
        <w:rPr>
          <w:rFonts w:hint="eastAsia" w:ascii="宋体" w:hAnsi="宋体" w:eastAsia="宋体" w:cs="宋体"/>
          <w:color w:val="auto"/>
          <w:highlight w:val="none"/>
        </w:rPr>
      </w:pPr>
    </w:p>
    <w:p w14:paraId="6A65F675">
      <w:pPr>
        <w:pStyle w:val="17"/>
        <w:rPr>
          <w:rFonts w:hint="eastAsia" w:ascii="宋体" w:hAnsi="宋体" w:eastAsia="宋体" w:cs="宋体"/>
          <w:color w:val="auto"/>
          <w:highlight w:val="none"/>
        </w:rPr>
      </w:pPr>
    </w:p>
    <w:p w14:paraId="077183DA">
      <w:pPr>
        <w:pStyle w:val="17"/>
        <w:rPr>
          <w:rFonts w:hint="eastAsia" w:ascii="宋体" w:hAnsi="宋体" w:eastAsia="宋体" w:cs="宋体"/>
          <w:color w:val="auto"/>
          <w:highlight w:val="none"/>
        </w:rPr>
      </w:pPr>
    </w:p>
    <w:p w14:paraId="70CEC47D">
      <w:pPr>
        <w:pStyle w:val="17"/>
        <w:rPr>
          <w:rFonts w:hint="eastAsia" w:ascii="宋体" w:hAnsi="宋体" w:eastAsia="宋体" w:cs="宋体"/>
          <w:color w:val="auto"/>
          <w:highlight w:val="none"/>
        </w:rPr>
      </w:pPr>
    </w:p>
    <w:p w14:paraId="2645F7CD">
      <w:pPr>
        <w:pStyle w:val="17"/>
        <w:rPr>
          <w:rFonts w:hint="eastAsia" w:ascii="宋体" w:hAnsi="宋体" w:eastAsia="宋体" w:cs="宋体"/>
          <w:color w:val="auto"/>
          <w:highlight w:val="none"/>
        </w:rPr>
      </w:pPr>
    </w:p>
    <w:p w14:paraId="5434929D">
      <w:pPr>
        <w:pStyle w:val="17"/>
        <w:rPr>
          <w:rFonts w:hint="eastAsia" w:ascii="宋体" w:hAnsi="宋体" w:eastAsia="宋体" w:cs="宋体"/>
          <w:color w:val="auto"/>
          <w:highlight w:val="none"/>
        </w:rPr>
      </w:pPr>
    </w:p>
    <w:p w14:paraId="4791E2C7">
      <w:pPr>
        <w:pStyle w:val="17"/>
        <w:rPr>
          <w:rFonts w:hint="eastAsia" w:ascii="宋体" w:hAnsi="宋体" w:eastAsia="宋体" w:cs="宋体"/>
          <w:color w:val="auto"/>
          <w:highlight w:val="none"/>
        </w:rPr>
      </w:pPr>
    </w:p>
    <w:p w14:paraId="2FAB9103">
      <w:pPr>
        <w:pStyle w:val="17"/>
        <w:rPr>
          <w:rFonts w:hint="eastAsia" w:ascii="宋体" w:hAnsi="宋体" w:eastAsia="宋体" w:cs="宋体"/>
          <w:color w:val="auto"/>
          <w:highlight w:val="none"/>
        </w:rPr>
      </w:pPr>
    </w:p>
    <w:p w14:paraId="20EDA918">
      <w:pPr>
        <w:pStyle w:val="17"/>
        <w:rPr>
          <w:rFonts w:hint="eastAsia" w:ascii="宋体" w:hAnsi="宋体" w:eastAsia="宋体" w:cs="宋体"/>
          <w:color w:val="auto"/>
          <w:highlight w:val="none"/>
        </w:rPr>
      </w:pPr>
    </w:p>
    <w:p w14:paraId="6DD95CB3">
      <w:pPr>
        <w:pStyle w:val="17"/>
        <w:rPr>
          <w:rFonts w:hint="eastAsia" w:ascii="宋体" w:hAnsi="宋体" w:eastAsia="宋体" w:cs="宋体"/>
          <w:color w:val="auto"/>
          <w:highlight w:val="none"/>
        </w:rPr>
      </w:pPr>
    </w:p>
    <w:p w14:paraId="51AA5378">
      <w:pPr>
        <w:pStyle w:val="17"/>
        <w:rPr>
          <w:rFonts w:hint="eastAsia" w:ascii="宋体" w:hAnsi="宋体" w:eastAsia="宋体" w:cs="宋体"/>
          <w:color w:val="auto"/>
          <w:highlight w:val="none"/>
        </w:rPr>
      </w:pPr>
    </w:p>
    <w:p w14:paraId="6490F70E">
      <w:pPr>
        <w:pStyle w:val="5"/>
        <w:rPr>
          <w:rFonts w:hint="eastAsia" w:ascii="宋体" w:hAnsi="宋体" w:eastAsia="宋体" w:cs="宋体"/>
          <w:b w:val="0"/>
          <w:bCs w:val="0"/>
          <w:color w:val="auto"/>
          <w:sz w:val="28"/>
          <w:szCs w:val="36"/>
          <w:highlight w:val="none"/>
        </w:rPr>
      </w:pPr>
      <w:bookmarkStart w:id="166" w:name="_Toc5312_WPSOffice_Level2"/>
      <w:bookmarkStart w:id="167" w:name="_Toc516969105"/>
      <w:bookmarkStart w:id="168" w:name="_Toc40975456"/>
      <w:bookmarkStart w:id="169" w:name="_Toc220232402"/>
      <w:r>
        <w:rPr>
          <w:rFonts w:hint="eastAsia" w:ascii="宋体" w:hAnsi="宋体" w:eastAsia="宋体" w:cs="宋体"/>
          <w:b w:val="0"/>
          <w:bCs w:val="0"/>
          <w:color w:val="auto"/>
          <w:sz w:val="28"/>
          <w:highlight w:val="none"/>
        </w:rPr>
        <w:t>八．有关证明文件</w:t>
      </w:r>
      <w:bookmarkEnd w:id="166"/>
      <w:bookmarkEnd w:id="167"/>
      <w:bookmarkEnd w:id="168"/>
      <w:bookmarkEnd w:id="169"/>
    </w:p>
    <w:p w14:paraId="0D9D41B0">
      <w:pPr>
        <w:tabs>
          <w:tab w:val="left" w:pos="462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提供符合投标邀请（招标公告）、货物需求一览表及评标办法规定的相关证明文件。</w:t>
      </w:r>
    </w:p>
    <w:p w14:paraId="4C64F0AF">
      <w:pPr>
        <w:tabs>
          <w:tab w:val="left" w:pos="4620"/>
        </w:tabs>
        <w:spacing w:line="360" w:lineRule="auto"/>
        <w:ind w:firstLine="480" w:firstLineChars="200"/>
        <w:rPr>
          <w:rFonts w:hint="eastAsia" w:ascii="宋体" w:hAnsi="宋体" w:eastAsia="宋体" w:cs="宋体"/>
          <w:color w:val="auto"/>
          <w:sz w:val="24"/>
          <w:highlight w:val="none"/>
        </w:rPr>
      </w:pPr>
    </w:p>
    <w:p w14:paraId="0C5DEBEF">
      <w:pPr>
        <w:tabs>
          <w:tab w:val="left" w:pos="4620"/>
        </w:tabs>
        <w:spacing w:line="360" w:lineRule="auto"/>
        <w:ind w:firstLine="480" w:firstLineChars="200"/>
        <w:rPr>
          <w:rFonts w:hint="eastAsia" w:ascii="宋体" w:hAnsi="宋体" w:eastAsia="宋体" w:cs="宋体"/>
          <w:color w:val="auto"/>
          <w:sz w:val="24"/>
          <w:highlight w:val="none"/>
        </w:rPr>
      </w:pPr>
    </w:p>
    <w:p w14:paraId="44F7AC23">
      <w:pPr>
        <w:tabs>
          <w:tab w:val="left" w:pos="4620"/>
        </w:tabs>
        <w:spacing w:line="360" w:lineRule="auto"/>
        <w:ind w:firstLine="480" w:firstLineChars="200"/>
        <w:rPr>
          <w:rFonts w:hint="eastAsia" w:ascii="宋体" w:hAnsi="宋体" w:eastAsia="宋体" w:cs="宋体"/>
          <w:color w:val="auto"/>
          <w:sz w:val="24"/>
          <w:highlight w:val="none"/>
        </w:rPr>
      </w:pPr>
    </w:p>
    <w:p w14:paraId="3E014282">
      <w:pPr>
        <w:tabs>
          <w:tab w:val="left" w:pos="4620"/>
        </w:tabs>
        <w:spacing w:line="360" w:lineRule="auto"/>
        <w:ind w:firstLine="480" w:firstLineChars="200"/>
        <w:rPr>
          <w:rFonts w:hint="eastAsia" w:ascii="宋体" w:hAnsi="宋体" w:eastAsia="宋体" w:cs="宋体"/>
          <w:color w:val="auto"/>
          <w:sz w:val="24"/>
          <w:highlight w:val="none"/>
        </w:rPr>
      </w:pPr>
    </w:p>
    <w:p w14:paraId="5B211881">
      <w:pPr>
        <w:tabs>
          <w:tab w:val="left" w:pos="4620"/>
        </w:tabs>
        <w:spacing w:line="360" w:lineRule="auto"/>
        <w:ind w:firstLine="480" w:firstLineChars="200"/>
        <w:rPr>
          <w:rFonts w:hint="eastAsia" w:ascii="宋体" w:hAnsi="宋体" w:eastAsia="宋体" w:cs="宋体"/>
          <w:color w:val="auto"/>
          <w:sz w:val="24"/>
          <w:highlight w:val="none"/>
        </w:rPr>
      </w:pPr>
    </w:p>
    <w:p w14:paraId="128B9213">
      <w:pPr>
        <w:tabs>
          <w:tab w:val="left" w:pos="4620"/>
        </w:tabs>
        <w:spacing w:line="360" w:lineRule="auto"/>
        <w:ind w:firstLine="480" w:firstLineChars="200"/>
        <w:rPr>
          <w:rFonts w:hint="eastAsia" w:ascii="宋体" w:hAnsi="宋体" w:eastAsia="宋体" w:cs="宋体"/>
          <w:color w:val="auto"/>
          <w:sz w:val="24"/>
          <w:highlight w:val="none"/>
        </w:rPr>
      </w:pPr>
    </w:p>
    <w:p w14:paraId="1FF984DB">
      <w:pPr>
        <w:tabs>
          <w:tab w:val="left" w:pos="4620"/>
        </w:tabs>
        <w:spacing w:line="360" w:lineRule="auto"/>
        <w:ind w:firstLine="480" w:firstLineChars="200"/>
        <w:rPr>
          <w:rFonts w:hint="eastAsia" w:ascii="宋体" w:hAnsi="宋体" w:eastAsia="宋体" w:cs="宋体"/>
          <w:color w:val="auto"/>
          <w:sz w:val="24"/>
          <w:highlight w:val="none"/>
        </w:rPr>
      </w:pPr>
    </w:p>
    <w:p w14:paraId="54E207A8">
      <w:pPr>
        <w:tabs>
          <w:tab w:val="left" w:pos="4620"/>
        </w:tabs>
        <w:spacing w:line="360" w:lineRule="auto"/>
        <w:ind w:firstLine="480" w:firstLineChars="200"/>
        <w:rPr>
          <w:rFonts w:hint="eastAsia" w:ascii="宋体" w:hAnsi="宋体" w:eastAsia="宋体" w:cs="宋体"/>
          <w:color w:val="auto"/>
          <w:sz w:val="24"/>
          <w:highlight w:val="none"/>
        </w:rPr>
      </w:pPr>
    </w:p>
    <w:p w14:paraId="5C482829">
      <w:pPr>
        <w:tabs>
          <w:tab w:val="left" w:pos="4620"/>
        </w:tabs>
        <w:spacing w:line="360" w:lineRule="auto"/>
        <w:ind w:firstLine="480" w:firstLineChars="200"/>
        <w:rPr>
          <w:rFonts w:hint="eastAsia" w:ascii="宋体" w:hAnsi="宋体" w:eastAsia="宋体" w:cs="宋体"/>
          <w:color w:val="auto"/>
          <w:sz w:val="24"/>
          <w:highlight w:val="none"/>
        </w:rPr>
      </w:pPr>
    </w:p>
    <w:p w14:paraId="5A47CC64">
      <w:pPr>
        <w:tabs>
          <w:tab w:val="left" w:pos="4620"/>
        </w:tabs>
        <w:spacing w:line="360" w:lineRule="auto"/>
        <w:ind w:firstLine="480" w:firstLineChars="200"/>
        <w:rPr>
          <w:rFonts w:hint="eastAsia" w:ascii="宋体" w:hAnsi="宋体" w:eastAsia="宋体" w:cs="宋体"/>
          <w:color w:val="auto"/>
          <w:sz w:val="24"/>
          <w:highlight w:val="none"/>
        </w:rPr>
      </w:pPr>
    </w:p>
    <w:p w14:paraId="1C5D5C1F">
      <w:pPr>
        <w:tabs>
          <w:tab w:val="left" w:pos="4620"/>
        </w:tabs>
        <w:spacing w:line="360" w:lineRule="auto"/>
        <w:ind w:firstLine="480" w:firstLineChars="200"/>
        <w:rPr>
          <w:rFonts w:hint="eastAsia" w:ascii="宋体" w:hAnsi="宋体" w:eastAsia="宋体" w:cs="宋体"/>
          <w:color w:val="auto"/>
          <w:sz w:val="24"/>
          <w:highlight w:val="none"/>
        </w:rPr>
      </w:pPr>
    </w:p>
    <w:p w14:paraId="2E7F5E3B">
      <w:pPr>
        <w:tabs>
          <w:tab w:val="left" w:pos="4620"/>
        </w:tabs>
        <w:spacing w:line="360" w:lineRule="auto"/>
        <w:ind w:firstLine="480" w:firstLineChars="200"/>
        <w:rPr>
          <w:rFonts w:hint="eastAsia" w:ascii="宋体" w:hAnsi="宋体" w:eastAsia="宋体" w:cs="宋体"/>
          <w:color w:val="auto"/>
          <w:sz w:val="24"/>
          <w:highlight w:val="none"/>
        </w:rPr>
      </w:pPr>
    </w:p>
    <w:p w14:paraId="19E5B6F9">
      <w:pPr>
        <w:tabs>
          <w:tab w:val="left" w:pos="4620"/>
        </w:tabs>
        <w:spacing w:line="360" w:lineRule="auto"/>
        <w:ind w:firstLine="480" w:firstLineChars="200"/>
        <w:rPr>
          <w:rFonts w:hint="eastAsia" w:ascii="宋体" w:hAnsi="宋体" w:eastAsia="宋体" w:cs="宋体"/>
          <w:color w:val="auto"/>
          <w:sz w:val="24"/>
          <w:highlight w:val="none"/>
        </w:rPr>
      </w:pPr>
    </w:p>
    <w:p w14:paraId="3A25EFF7">
      <w:pPr>
        <w:tabs>
          <w:tab w:val="left" w:pos="4620"/>
        </w:tabs>
        <w:spacing w:line="360" w:lineRule="auto"/>
        <w:ind w:firstLine="480" w:firstLineChars="200"/>
        <w:rPr>
          <w:rFonts w:hint="eastAsia" w:ascii="宋体" w:hAnsi="宋体" w:eastAsia="宋体" w:cs="宋体"/>
          <w:color w:val="auto"/>
          <w:sz w:val="24"/>
          <w:highlight w:val="none"/>
        </w:rPr>
      </w:pPr>
    </w:p>
    <w:p w14:paraId="23124901">
      <w:pPr>
        <w:tabs>
          <w:tab w:val="left" w:pos="4620"/>
        </w:tabs>
        <w:spacing w:line="360" w:lineRule="auto"/>
        <w:ind w:firstLine="480" w:firstLineChars="200"/>
        <w:rPr>
          <w:rFonts w:hint="eastAsia" w:ascii="宋体" w:hAnsi="宋体" w:eastAsia="宋体" w:cs="宋体"/>
          <w:color w:val="auto"/>
          <w:sz w:val="24"/>
          <w:highlight w:val="none"/>
        </w:rPr>
      </w:pPr>
    </w:p>
    <w:p w14:paraId="5A6C1A68">
      <w:pPr>
        <w:tabs>
          <w:tab w:val="left" w:pos="4620"/>
        </w:tabs>
        <w:spacing w:line="360" w:lineRule="auto"/>
        <w:ind w:firstLine="480" w:firstLineChars="200"/>
        <w:rPr>
          <w:rFonts w:hint="eastAsia" w:ascii="宋体" w:hAnsi="宋体" w:eastAsia="宋体" w:cs="宋体"/>
          <w:color w:val="auto"/>
          <w:sz w:val="24"/>
          <w:highlight w:val="none"/>
        </w:rPr>
      </w:pPr>
    </w:p>
    <w:p w14:paraId="3EC2D9A0">
      <w:pPr>
        <w:tabs>
          <w:tab w:val="left" w:pos="4620"/>
        </w:tabs>
        <w:spacing w:line="360" w:lineRule="auto"/>
        <w:ind w:firstLine="480" w:firstLineChars="200"/>
        <w:rPr>
          <w:rFonts w:hint="eastAsia" w:ascii="宋体" w:hAnsi="宋体" w:eastAsia="宋体" w:cs="宋体"/>
          <w:color w:val="auto"/>
          <w:sz w:val="24"/>
          <w:highlight w:val="none"/>
        </w:rPr>
      </w:pPr>
    </w:p>
    <w:p w14:paraId="036C7601">
      <w:pPr>
        <w:pStyle w:val="17"/>
        <w:rPr>
          <w:rFonts w:hint="eastAsia" w:ascii="宋体" w:hAnsi="宋体" w:eastAsia="宋体" w:cs="宋体"/>
          <w:color w:val="auto"/>
          <w:highlight w:val="none"/>
        </w:rPr>
      </w:pPr>
    </w:p>
    <w:p w14:paraId="681B0BB5">
      <w:pPr>
        <w:pStyle w:val="17"/>
        <w:rPr>
          <w:rFonts w:hint="eastAsia" w:ascii="宋体" w:hAnsi="宋体" w:eastAsia="宋体" w:cs="宋体"/>
          <w:color w:val="auto"/>
          <w:highlight w:val="none"/>
        </w:rPr>
      </w:pPr>
    </w:p>
    <w:p w14:paraId="14297E09">
      <w:pPr>
        <w:pStyle w:val="17"/>
        <w:rPr>
          <w:rFonts w:hint="eastAsia" w:ascii="宋体" w:hAnsi="宋体" w:eastAsia="宋体" w:cs="宋体"/>
          <w:color w:val="auto"/>
          <w:highlight w:val="none"/>
        </w:rPr>
      </w:pPr>
    </w:p>
    <w:p w14:paraId="39892376">
      <w:pPr>
        <w:tabs>
          <w:tab w:val="left" w:pos="4620"/>
        </w:tabs>
        <w:spacing w:line="360" w:lineRule="auto"/>
        <w:ind w:firstLine="480" w:firstLineChars="200"/>
        <w:rPr>
          <w:rFonts w:hint="eastAsia" w:ascii="宋体" w:hAnsi="宋体" w:eastAsia="宋体" w:cs="宋体"/>
          <w:color w:val="auto"/>
          <w:sz w:val="24"/>
          <w:highlight w:val="none"/>
        </w:rPr>
      </w:pPr>
    </w:p>
    <w:p w14:paraId="56E8461E">
      <w:pPr>
        <w:pStyle w:val="17"/>
        <w:rPr>
          <w:rFonts w:hint="eastAsia" w:ascii="宋体" w:hAnsi="宋体" w:eastAsia="宋体" w:cs="宋体"/>
          <w:color w:val="auto"/>
          <w:highlight w:val="none"/>
        </w:rPr>
      </w:pPr>
    </w:p>
    <w:p w14:paraId="1FD8882A">
      <w:pPr>
        <w:pStyle w:val="17"/>
        <w:rPr>
          <w:rFonts w:hint="eastAsia" w:ascii="宋体" w:hAnsi="宋体" w:eastAsia="宋体" w:cs="宋体"/>
          <w:color w:val="auto"/>
          <w:highlight w:val="none"/>
        </w:rPr>
      </w:pPr>
    </w:p>
    <w:p w14:paraId="194A3910">
      <w:pPr>
        <w:pStyle w:val="17"/>
        <w:rPr>
          <w:rFonts w:hint="eastAsia" w:ascii="宋体" w:hAnsi="宋体" w:eastAsia="宋体" w:cs="宋体"/>
          <w:color w:val="auto"/>
          <w:highlight w:val="none"/>
        </w:rPr>
      </w:pPr>
    </w:p>
    <w:p w14:paraId="4E0C01EE">
      <w:pPr>
        <w:pStyle w:val="17"/>
        <w:rPr>
          <w:rFonts w:hint="eastAsia" w:ascii="宋体" w:hAnsi="宋体" w:eastAsia="宋体" w:cs="宋体"/>
          <w:color w:val="auto"/>
          <w:highlight w:val="none"/>
        </w:rPr>
      </w:pPr>
    </w:p>
    <w:p w14:paraId="7C7D109F">
      <w:pPr>
        <w:pStyle w:val="17"/>
        <w:rPr>
          <w:rFonts w:hint="eastAsia" w:ascii="宋体" w:hAnsi="宋体" w:eastAsia="宋体" w:cs="宋体"/>
          <w:color w:val="auto"/>
          <w:highlight w:val="none"/>
        </w:rPr>
      </w:pPr>
    </w:p>
    <w:p w14:paraId="5EADF6D4">
      <w:pPr>
        <w:tabs>
          <w:tab w:val="left" w:pos="4620"/>
        </w:tabs>
        <w:spacing w:line="360" w:lineRule="auto"/>
        <w:ind w:firstLine="480" w:firstLineChars="200"/>
        <w:rPr>
          <w:rFonts w:hint="eastAsia" w:ascii="宋体" w:hAnsi="宋体" w:eastAsia="宋体" w:cs="宋体"/>
          <w:color w:val="auto"/>
          <w:sz w:val="24"/>
          <w:highlight w:val="none"/>
        </w:rPr>
      </w:pPr>
    </w:p>
    <w:p w14:paraId="357E52E9">
      <w:pPr>
        <w:tabs>
          <w:tab w:val="left" w:pos="4620"/>
        </w:tabs>
        <w:spacing w:line="360" w:lineRule="auto"/>
        <w:ind w:firstLine="480" w:firstLineChars="200"/>
        <w:rPr>
          <w:rFonts w:hint="eastAsia" w:ascii="宋体" w:hAnsi="宋体" w:eastAsia="宋体" w:cs="宋体"/>
          <w:color w:val="auto"/>
          <w:sz w:val="24"/>
          <w:highlight w:val="none"/>
        </w:rPr>
      </w:pPr>
    </w:p>
    <w:p w14:paraId="5482A1F5">
      <w:pPr>
        <w:pStyle w:val="5"/>
        <w:rPr>
          <w:rFonts w:hint="eastAsia" w:ascii="宋体" w:hAnsi="宋体" w:eastAsia="宋体" w:cs="宋体"/>
          <w:b w:val="0"/>
          <w:bCs w:val="0"/>
          <w:color w:val="auto"/>
          <w:sz w:val="28"/>
          <w:szCs w:val="28"/>
          <w:highlight w:val="none"/>
        </w:rPr>
      </w:pPr>
      <w:bookmarkStart w:id="170" w:name="_Toc13715_WPSOffice_Level2"/>
      <w:bookmarkStart w:id="171" w:name="_Toc40975457"/>
      <w:r>
        <w:rPr>
          <w:rFonts w:hint="eastAsia" w:ascii="宋体" w:hAnsi="宋体" w:eastAsia="宋体" w:cs="宋体"/>
          <w:b w:val="0"/>
          <w:bCs w:val="0"/>
          <w:color w:val="auto"/>
          <w:sz w:val="28"/>
          <w:szCs w:val="28"/>
          <w:highlight w:val="none"/>
        </w:rPr>
        <w:t>九．</w:t>
      </w:r>
      <w:bookmarkEnd w:id="170"/>
      <w:bookmarkEnd w:id="171"/>
      <w:bookmarkStart w:id="172" w:name="_Toc220232403"/>
      <w:r>
        <w:rPr>
          <w:rFonts w:hint="eastAsia" w:ascii="宋体" w:hAnsi="宋体" w:eastAsia="宋体" w:cs="宋体"/>
          <w:b w:val="0"/>
          <w:bCs w:val="0"/>
          <w:color w:val="auto"/>
          <w:sz w:val="28"/>
          <w:szCs w:val="28"/>
          <w:highlight w:val="none"/>
        </w:rPr>
        <w:t>中小企业声明函（货物）</w:t>
      </w:r>
    </w:p>
    <w:p w14:paraId="70CCD7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w:t>
      </w: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rPr>
        <w:t>的货物全部由符合政策要求的中小企业制造。相关企业（含联合体中的中小企业、签订分包意向协议的中小企业）的具体情况如下：</w:t>
      </w:r>
    </w:p>
    <w:p w14:paraId="7668C8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35D9CA1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310F52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2A7196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4C1154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14:paraId="56FCF032">
      <w:pPr>
        <w:spacing w:line="360" w:lineRule="auto"/>
        <w:ind w:firstLine="5040" w:firstLineChars="2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27E4D8DC">
      <w:pPr>
        <w:spacing w:line="360" w:lineRule="auto"/>
        <w:ind w:firstLine="5760" w:firstLineChars="2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4E9BD42A">
      <w:pPr>
        <w:spacing w:line="360" w:lineRule="auto"/>
        <w:rPr>
          <w:rFonts w:hint="eastAsia" w:ascii="宋体" w:hAnsi="宋体" w:eastAsia="宋体" w:cs="宋体"/>
          <w:color w:val="auto"/>
          <w:sz w:val="24"/>
          <w:szCs w:val="24"/>
          <w:highlight w:val="none"/>
        </w:rPr>
      </w:pPr>
    </w:p>
    <w:p w14:paraId="3BF1689D">
      <w:pPr>
        <w:spacing w:line="360" w:lineRule="auto"/>
        <w:rPr>
          <w:rFonts w:hint="eastAsia" w:ascii="宋体" w:hAnsi="宋体" w:eastAsia="宋体" w:cs="宋体"/>
          <w:color w:val="auto"/>
          <w:highlight w:val="none"/>
        </w:rPr>
      </w:pPr>
    </w:p>
    <w:p w14:paraId="74046881">
      <w:pPr>
        <w:spacing w:line="360" w:lineRule="auto"/>
        <w:rPr>
          <w:rFonts w:hint="eastAsia" w:ascii="宋体" w:hAnsi="宋体" w:eastAsia="宋体" w:cs="宋体"/>
          <w:color w:val="auto"/>
          <w:highlight w:val="none"/>
        </w:rPr>
      </w:pPr>
    </w:p>
    <w:p w14:paraId="6CB45F4B">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注：1.从业人员、营业收入、资产总额填报上一年度数据，无上一年度数据的新成立企业可不填报。</w:t>
      </w:r>
    </w:p>
    <w:p w14:paraId="052359E9">
      <w:pPr>
        <w:numPr>
          <w:ilvl w:val="0"/>
          <w:numId w:val="5"/>
        </w:numPr>
        <w:spacing w:line="360" w:lineRule="auto"/>
        <w:ind w:left="630" w:leftChars="200" w:hanging="210" w:hangingChars="100"/>
        <w:rPr>
          <w:rFonts w:hint="eastAsia" w:ascii="宋体" w:hAnsi="宋体" w:eastAsia="宋体" w:cs="宋体"/>
          <w:color w:val="auto"/>
          <w:highlight w:val="none"/>
        </w:rPr>
      </w:pPr>
      <w:r>
        <w:rPr>
          <w:rFonts w:hint="eastAsia" w:ascii="宋体" w:hAnsi="宋体" w:eastAsia="宋体" w:cs="宋体"/>
          <w:color w:val="auto"/>
          <w:highlight w:val="none"/>
        </w:rPr>
        <w:t>本项目如是只面向中小企业采购的应当必须提供。</w:t>
      </w:r>
    </w:p>
    <w:p w14:paraId="2A221C7D">
      <w:pPr>
        <w:spacing w:line="360" w:lineRule="auto"/>
        <w:ind w:firstLine="420" w:firstLineChars="200"/>
        <w:rPr>
          <w:rFonts w:hint="eastAsia" w:ascii="宋体" w:hAnsi="宋体" w:eastAsia="宋体" w:cs="宋体"/>
          <w:color w:val="auto"/>
          <w:highlight w:val="none"/>
        </w:rPr>
      </w:pPr>
    </w:p>
    <w:p w14:paraId="3A111D94">
      <w:pPr>
        <w:spacing w:line="360" w:lineRule="auto"/>
        <w:rPr>
          <w:rFonts w:hint="eastAsia" w:ascii="宋体" w:hAnsi="宋体" w:eastAsia="宋体" w:cs="宋体"/>
          <w:color w:val="auto"/>
          <w:sz w:val="28"/>
          <w:szCs w:val="28"/>
          <w:highlight w:val="none"/>
        </w:rPr>
      </w:pPr>
    </w:p>
    <w:bookmarkEnd w:id="172"/>
    <w:p w14:paraId="71E97710">
      <w:pPr>
        <w:pStyle w:val="5"/>
        <w:rPr>
          <w:rFonts w:hint="eastAsia" w:ascii="宋体" w:hAnsi="宋体" w:eastAsia="宋体" w:cs="宋体"/>
          <w:b w:val="0"/>
          <w:bCs w:val="0"/>
          <w:color w:val="auto"/>
          <w:sz w:val="36"/>
          <w:szCs w:val="36"/>
          <w:highlight w:val="none"/>
        </w:rPr>
      </w:pPr>
      <w:bookmarkStart w:id="173" w:name="_Hlt526418111"/>
      <w:bookmarkEnd w:id="173"/>
      <w:bookmarkStart w:id="174" w:name="_Hlt526418103"/>
      <w:bookmarkEnd w:id="174"/>
      <w:bookmarkStart w:id="175" w:name="_Toc2532_WPSOffice_Level2"/>
      <w:bookmarkStart w:id="176" w:name="_Toc516969110"/>
      <w:bookmarkStart w:id="177" w:name="_Toc220232405"/>
      <w:r>
        <w:rPr>
          <w:rFonts w:hint="eastAsia" w:ascii="宋体" w:hAnsi="宋体" w:eastAsia="宋体" w:cs="宋体"/>
          <w:b w:val="0"/>
          <w:bCs w:val="0"/>
          <w:color w:val="auto"/>
          <w:sz w:val="28"/>
          <w:highlight w:val="none"/>
        </w:rPr>
        <w:br w:type="page"/>
      </w:r>
      <w:bookmarkStart w:id="178" w:name="_Toc40975458"/>
      <w:r>
        <w:rPr>
          <w:rFonts w:hint="eastAsia" w:ascii="宋体" w:hAnsi="宋体" w:eastAsia="宋体" w:cs="宋体"/>
          <w:b w:val="0"/>
          <w:bCs w:val="0"/>
          <w:color w:val="auto"/>
          <w:sz w:val="28"/>
          <w:highlight w:val="none"/>
        </w:rPr>
        <w:t>十．售后服务</w:t>
      </w:r>
      <w:bookmarkEnd w:id="175"/>
      <w:bookmarkEnd w:id="176"/>
      <w:bookmarkEnd w:id="177"/>
      <w:bookmarkEnd w:id="178"/>
    </w:p>
    <w:p w14:paraId="03B6EE5E">
      <w:pPr>
        <w:jc w:val="center"/>
        <w:rPr>
          <w:rFonts w:hint="eastAsia" w:ascii="宋体" w:hAnsi="宋体" w:eastAsia="宋体" w:cs="宋体"/>
          <w:color w:val="auto"/>
          <w:sz w:val="28"/>
          <w:highlight w:val="none"/>
        </w:rPr>
      </w:pPr>
      <w:r>
        <w:rPr>
          <w:rFonts w:hint="eastAsia" w:ascii="宋体" w:hAnsi="宋体" w:eastAsia="宋体" w:cs="宋体"/>
          <w:color w:val="auto"/>
          <w:sz w:val="24"/>
          <w:highlight w:val="none"/>
        </w:rPr>
        <w:t>(投标人可自行制作格式)</w:t>
      </w:r>
    </w:p>
    <w:p w14:paraId="55FCB24C">
      <w:pPr>
        <w:spacing w:line="500" w:lineRule="exact"/>
        <w:jc w:val="center"/>
        <w:rPr>
          <w:rFonts w:hint="eastAsia" w:ascii="宋体" w:hAnsi="宋体" w:eastAsia="宋体" w:cs="宋体"/>
          <w:color w:val="auto"/>
          <w:sz w:val="30"/>
          <w:highlight w:val="none"/>
        </w:rPr>
      </w:pPr>
      <w:bookmarkStart w:id="179" w:name="_Hlt526418107"/>
      <w:bookmarkEnd w:id="179"/>
    </w:p>
    <w:p w14:paraId="1B37612B">
      <w:pPr>
        <w:pStyle w:val="5"/>
        <w:rPr>
          <w:rFonts w:hint="eastAsia" w:ascii="宋体" w:hAnsi="宋体" w:eastAsia="宋体" w:cs="宋体"/>
          <w:b w:val="0"/>
          <w:bCs w:val="0"/>
          <w:color w:val="auto"/>
          <w:sz w:val="44"/>
          <w:highlight w:val="none"/>
        </w:rPr>
      </w:pPr>
      <w:bookmarkStart w:id="180" w:name="_Toc40975459"/>
      <w:bookmarkStart w:id="181" w:name="_Toc359404312"/>
      <w:bookmarkStart w:id="182" w:name="_Toc516969111"/>
      <w:bookmarkStart w:id="183" w:name="_Hlt509738384"/>
      <w:bookmarkStart w:id="184" w:name="_Toc30338_WPSOffice_Level2"/>
      <w:bookmarkStart w:id="185" w:name="_Toc197934560"/>
      <w:r>
        <w:rPr>
          <w:rFonts w:hint="eastAsia" w:ascii="宋体" w:hAnsi="宋体" w:eastAsia="宋体" w:cs="宋体"/>
          <w:b w:val="0"/>
          <w:bCs w:val="0"/>
          <w:color w:val="auto"/>
          <w:sz w:val="28"/>
          <w:highlight w:val="none"/>
        </w:rPr>
        <w:t>十一、所投货物的技术资料等</w:t>
      </w:r>
      <w:bookmarkEnd w:id="180"/>
      <w:bookmarkEnd w:id="181"/>
      <w:bookmarkEnd w:id="182"/>
      <w:bookmarkEnd w:id="183"/>
      <w:bookmarkEnd w:id="184"/>
      <w:bookmarkEnd w:id="185"/>
      <w:bookmarkStart w:id="186" w:name="_Hlt509650291"/>
      <w:bookmarkEnd w:id="186"/>
    </w:p>
    <w:p w14:paraId="43D311E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（投标人可自行制作格式，可附产品技术彩页）</w:t>
      </w:r>
    </w:p>
    <w:p w14:paraId="37724B06">
      <w:pPr>
        <w:jc w:val="center"/>
        <w:rPr>
          <w:rFonts w:hint="eastAsia" w:ascii="宋体" w:hAnsi="宋体" w:eastAsia="宋体" w:cs="宋体"/>
          <w:color w:val="auto"/>
          <w:sz w:val="24"/>
          <w:highlight w:val="none"/>
        </w:rPr>
      </w:pPr>
    </w:p>
    <w:p w14:paraId="2369EA1C">
      <w:pPr>
        <w:jc w:val="center"/>
        <w:rPr>
          <w:rFonts w:hint="eastAsia" w:ascii="宋体" w:hAnsi="宋体" w:eastAsia="宋体" w:cs="宋体"/>
          <w:color w:val="auto"/>
          <w:sz w:val="24"/>
          <w:highlight w:val="none"/>
        </w:rPr>
      </w:pPr>
    </w:p>
    <w:p w14:paraId="382AA5D1">
      <w:pPr>
        <w:pStyle w:val="5"/>
        <w:rPr>
          <w:rFonts w:hint="eastAsia" w:ascii="宋体" w:hAnsi="宋体" w:eastAsia="宋体" w:cs="宋体"/>
          <w:b w:val="0"/>
          <w:bCs w:val="0"/>
          <w:color w:val="auto"/>
          <w:sz w:val="28"/>
          <w:highlight w:val="none"/>
        </w:rPr>
      </w:pPr>
      <w:r>
        <w:rPr>
          <w:rFonts w:hint="eastAsia" w:ascii="宋体" w:hAnsi="宋体" w:eastAsia="宋体" w:cs="宋体"/>
          <w:b w:val="0"/>
          <w:bCs w:val="0"/>
          <w:color w:val="auto"/>
          <w:sz w:val="28"/>
          <w:highlight w:val="none"/>
        </w:rPr>
        <w:t>十二、其他投标人认为需要提供得材料等</w:t>
      </w:r>
    </w:p>
    <w:p w14:paraId="4DDDC391">
      <w:pPr>
        <w:pStyle w:val="22"/>
        <w:ind w:right="-21" w:firstLine="0" w:firstLineChars="0"/>
        <w:rPr>
          <w:rFonts w:hint="eastAsia" w:ascii="宋体" w:hAnsi="宋体" w:eastAsia="宋体" w:cs="宋体"/>
          <w:color w:val="auto"/>
        </w:rPr>
      </w:pPr>
      <w:r>
        <w:rPr>
          <w:rFonts w:hint="eastAsia" w:ascii="宋体" w:hAnsi="宋体" w:eastAsia="宋体" w:cs="宋体"/>
          <w:color w:val="auto"/>
          <w:sz w:val="28"/>
          <w:szCs w:val="28"/>
          <w:highlight w:val="none"/>
        </w:rPr>
        <w:br w:type="page"/>
      </w:r>
    </w:p>
    <w:p w14:paraId="5DF045C9">
      <w:pPr>
        <w:spacing w:line="380" w:lineRule="exact"/>
        <w:jc w:val="center"/>
        <w:rPr>
          <w:rFonts w:hint="eastAsia" w:ascii="宋体" w:hAnsi="宋体" w:cs="宋体"/>
          <w:b/>
          <w:color w:val="auto"/>
          <w:sz w:val="28"/>
          <w:szCs w:val="28"/>
        </w:rPr>
      </w:pPr>
      <w:r>
        <w:rPr>
          <w:rFonts w:hint="eastAsia" w:ascii="宋体" w:hAnsi="宋体" w:cs="宋体"/>
          <w:b/>
          <w:color w:val="auto"/>
          <w:sz w:val="28"/>
          <w:szCs w:val="28"/>
        </w:rPr>
        <w:t>十三、政府采购供应商诚信承诺书</w:t>
      </w:r>
    </w:p>
    <w:p w14:paraId="2A1824BF">
      <w:pPr>
        <w:spacing w:line="380" w:lineRule="exact"/>
        <w:jc w:val="center"/>
        <w:rPr>
          <w:rFonts w:hint="eastAsia" w:ascii="宋体" w:hAnsi="宋体" w:cs="宋体"/>
          <w:b/>
          <w:color w:val="auto"/>
          <w:sz w:val="24"/>
        </w:rPr>
      </w:pPr>
    </w:p>
    <w:p w14:paraId="0AB23055">
      <w:pPr>
        <w:spacing w:line="380" w:lineRule="exact"/>
        <w:ind w:firstLine="480" w:firstLineChars="2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1E90A03">
      <w:pPr>
        <w:spacing w:line="380" w:lineRule="exact"/>
        <w:ind w:firstLine="403" w:firstLineChars="168"/>
        <w:rPr>
          <w:rFonts w:hint="eastAsia" w:ascii="宋体" w:hAnsi="宋体" w:cs="宋体"/>
          <w:color w:val="auto"/>
          <w:sz w:val="24"/>
        </w:rPr>
      </w:pPr>
      <w:r>
        <w:rPr>
          <w:rFonts w:hint="eastAsia" w:ascii="宋体" w:hAnsi="宋体" w:cs="宋体"/>
          <w:color w:val="auto"/>
          <w:sz w:val="24"/>
        </w:rPr>
        <w:t>（一）提供虚假材料谋取中标;</w:t>
      </w:r>
    </w:p>
    <w:p w14:paraId="74973151">
      <w:pPr>
        <w:spacing w:line="380" w:lineRule="exact"/>
        <w:ind w:firstLine="403" w:firstLineChars="168"/>
        <w:rPr>
          <w:rFonts w:hint="eastAsia" w:ascii="宋体" w:hAnsi="宋体" w:cs="宋体"/>
          <w:color w:val="auto"/>
          <w:sz w:val="24"/>
        </w:rPr>
      </w:pPr>
      <w:r>
        <w:rPr>
          <w:rFonts w:hint="eastAsia" w:ascii="宋体" w:hAnsi="宋体" w:cs="宋体"/>
          <w:color w:val="auto"/>
          <w:sz w:val="24"/>
        </w:rPr>
        <w:t>（二）采取不正当手段诋毁、排挤其他供应商;</w:t>
      </w:r>
    </w:p>
    <w:p w14:paraId="0D358721">
      <w:pPr>
        <w:spacing w:line="380" w:lineRule="exact"/>
        <w:ind w:firstLine="403" w:firstLineChars="168"/>
        <w:rPr>
          <w:rFonts w:hint="eastAsia" w:ascii="宋体" w:hAnsi="宋体" w:cs="宋体"/>
          <w:color w:val="auto"/>
          <w:sz w:val="24"/>
        </w:rPr>
      </w:pPr>
      <w:r>
        <w:rPr>
          <w:rFonts w:hint="eastAsia" w:ascii="宋体" w:hAnsi="宋体" w:cs="宋体"/>
          <w:color w:val="auto"/>
          <w:sz w:val="24"/>
        </w:rPr>
        <w:t>（三）与招标采购单位、其他投标人恶意串通;</w:t>
      </w:r>
    </w:p>
    <w:p w14:paraId="16B4606E">
      <w:pPr>
        <w:spacing w:line="380" w:lineRule="exact"/>
        <w:ind w:firstLine="403" w:firstLineChars="168"/>
        <w:rPr>
          <w:rFonts w:hint="eastAsia" w:ascii="宋体" w:hAnsi="宋体" w:cs="宋体"/>
          <w:color w:val="auto"/>
          <w:sz w:val="24"/>
        </w:rPr>
      </w:pPr>
      <w:r>
        <w:rPr>
          <w:rFonts w:hint="eastAsia" w:ascii="宋体" w:hAnsi="宋体" w:cs="宋体"/>
          <w:color w:val="auto"/>
          <w:sz w:val="24"/>
        </w:rPr>
        <w:t>（四）向招标采购单位或提供其他不正当利益;</w:t>
      </w:r>
    </w:p>
    <w:p w14:paraId="1974F042">
      <w:pPr>
        <w:spacing w:line="380" w:lineRule="exact"/>
        <w:ind w:firstLine="403" w:firstLineChars="168"/>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0FA54167">
      <w:pPr>
        <w:spacing w:line="380" w:lineRule="exact"/>
        <w:ind w:firstLine="403" w:firstLineChars="168"/>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54155654">
      <w:pPr>
        <w:spacing w:line="380" w:lineRule="exact"/>
        <w:ind w:firstLine="403" w:firstLineChars="168"/>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06F0298B">
      <w:pPr>
        <w:spacing w:line="380" w:lineRule="exact"/>
        <w:ind w:firstLine="403" w:firstLineChars="168"/>
        <w:rPr>
          <w:rFonts w:hint="eastAsia" w:ascii="宋体" w:hAnsi="宋体" w:cs="宋体"/>
          <w:color w:val="auto"/>
          <w:sz w:val="24"/>
        </w:rPr>
      </w:pPr>
      <w:r>
        <w:rPr>
          <w:rFonts w:hint="eastAsia" w:ascii="宋体" w:hAnsi="宋体" w:cs="宋体"/>
          <w:color w:val="auto"/>
          <w:sz w:val="24"/>
        </w:rPr>
        <w:t>（八）将中标项目转让给他人或非法分包他人;</w:t>
      </w:r>
    </w:p>
    <w:p w14:paraId="35E216E7">
      <w:pPr>
        <w:spacing w:line="380" w:lineRule="exact"/>
        <w:ind w:firstLine="403" w:firstLineChars="168"/>
        <w:rPr>
          <w:rFonts w:hint="eastAsia" w:ascii="宋体" w:hAnsi="宋体" w:cs="宋体"/>
          <w:color w:val="auto"/>
          <w:sz w:val="24"/>
        </w:rPr>
      </w:pPr>
      <w:r>
        <w:rPr>
          <w:rFonts w:hint="eastAsia" w:ascii="宋体" w:hAnsi="宋体" w:cs="宋体"/>
          <w:color w:val="auto"/>
          <w:sz w:val="24"/>
        </w:rPr>
        <w:t>（九）无正当理由，拒绝履行合同义务;</w:t>
      </w:r>
    </w:p>
    <w:p w14:paraId="4312B479">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（十）无正当理由放弃中标（成交）项目;</w:t>
      </w:r>
    </w:p>
    <w:p w14:paraId="63D44B8D">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（十ー）擅自或与与采购人串通或接受采购人要求，在履约合同中通过减少货物数量，更换品牌、降低配置、技术要求、质量和服务标准等，却仍按原合同进行虚假验收或终止政府采购合同;</w:t>
      </w:r>
    </w:p>
    <w:p w14:paraId="73A21A86">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3AB8070E">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35328306">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7328F98A">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7FB34880">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4E4A117A">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02BA742E">
      <w:pPr>
        <w:spacing w:line="380" w:lineRule="exact"/>
        <w:rPr>
          <w:rFonts w:hint="eastAsia" w:ascii="宋体" w:hAnsi="宋体" w:cs="宋体"/>
          <w:color w:val="auto"/>
          <w:sz w:val="24"/>
        </w:rPr>
      </w:pPr>
    </w:p>
    <w:p w14:paraId="5C21818E">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w:t>
      </w:r>
      <w:r>
        <w:rPr>
          <w:rFonts w:hint="eastAsia" w:ascii="宋体" w:hAnsi="宋体" w:eastAsia="宋体" w:cs="宋体"/>
          <w:color w:val="auto"/>
          <w:sz w:val="24"/>
        </w:rPr>
        <w:t>电子</w:t>
      </w:r>
      <w:r>
        <w:rPr>
          <w:rFonts w:hint="eastAsia" w:ascii="宋体" w:hAnsi="宋体" w:eastAsia="宋体" w:cs="宋体"/>
          <w:color w:val="auto"/>
          <w:sz w:val="24"/>
          <w:lang w:val="en-US" w:eastAsia="zh-CN"/>
        </w:rPr>
        <w:t>公</w:t>
      </w:r>
      <w:r>
        <w:rPr>
          <w:rFonts w:hint="eastAsia" w:ascii="宋体" w:hAnsi="宋体" w:eastAsia="宋体" w:cs="宋体"/>
          <w:color w:val="auto"/>
          <w:sz w:val="24"/>
        </w:rPr>
        <w:t>章</w:t>
      </w:r>
      <w:r>
        <w:rPr>
          <w:rFonts w:hint="eastAsia" w:ascii="宋体" w:hAnsi="宋体" w:cs="宋体"/>
          <w:color w:val="auto"/>
          <w:sz w:val="24"/>
        </w:rPr>
        <w:t>）</w:t>
      </w:r>
    </w:p>
    <w:p w14:paraId="58E9DF1A">
      <w:pPr>
        <w:spacing w:line="380" w:lineRule="exact"/>
        <w:ind w:right="640" w:firstLine="1560" w:firstLineChars="650"/>
        <w:rPr>
          <w:rFonts w:hint="eastAsia" w:ascii="宋体" w:hAnsi="宋体" w:cs="宋体"/>
          <w:color w:val="auto"/>
          <w:sz w:val="24"/>
        </w:rPr>
      </w:pPr>
    </w:p>
    <w:p w14:paraId="60C63404">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法人代表或授权委托人：（签</w:t>
      </w:r>
      <w:r>
        <w:rPr>
          <w:rFonts w:hint="eastAsia" w:ascii="宋体" w:hAnsi="宋体" w:cs="宋体"/>
          <w:color w:val="auto"/>
          <w:sz w:val="24"/>
          <w:lang w:val="en-US" w:eastAsia="zh-CN"/>
        </w:rPr>
        <w:t>字</w:t>
      </w:r>
      <w:r>
        <w:rPr>
          <w:rFonts w:hint="eastAsia" w:ascii="宋体" w:hAnsi="宋体" w:cs="宋体"/>
          <w:color w:val="auto"/>
          <w:sz w:val="24"/>
        </w:rPr>
        <w:t>）</w:t>
      </w:r>
    </w:p>
    <w:p w14:paraId="7F1F6368">
      <w:pPr>
        <w:spacing w:line="380" w:lineRule="exact"/>
        <w:jc w:val="center"/>
        <w:rPr>
          <w:rFonts w:hint="eastAsia" w:ascii="宋体" w:hAnsi="宋体" w:cs="宋体"/>
          <w:color w:val="auto"/>
          <w:sz w:val="24"/>
        </w:rPr>
      </w:pPr>
    </w:p>
    <w:p w14:paraId="2CB9B5A7">
      <w:pPr>
        <w:jc w:val="center"/>
        <w:rPr>
          <w:rFonts w:hint="eastAsia" w:ascii="宋体" w:hAnsi="宋体" w:cs="宋体"/>
          <w:color w:val="auto"/>
          <w:sz w:val="24"/>
        </w:rPr>
      </w:pPr>
      <w:r>
        <w:rPr>
          <w:rFonts w:hint="eastAsia" w:ascii="宋体" w:hAnsi="宋体" w:cs="宋体"/>
          <w:color w:val="auto"/>
          <w:sz w:val="24"/>
        </w:rPr>
        <w:t xml:space="preserve">               日期：      年   月    日</w:t>
      </w:r>
    </w:p>
    <w:p w14:paraId="283CC7B4">
      <w:pPr>
        <w:pStyle w:val="30"/>
        <w:ind w:firstLine="210"/>
        <w:rPr>
          <w:color w:val="auto"/>
        </w:rPr>
      </w:pPr>
    </w:p>
    <w:p w14:paraId="309E9E5C">
      <w:pPr>
        <w:jc w:val="center"/>
        <w:rPr>
          <w:rFonts w:hint="eastAsia" w:ascii="宋体" w:hAnsi="宋体" w:eastAsia="宋体" w:cs="宋体"/>
          <w:color w:val="auto"/>
          <w:sz w:val="24"/>
          <w:highlight w:val="none"/>
        </w:rPr>
      </w:pPr>
    </w:p>
    <w:p w14:paraId="3615A93C">
      <w:pPr>
        <w:pStyle w:val="30"/>
        <w:ind w:firstLine="210"/>
        <w:rPr>
          <w:rFonts w:hint="eastAsia" w:ascii="宋体" w:hAnsi="宋体" w:eastAsia="宋体" w:cs="宋体"/>
          <w:color w:val="auto"/>
          <w:highlight w:val="none"/>
        </w:rPr>
      </w:pPr>
    </w:p>
    <w:p w14:paraId="209797EF">
      <w:pPr>
        <w:pStyle w:val="30"/>
        <w:ind w:firstLine="320"/>
        <w:jc w:val="center"/>
        <w:rPr>
          <w:rFonts w:hint="eastAsia" w:ascii="宋体" w:hAnsi="宋体" w:eastAsia="宋体" w:cs="宋体"/>
          <w:color w:val="auto"/>
          <w:sz w:val="32"/>
          <w:szCs w:val="32"/>
          <w:highlight w:val="none"/>
        </w:rPr>
      </w:pPr>
    </w:p>
    <w:p w14:paraId="45243459">
      <w:pPr>
        <w:pStyle w:val="30"/>
        <w:ind w:firstLine="321"/>
        <w:jc w:val="center"/>
        <w:rPr>
          <w:b/>
          <w:color w:val="auto"/>
          <w:sz w:val="32"/>
          <w:szCs w:val="32"/>
        </w:rPr>
      </w:pPr>
      <w:r>
        <w:rPr>
          <w:rFonts w:hint="eastAsia"/>
          <w:b/>
          <w:color w:val="auto"/>
          <w:sz w:val="32"/>
          <w:szCs w:val="32"/>
        </w:rPr>
        <w:t>周口市政府采购合同融资政策告知函</w:t>
      </w:r>
    </w:p>
    <w:p w14:paraId="738C8EDD">
      <w:pPr>
        <w:pStyle w:val="30"/>
        <w:ind w:firstLine="240"/>
        <w:rPr>
          <w:rFonts w:ascii="宋体" w:hAnsi="宋体"/>
          <w:color w:val="auto"/>
          <w:sz w:val="24"/>
          <w:szCs w:val="24"/>
        </w:rPr>
      </w:pPr>
    </w:p>
    <w:p w14:paraId="264B909D">
      <w:pPr>
        <w:pStyle w:val="30"/>
        <w:ind w:firstLine="240"/>
        <w:rPr>
          <w:rFonts w:hint="eastAsia" w:ascii="宋体" w:hAnsi="宋体"/>
          <w:color w:val="auto"/>
          <w:sz w:val="24"/>
          <w:szCs w:val="24"/>
        </w:rPr>
      </w:pPr>
    </w:p>
    <w:p w14:paraId="25356D00">
      <w:pPr>
        <w:pStyle w:val="30"/>
        <w:ind w:firstLine="240"/>
        <w:rPr>
          <w:rFonts w:hint="eastAsia" w:ascii="宋体" w:hAnsi="宋体"/>
          <w:color w:val="auto"/>
          <w:sz w:val="24"/>
          <w:szCs w:val="24"/>
        </w:rPr>
      </w:pPr>
    </w:p>
    <w:p w14:paraId="4A581FDE">
      <w:pPr>
        <w:pStyle w:val="30"/>
        <w:ind w:firstLine="240"/>
        <w:rPr>
          <w:rFonts w:hint="eastAsia" w:ascii="宋体" w:hAnsi="宋体"/>
          <w:color w:val="auto"/>
          <w:sz w:val="24"/>
          <w:szCs w:val="24"/>
        </w:rPr>
      </w:pPr>
      <w:r>
        <w:rPr>
          <w:rFonts w:hint="eastAsia" w:ascii="宋体" w:hAnsi="宋体"/>
          <w:color w:val="auto"/>
          <w:sz w:val="24"/>
          <w:szCs w:val="24"/>
        </w:rPr>
        <w:t>各供应商：</w:t>
      </w:r>
    </w:p>
    <w:p w14:paraId="1B6CF66E">
      <w:pPr>
        <w:pStyle w:val="30"/>
        <w:ind w:firstLine="240"/>
        <w:rPr>
          <w:rFonts w:hint="eastAsia" w:ascii="宋体" w:hAnsi="宋体"/>
          <w:color w:val="auto"/>
          <w:sz w:val="24"/>
          <w:szCs w:val="24"/>
        </w:rPr>
      </w:pPr>
      <w:r>
        <w:rPr>
          <w:rFonts w:hint="eastAsia" w:ascii="宋体" w:hAnsi="宋体"/>
          <w:color w:val="auto"/>
          <w:sz w:val="24"/>
          <w:szCs w:val="24"/>
        </w:rPr>
        <w:t>欢迎贵公司参与周口市政府采购活动！</w:t>
      </w:r>
    </w:p>
    <w:p w14:paraId="64CA8E64">
      <w:pPr>
        <w:pStyle w:val="30"/>
        <w:ind w:firstLine="240"/>
        <w:rPr>
          <w:rFonts w:hint="eastAsia" w:ascii="宋体" w:hAnsi="宋体"/>
          <w:color w:val="auto"/>
          <w:sz w:val="24"/>
          <w:szCs w:val="24"/>
        </w:rPr>
      </w:pPr>
      <w:r>
        <w:rPr>
          <w:rFonts w:hint="eastAsia" w:ascii="宋体" w:hAnsi="宋体"/>
          <w:color w:val="auto"/>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AF23D3A">
      <w:pPr>
        <w:pStyle w:val="30"/>
        <w:ind w:firstLine="240"/>
        <w:rPr>
          <w:rFonts w:hint="eastAsia" w:ascii="宋体" w:hAnsi="宋体"/>
          <w:color w:val="auto"/>
          <w:sz w:val="24"/>
          <w:szCs w:val="24"/>
        </w:rPr>
      </w:pPr>
      <w:r>
        <w:rPr>
          <w:rFonts w:hint="eastAsia" w:ascii="宋体" w:hAnsi="宋体"/>
          <w:color w:val="auto"/>
          <w:sz w:val="24"/>
          <w:szCs w:val="24"/>
        </w:rPr>
        <w:t>贷款渠道和提供贷款的金融机构，可在河南省政府采购网“河南省政府采购合同融资平台”查询联系。</w:t>
      </w:r>
    </w:p>
    <w:p w14:paraId="553DDA0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8D31062">
      <w:pPr>
        <w:rPr>
          <w:rFonts w:hint="eastAsia" w:ascii="宋体" w:hAnsi="宋体" w:eastAsia="宋体" w:cs="宋体"/>
          <w:color w:val="auto"/>
          <w:highlight w:val="none"/>
        </w:rPr>
      </w:pPr>
    </w:p>
    <w:p w14:paraId="44CEC007">
      <w:pPr>
        <w:rPr>
          <w:rFonts w:hint="eastAsia" w:ascii="宋体" w:hAnsi="宋体" w:eastAsia="宋体" w:cs="宋体"/>
          <w:color w:val="auto"/>
          <w:highlight w:val="none"/>
        </w:rPr>
      </w:pPr>
    </w:p>
    <w:p w14:paraId="5AE0D261">
      <w:pPr>
        <w:rPr>
          <w:rFonts w:hint="eastAsia" w:ascii="宋体" w:hAnsi="宋体" w:eastAsia="宋体" w:cs="宋体"/>
          <w:color w:val="auto"/>
          <w:highlight w:val="none"/>
        </w:rPr>
      </w:pPr>
    </w:p>
    <w:p w14:paraId="61581CF8">
      <w:pPr>
        <w:rPr>
          <w:rFonts w:hint="eastAsia" w:ascii="宋体" w:hAnsi="宋体" w:eastAsia="宋体" w:cs="宋体"/>
          <w:color w:val="auto"/>
          <w:highlight w:val="none"/>
        </w:rPr>
      </w:pPr>
    </w:p>
    <w:p w14:paraId="49F30349">
      <w:pPr>
        <w:rPr>
          <w:rFonts w:hint="eastAsia" w:ascii="宋体" w:hAnsi="宋体" w:eastAsia="宋体" w:cs="宋体"/>
          <w:color w:val="auto"/>
          <w:highlight w:val="none"/>
        </w:rPr>
      </w:pPr>
    </w:p>
    <w:p w14:paraId="15CA8D1A">
      <w:pPr>
        <w:rPr>
          <w:rFonts w:hint="eastAsia" w:ascii="宋体" w:hAnsi="宋体" w:eastAsia="宋体" w:cs="宋体"/>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50E0A">
    <w:pPr>
      <w:pStyle w:val="15"/>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a:effectLst/>
                    </wps:spPr>
                    <wps:txbx>
                      <w:txbxContent>
                        <w:p w14:paraId="578122F1">
                          <w:pPr>
                            <w:pStyle w:val="15"/>
                            <w:rPr>
                              <w:rStyle w:val="28"/>
                              <w:rFonts w:hint="eastAsia"/>
                            </w:rPr>
                          </w:pPr>
                          <w:r>
                            <w:fldChar w:fldCharType="begin"/>
                          </w:r>
                          <w:r>
                            <w:rPr>
                              <w:rStyle w:val="28"/>
                            </w:rPr>
                            <w:instrText xml:space="preserve">PAGE   \* MERGEFORMAT</w:instrText>
                          </w:r>
                          <w:r>
                            <w:fldChar w:fldCharType="separate"/>
                          </w:r>
                          <w:r>
                            <w:rPr>
                              <w:rStyle w:val="28"/>
                              <w:lang w:val="zh-CN"/>
                            </w:rPr>
                            <w:t>64</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XX2lvUAAAAAwEAAA8AAAAAAAAAAQAgAAAAIgAAAGRycy9kb3ducmV2LnhtbFBLAQIU&#10;ABQAAAAIAIdO4kCGGtyGvgEAAH8DAAAOAAAAAAAAAAEAIAAAACMBAABkcnMvZTJvRG9jLnhtbFBL&#10;BQYAAAAABgAGAFkBAABTBQAAAAA=&#10;">
              <v:fill on="f" focussize="0,0"/>
              <v:stroke on="f"/>
              <v:imagedata o:title=""/>
              <o:lock v:ext="edit" aspectratio="f"/>
              <v:textbox inset="0mm,0mm,0mm,0mm">
                <w:txbxContent>
                  <w:p w14:paraId="578122F1">
                    <w:pPr>
                      <w:pStyle w:val="15"/>
                      <w:rPr>
                        <w:rStyle w:val="28"/>
                        <w:rFonts w:hint="eastAsia"/>
                      </w:rPr>
                    </w:pPr>
                    <w:r>
                      <w:fldChar w:fldCharType="begin"/>
                    </w:r>
                    <w:r>
                      <w:rPr>
                        <w:rStyle w:val="28"/>
                      </w:rPr>
                      <w:instrText xml:space="preserve">PAGE   \* MERGEFORMAT</w:instrText>
                    </w:r>
                    <w:r>
                      <w:fldChar w:fldCharType="separate"/>
                    </w:r>
                    <w:r>
                      <w:rPr>
                        <w:rStyle w:val="28"/>
                        <w:lang w:val="zh-CN"/>
                      </w:rPr>
                      <w:t>64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E8A43CC"/>
    <w:multiLevelType w:val="singleLevel"/>
    <w:tmpl w:val="0E8A43CC"/>
    <w:lvl w:ilvl="0" w:tentative="0">
      <w:start w:val="1"/>
      <w:numFmt w:val="chineseCounting"/>
      <w:suff w:val="space"/>
      <w:lvlText w:val="第%1章"/>
      <w:lvlJc w:val="left"/>
      <w:rPr>
        <w:rFonts w:hint="eastAsia"/>
      </w:rPr>
    </w:lvl>
  </w:abstractNum>
  <w:abstractNum w:abstractNumId="3">
    <w:nsid w:val="6058BAAF"/>
    <w:multiLevelType w:val="singleLevel"/>
    <w:tmpl w:val="6058BAAF"/>
    <w:lvl w:ilvl="0" w:tentative="0">
      <w:start w:val="1"/>
      <w:numFmt w:val="decimal"/>
      <w:suff w:val="nothing"/>
      <w:lvlText w:val="%1、"/>
      <w:lvlJc w:val="left"/>
    </w:lvl>
  </w:abstractNum>
  <w:abstractNum w:abstractNumId="4">
    <w:nsid w:val="6CEB58D3"/>
    <w:multiLevelType w:val="singleLevel"/>
    <w:tmpl w:val="6CEB58D3"/>
    <w:lvl w:ilvl="0" w:tentative="0">
      <w:start w:val="1"/>
      <w:numFmt w:val="decimal"/>
      <w:suff w:val="nothing"/>
      <w:lvlText w:val="%1、"/>
      <w:lvlJc w:val="left"/>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68101E"/>
    <w:rsid w:val="00847DE1"/>
    <w:rsid w:val="02C2228F"/>
    <w:rsid w:val="02FC3273"/>
    <w:rsid w:val="04245B63"/>
    <w:rsid w:val="048275B9"/>
    <w:rsid w:val="05957D83"/>
    <w:rsid w:val="06B238FA"/>
    <w:rsid w:val="07866B35"/>
    <w:rsid w:val="096E6A79"/>
    <w:rsid w:val="0B1A1A6E"/>
    <w:rsid w:val="0C871385"/>
    <w:rsid w:val="0D1436BE"/>
    <w:rsid w:val="0D3A01A5"/>
    <w:rsid w:val="0D7870E7"/>
    <w:rsid w:val="0DE16873"/>
    <w:rsid w:val="108721EF"/>
    <w:rsid w:val="11537B7A"/>
    <w:rsid w:val="14270D58"/>
    <w:rsid w:val="144841FE"/>
    <w:rsid w:val="14537D9F"/>
    <w:rsid w:val="1457163D"/>
    <w:rsid w:val="152F4368"/>
    <w:rsid w:val="156D6C3E"/>
    <w:rsid w:val="15C03212"/>
    <w:rsid w:val="172872C1"/>
    <w:rsid w:val="174D2927"/>
    <w:rsid w:val="183D6D9C"/>
    <w:rsid w:val="19DE1D9F"/>
    <w:rsid w:val="1CAC44F0"/>
    <w:rsid w:val="1CB73E91"/>
    <w:rsid w:val="1D1722B1"/>
    <w:rsid w:val="1E4A0464"/>
    <w:rsid w:val="1E4E542F"/>
    <w:rsid w:val="1EB118BA"/>
    <w:rsid w:val="1EB3600A"/>
    <w:rsid w:val="1F9E45C4"/>
    <w:rsid w:val="20231FB8"/>
    <w:rsid w:val="20947775"/>
    <w:rsid w:val="263F4307"/>
    <w:rsid w:val="267C6B80"/>
    <w:rsid w:val="289742A6"/>
    <w:rsid w:val="28ED036A"/>
    <w:rsid w:val="297E0FC2"/>
    <w:rsid w:val="2CCF3D47"/>
    <w:rsid w:val="2F4607D4"/>
    <w:rsid w:val="2F884949"/>
    <w:rsid w:val="32FE2E9B"/>
    <w:rsid w:val="342804A8"/>
    <w:rsid w:val="36E25286"/>
    <w:rsid w:val="373C38AE"/>
    <w:rsid w:val="38431D54"/>
    <w:rsid w:val="38B221E7"/>
    <w:rsid w:val="38F92413"/>
    <w:rsid w:val="3A777A93"/>
    <w:rsid w:val="3CBF319F"/>
    <w:rsid w:val="3E895FE7"/>
    <w:rsid w:val="40860A30"/>
    <w:rsid w:val="4113351A"/>
    <w:rsid w:val="42DC0DDB"/>
    <w:rsid w:val="43202776"/>
    <w:rsid w:val="455949F6"/>
    <w:rsid w:val="45961498"/>
    <w:rsid w:val="45BF1A1E"/>
    <w:rsid w:val="46AA2F9F"/>
    <w:rsid w:val="46D149CF"/>
    <w:rsid w:val="46F04E55"/>
    <w:rsid w:val="4768743B"/>
    <w:rsid w:val="476B4E24"/>
    <w:rsid w:val="480F1C53"/>
    <w:rsid w:val="4860600B"/>
    <w:rsid w:val="48650046"/>
    <w:rsid w:val="48AC3CC6"/>
    <w:rsid w:val="4BCD39B7"/>
    <w:rsid w:val="4E1B3100"/>
    <w:rsid w:val="4E1E674C"/>
    <w:rsid w:val="4F734876"/>
    <w:rsid w:val="4FF5172F"/>
    <w:rsid w:val="514E10F6"/>
    <w:rsid w:val="51595CED"/>
    <w:rsid w:val="51B51175"/>
    <w:rsid w:val="52065E75"/>
    <w:rsid w:val="525D171E"/>
    <w:rsid w:val="540C7686"/>
    <w:rsid w:val="541D1254"/>
    <w:rsid w:val="54F44B72"/>
    <w:rsid w:val="55833339"/>
    <w:rsid w:val="5A93401E"/>
    <w:rsid w:val="5AB20D5A"/>
    <w:rsid w:val="5AD02445"/>
    <w:rsid w:val="5AFB7D2F"/>
    <w:rsid w:val="5BD827B1"/>
    <w:rsid w:val="5BEE2DDF"/>
    <w:rsid w:val="5EF808F3"/>
    <w:rsid w:val="611A28FF"/>
    <w:rsid w:val="61B054B5"/>
    <w:rsid w:val="635B4BC0"/>
    <w:rsid w:val="638B442C"/>
    <w:rsid w:val="63C862CF"/>
    <w:rsid w:val="63F02F93"/>
    <w:rsid w:val="64A70DF2"/>
    <w:rsid w:val="653D52B2"/>
    <w:rsid w:val="65B31A18"/>
    <w:rsid w:val="65C4189C"/>
    <w:rsid w:val="66D63C10"/>
    <w:rsid w:val="68ED60A8"/>
    <w:rsid w:val="68FA352D"/>
    <w:rsid w:val="6968101E"/>
    <w:rsid w:val="6AF02DC7"/>
    <w:rsid w:val="6B2807B2"/>
    <w:rsid w:val="6C2762EE"/>
    <w:rsid w:val="6CB00DC2"/>
    <w:rsid w:val="6D026E61"/>
    <w:rsid w:val="6D855A48"/>
    <w:rsid w:val="6DAE3978"/>
    <w:rsid w:val="6DB249C7"/>
    <w:rsid w:val="6F5A2F04"/>
    <w:rsid w:val="6FAC411D"/>
    <w:rsid w:val="73AF321E"/>
    <w:rsid w:val="73F27BAF"/>
    <w:rsid w:val="750A2CD7"/>
    <w:rsid w:val="755F2F16"/>
    <w:rsid w:val="76051268"/>
    <w:rsid w:val="767B7C07"/>
    <w:rsid w:val="7845369F"/>
    <w:rsid w:val="78757A9E"/>
    <w:rsid w:val="79F77CCE"/>
    <w:rsid w:val="7A3525A4"/>
    <w:rsid w:val="7B0727A6"/>
    <w:rsid w:val="7CCB7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30"/>
      <w:szCs w:val="44"/>
    </w:rPr>
  </w:style>
  <w:style w:type="paragraph" w:styleId="4">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5">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Arial"/>
      <w:sz w:val="28"/>
    </w:rPr>
  </w:style>
  <w:style w:type="paragraph" w:styleId="6">
    <w:name w:val="Normal Indent"/>
    <w:basedOn w:val="1"/>
    <w:qFormat/>
    <w:uiPriority w:val="0"/>
    <w:pPr>
      <w:ind w:firstLine="420"/>
    </w:pPr>
    <w:rPr>
      <w:rFonts w:ascii="Calibri" w:hAnsi="Calibri"/>
      <w:color w:val="000000"/>
      <w:szCs w:val="22"/>
    </w:rPr>
  </w:style>
  <w:style w:type="paragraph" w:styleId="7">
    <w:name w:val="annotation text"/>
    <w:basedOn w:val="1"/>
    <w:qFormat/>
    <w:uiPriority w:val="0"/>
    <w:pPr>
      <w:jc w:val="left"/>
    </w:pPr>
  </w:style>
  <w:style w:type="paragraph" w:styleId="8">
    <w:name w:val="Body Text 3"/>
    <w:basedOn w:val="1"/>
    <w:qFormat/>
    <w:uiPriority w:val="0"/>
    <w:rPr>
      <w:rFonts w:ascii="黑体" w:hAnsi="Arial" w:eastAsia="黑体"/>
      <w:b/>
      <w:sz w:val="28"/>
    </w:rPr>
  </w:style>
  <w:style w:type="paragraph" w:styleId="9">
    <w:name w:val="Body Text Indent"/>
    <w:basedOn w:val="1"/>
    <w:next w:val="10"/>
    <w:qFormat/>
    <w:uiPriority w:val="0"/>
    <w:pPr>
      <w:ind w:firstLine="645"/>
    </w:pPr>
    <w:rPr>
      <w:rFonts w:ascii="楷体_GB2312" w:eastAsia="楷体_GB2312"/>
      <w:sz w:val="32"/>
    </w:rPr>
  </w:style>
  <w:style w:type="paragraph" w:styleId="10">
    <w:name w:val="envelope return"/>
    <w:basedOn w:val="1"/>
    <w:qFormat/>
    <w:uiPriority w:val="0"/>
    <w:pPr>
      <w:snapToGrid w:val="0"/>
    </w:pPr>
    <w:rPr>
      <w:rFonts w:ascii="Arial" w:hAnsi="Arial"/>
    </w:rPr>
  </w:style>
  <w:style w:type="paragraph" w:styleId="11">
    <w:name w:val="List 2"/>
    <w:basedOn w:val="1"/>
    <w:qFormat/>
    <w:uiPriority w:val="0"/>
    <w:pPr>
      <w:ind w:left="400" w:leftChars="200" w:hanging="200" w:hangingChars="200"/>
    </w:pPr>
    <w:rPr>
      <w:rFonts w:cs="Droid Sans"/>
      <w:sz w:val="18"/>
    </w:rPr>
  </w:style>
  <w:style w:type="paragraph" w:styleId="12">
    <w:name w:val="Plain Text"/>
    <w:basedOn w:val="1"/>
    <w:qFormat/>
    <w:uiPriority w:val="0"/>
    <w:rPr>
      <w:rFonts w:ascii="宋体" w:hAnsi="Courier New"/>
    </w:rPr>
  </w:style>
  <w:style w:type="paragraph" w:styleId="13">
    <w:name w:val="Date"/>
    <w:basedOn w:val="1"/>
    <w:next w:val="1"/>
    <w:qFormat/>
    <w:uiPriority w:val="0"/>
    <w:rPr>
      <w:b/>
      <w:sz w:val="28"/>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footnote text"/>
    <w:basedOn w:val="1"/>
    <w:qFormat/>
    <w:uiPriority w:val="99"/>
    <w:pPr>
      <w:snapToGrid w:val="0"/>
      <w:jc w:val="left"/>
    </w:pPr>
    <w:rPr>
      <w:sz w:val="18"/>
      <w:szCs w:val="18"/>
    </w:rPr>
  </w:style>
  <w:style w:type="paragraph" w:styleId="18">
    <w:name w:val="toc 2"/>
    <w:basedOn w:val="1"/>
    <w:next w:val="1"/>
    <w:qFormat/>
    <w:uiPriority w:val="39"/>
    <w:pPr>
      <w:ind w:left="210"/>
      <w:jc w:val="left"/>
    </w:pPr>
    <w:rPr>
      <w:smallCaps/>
      <w:sz w:val="28"/>
      <w:szCs w:val="24"/>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paragraph" w:styleId="21">
    <w:name w:val="Title"/>
    <w:basedOn w:val="1"/>
    <w:qFormat/>
    <w:uiPriority w:val="0"/>
    <w:pPr>
      <w:spacing w:before="120" w:after="120" w:line="360" w:lineRule="auto"/>
      <w:jc w:val="center"/>
    </w:pPr>
    <w:rPr>
      <w:rFonts w:ascii="宋体" w:hAnsi="宋体"/>
      <w:bCs/>
      <w:sz w:val="32"/>
      <w:szCs w:val="20"/>
    </w:rPr>
  </w:style>
  <w:style w:type="paragraph" w:styleId="22">
    <w:name w:val="Body Text First Indent"/>
    <w:basedOn w:val="2"/>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3">
    <w:name w:val="Body Text First Indent 2"/>
    <w:basedOn w:val="9"/>
    <w:next w:val="1"/>
    <w:qFormat/>
    <w:uiPriority w:val="0"/>
    <w:pPr>
      <w:spacing w:after="120"/>
      <w:ind w:left="420" w:firstLine="210"/>
    </w:pPr>
    <w:rPr>
      <w:rFonts w:ascii="Times New Roman"/>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qFormat/>
    <w:uiPriority w:val="0"/>
  </w:style>
  <w:style w:type="paragraph" w:customStyle="1" w:styleId="29">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BodyText1I"/>
    <w:basedOn w:val="31"/>
    <w:qFormat/>
    <w:uiPriority w:val="99"/>
    <w:pPr>
      <w:spacing w:after="120"/>
      <w:ind w:firstLine="420" w:firstLineChars="100"/>
    </w:pPr>
  </w:style>
  <w:style w:type="paragraph" w:customStyle="1" w:styleId="31">
    <w:name w:val="BodyText"/>
    <w:basedOn w:val="1"/>
    <w:qFormat/>
    <w:uiPriority w:val="99"/>
    <w:pPr>
      <w:spacing w:after="120"/>
    </w:pPr>
  </w:style>
  <w:style w:type="paragraph" w:customStyle="1" w:styleId="32">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3">
    <w:name w:val="Body Text First Indent 21"/>
    <w:basedOn w:val="34"/>
    <w:qFormat/>
    <w:uiPriority w:val="0"/>
    <w:pPr>
      <w:spacing w:after="0" w:afterLines="0" w:line="500" w:lineRule="exact"/>
      <w:ind w:left="0" w:leftChars="0" w:firstLine="420" w:firstLineChars="200"/>
    </w:pPr>
    <w:rPr>
      <w:rFonts w:ascii="Times New Roman" w:hAnsi="Times New Roman" w:eastAsia="宋体" w:cs="Times New Roman"/>
      <w:szCs w:val="20"/>
    </w:rPr>
  </w:style>
  <w:style w:type="paragraph" w:customStyle="1" w:styleId="34">
    <w:name w:val="Body Text Indent1"/>
    <w:basedOn w:val="1"/>
    <w:qFormat/>
    <w:uiPriority w:val="0"/>
    <w:pPr>
      <w:ind w:firstLine="560" w:firstLineChars="200"/>
    </w:pPr>
    <w:rPr>
      <w:rFonts w:ascii="Calibri" w:hAnsi="Calibri" w:eastAsia="宋体" w:cs="Times New Roman"/>
      <w:sz w:val="28"/>
      <w:szCs w:val="24"/>
    </w:rPr>
  </w:style>
  <w:style w:type="paragraph" w:customStyle="1" w:styleId="35">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styleId="36">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37">
    <w:name w:val="正文1"/>
    <w:basedOn w:val="1"/>
    <w:qFormat/>
    <w:uiPriority w:val="0"/>
    <w:pPr>
      <w:widowControl/>
      <w:topLinePunct/>
      <w:spacing w:before="156" w:beforeLines="50" w:after="156" w:afterLines="50" w:line="300" w:lineRule="auto"/>
      <w:ind w:left="420"/>
    </w:pPr>
    <w:rPr>
      <w:szCs w:val="24"/>
    </w:rPr>
  </w:style>
  <w:style w:type="paragraph" w:customStyle="1" w:styleId="38">
    <w:name w:val="Char Char Char Char Char Char Char1 Char"/>
    <w:basedOn w:val="1"/>
    <w:qFormat/>
    <w:uiPriority w:val="0"/>
    <w:rPr>
      <w:rFonts w:ascii="Tahoma" w:hAnsi="Tahoma"/>
      <w:sz w:val="24"/>
    </w:rPr>
  </w:style>
  <w:style w:type="paragraph" w:customStyle="1" w:styleId="39">
    <w:name w:val="xl31"/>
    <w:basedOn w:val="1"/>
    <w:qFormat/>
    <w:uiPriority w:val="0"/>
    <w:pPr>
      <w:widowControl/>
      <w:spacing w:before="100" w:beforeAutospacing="1" w:after="100" w:afterAutospacing="1"/>
      <w:jc w:val="center"/>
    </w:pPr>
    <w:rPr>
      <w:rFonts w:ascii="宋体" w:hAnsi="宋体"/>
      <w:b/>
      <w:bCs/>
      <w:kern w:val="0"/>
      <w:sz w:val="28"/>
      <w:szCs w:val="28"/>
    </w:rPr>
  </w:style>
  <w:style w:type="character" w:customStyle="1" w:styleId="40">
    <w:name w:val="font31"/>
    <w:basedOn w:val="26"/>
    <w:qFormat/>
    <w:uiPriority w:val="0"/>
    <w:rPr>
      <w:rFonts w:hint="default" w:ascii="Times New Roman" w:hAnsi="Times New Roman" w:cs="Times New Roman"/>
      <w:color w:val="000000"/>
      <w:sz w:val="22"/>
      <w:szCs w:val="22"/>
      <w:u w:val="none"/>
    </w:rPr>
  </w:style>
  <w:style w:type="character" w:customStyle="1" w:styleId="41">
    <w:name w:val="font21"/>
    <w:basedOn w:val="26"/>
    <w:uiPriority w:val="0"/>
    <w:rPr>
      <w:rFonts w:hint="eastAsia" w:ascii="黑体" w:hAnsi="宋体" w:eastAsia="黑体" w:cs="黑体"/>
      <w:color w:val="000000"/>
      <w:sz w:val="24"/>
      <w:szCs w:val="24"/>
      <w:u w:val="none"/>
    </w:rPr>
  </w:style>
  <w:style w:type="character" w:customStyle="1" w:styleId="42">
    <w:name w:val="font11"/>
    <w:basedOn w:val="26"/>
    <w:qFormat/>
    <w:uiPriority w:val="0"/>
    <w:rPr>
      <w:rFonts w:hint="eastAsia" w:ascii="宋体" w:hAnsi="宋体" w:eastAsia="宋体" w:cs="宋体"/>
      <w:color w:val="000000"/>
      <w:sz w:val="24"/>
      <w:szCs w:val="24"/>
      <w:u w:val="none"/>
    </w:rPr>
  </w:style>
  <w:style w:type="character" w:customStyle="1" w:styleId="43">
    <w:name w:val="font61"/>
    <w:basedOn w:val="26"/>
    <w:uiPriority w:val="0"/>
    <w:rPr>
      <w:rFonts w:hint="default" w:ascii="Times New Roman" w:hAnsi="Times New Roman" w:cs="Times New Roman"/>
      <w:color w:val="000000"/>
      <w:sz w:val="24"/>
      <w:szCs w:val="24"/>
      <w:u w:val="none"/>
    </w:rPr>
  </w:style>
  <w:style w:type="character" w:customStyle="1" w:styleId="44">
    <w:name w:val="font71"/>
    <w:basedOn w:val="26"/>
    <w:uiPriority w:val="0"/>
    <w:rPr>
      <w:rFonts w:hint="eastAsia" w:ascii="宋体" w:hAnsi="宋体" w:eastAsia="宋体" w:cs="宋体"/>
      <w:color w:val="000000"/>
      <w:sz w:val="24"/>
      <w:szCs w:val="24"/>
      <w:u w:val="none"/>
      <w:vertAlign w:val="superscript"/>
    </w:rPr>
  </w:style>
  <w:style w:type="character" w:customStyle="1" w:styleId="45">
    <w:name w:val="font41"/>
    <w:basedOn w:val="26"/>
    <w:qFormat/>
    <w:uiPriority w:val="0"/>
    <w:rPr>
      <w:rFonts w:hint="eastAsia" w:ascii="宋体" w:hAnsi="宋体" w:eastAsia="宋体" w:cs="宋体"/>
      <w:color w:val="FF0000"/>
      <w:sz w:val="24"/>
      <w:szCs w:val="24"/>
      <w:u w:val="none"/>
    </w:rPr>
  </w:style>
  <w:style w:type="character" w:customStyle="1" w:styleId="46">
    <w:name w:val="font51"/>
    <w:basedOn w:val="26"/>
    <w:uiPriority w:val="0"/>
    <w:rPr>
      <w:rFonts w:hint="eastAsia" w:ascii="宋体" w:hAnsi="宋体" w:eastAsia="宋体" w:cs="宋体"/>
      <w:color w:val="000000"/>
      <w:sz w:val="24"/>
      <w:szCs w:val="24"/>
      <w:u w:val="none"/>
    </w:rPr>
  </w:style>
  <w:style w:type="paragraph" w:customStyle="1" w:styleId="47">
    <w:name w:val="首行缩进"/>
    <w:basedOn w:val="1"/>
    <w:qFormat/>
    <w:uiPriority w:val="0"/>
    <w:pPr>
      <w:spacing w:line="360" w:lineRule="auto"/>
      <w:ind w:firstLine="420" w:firstLineChars="200"/>
    </w:pPr>
    <w:rPr>
      <w:rFonts w:ascii="宋体" w:hAnsi="宋体"/>
      <w:szCs w:val="24"/>
    </w:rPr>
  </w:style>
  <w:style w:type="paragraph" w:customStyle="1" w:styleId="48">
    <w:name w:val="正文文本缩进 21"/>
    <w:basedOn w:val="1"/>
    <w:qFormat/>
    <w:uiPriority w:val="0"/>
    <w:pPr>
      <w:snapToGrid w:val="0"/>
      <w:spacing w:line="440" w:lineRule="atLeast"/>
      <w:ind w:firstLine="570"/>
    </w:pPr>
    <w:rPr>
      <w:rFonts w:ascii="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126</Pages>
  <Words>8353</Words>
  <Characters>9616</Characters>
  <Lines>0</Lines>
  <Paragraphs>0</Paragraphs>
  <TotalTime>4</TotalTime>
  <ScaleCrop>false</ScaleCrop>
  <LinksUpToDate>false</LinksUpToDate>
  <CharactersWithSpaces>10014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2026-04-01T03:43:00Z</dcterms:created>
  <dc:creator>Administrator</dc:creator>
  <cp:lastModifiedBy>user</cp:lastModifiedBy>
  <dcterms:modified xsi:type="dcterms:W3CDTF">2026-04-24T07:27:51Z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0C175CD65FCA4C2EA453700BA153A1A6_13</vt:lpwstr>
  </property>
  <property fmtid="{D5CDD505-2E9C-101B-9397-08002B2CF9AE}" pid="4" name="KSOTemplateDocerSaveRecord">
    <vt:lpwstr>eyJoZGlkIjoiNTQ3MGY4OWEwYWQ5MGRhOTEyZDdjODBiNTM4ZTJjNzciLCJ1c2VySWQiOiIxMDg5MjYwMDExIn0=</vt:lpwstr>
  </property>
</Properties>
</file>