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3D3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一、采购标的 </w:t>
      </w:r>
    </w:p>
    <w:p w14:paraId="311F3F7D">
      <w:pPr>
        <w:pStyle w:val="6"/>
        <w:pageBreakBefore w:val="0"/>
        <w:kinsoku/>
        <w:overflowPunct/>
        <w:bidi w:val="0"/>
        <w:spacing w:line="360" w:lineRule="auto"/>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河南中医药大学第一附属医院高端分子诊断检测技术平台设备采购项目，主要采购内容为2套中高端实时荧光定量PCR仪、1套二代基因测序仪、1套一代基因测序仪、1套四极杆质谱仪、1套超高速离心机、1套流式细胞检测仪，包含不仅限于设备的供货、运输、保险、装卸、搬运、安装、检测、调试、试运行、验收交付、培训、技术支持、软件升级、售后保修及相关配套服务等，具体内容详见河南省政府采购网附件。</w:t>
      </w:r>
    </w:p>
    <w:p w14:paraId="631F50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二、商务要求 </w:t>
      </w:r>
    </w:p>
    <w:p w14:paraId="004F1B8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交货期：</w:t>
      </w:r>
      <w:r>
        <w:rPr>
          <w:rFonts w:hint="eastAsia" w:ascii="宋体" w:hAnsi="宋体" w:eastAsia="宋体" w:cs="宋体"/>
          <w:color w:val="auto"/>
          <w:sz w:val="21"/>
          <w:szCs w:val="21"/>
          <w:highlight w:val="none"/>
          <w:lang w:eastAsia="zh-CN"/>
        </w:rPr>
        <w:t>合同签订后，接到甲方送货书面通知后</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0个日历天</w:t>
      </w:r>
      <w:r>
        <w:rPr>
          <w:rFonts w:hint="eastAsia" w:cs="宋体"/>
          <w:color w:val="auto"/>
          <w:sz w:val="21"/>
          <w:szCs w:val="21"/>
          <w:highlight w:val="none"/>
          <w:lang w:val="en-US" w:eastAsia="zh-CN"/>
        </w:rPr>
        <w:t>内</w:t>
      </w:r>
      <w:r>
        <w:rPr>
          <w:rFonts w:hint="eastAsia" w:ascii="宋体" w:hAnsi="宋体" w:eastAsia="宋体" w:cs="宋体"/>
          <w:color w:val="auto"/>
          <w:sz w:val="21"/>
          <w:szCs w:val="21"/>
          <w:highlight w:val="none"/>
          <w:lang w:eastAsia="zh-CN"/>
        </w:rPr>
        <w:t>送达并安装完毕</w:t>
      </w:r>
      <w:r>
        <w:rPr>
          <w:rFonts w:hint="eastAsia" w:ascii="宋体" w:hAnsi="宋体" w:eastAsia="宋体" w:cs="宋体"/>
          <w:color w:val="auto"/>
          <w:sz w:val="21"/>
          <w:szCs w:val="21"/>
          <w:highlight w:val="none"/>
          <w:lang w:val="en-US" w:eastAsia="zh-CN"/>
        </w:rPr>
        <w:t>。</w:t>
      </w:r>
    </w:p>
    <w:p w14:paraId="68E80BC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合格，符合国家、行业现行规范</w:t>
      </w:r>
      <w:r>
        <w:rPr>
          <w:rFonts w:hint="eastAsia" w:cs="宋体"/>
          <w:color w:val="auto"/>
          <w:sz w:val="21"/>
          <w:szCs w:val="21"/>
          <w:highlight w:val="none"/>
          <w:lang w:val="en-US" w:eastAsia="zh-CN"/>
        </w:rPr>
        <w:t>，满足采购人需求</w:t>
      </w:r>
      <w:r>
        <w:rPr>
          <w:rFonts w:hint="eastAsia" w:ascii="宋体" w:hAnsi="宋体" w:eastAsia="宋体" w:cs="宋体"/>
          <w:color w:val="auto"/>
          <w:sz w:val="21"/>
          <w:szCs w:val="21"/>
          <w:highlight w:val="none"/>
        </w:rPr>
        <w:t>。</w:t>
      </w:r>
    </w:p>
    <w:p w14:paraId="73B6D07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val="en-US" w:eastAsia="zh-CN"/>
        </w:rPr>
        <w:t>自安装验收合格之日起原厂整机质保</w:t>
      </w:r>
      <w:r>
        <w:rPr>
          <w:rFonts w:hint="eastAsia" w:cs="宋体"/>
          <w:color w:val="auto"/>
          <w:sz w:val="21"/>
          <w:szCs w:val="21"/>
          <w:highlight w:val="none"/>
          <w:lang w:val="en-US" w:eastAsia="zh-CN"/>
        </w:rPr>
        <w:t>不少于3年</w:t>
      </w:r>
      <w:r>
        <w:rPr>
          <w:rFonts w:hint="eastAsia" w:ascii="宋体" w:hAnsi="宋体" w:eastAsia="宋体" w:cs="宋体"/>
          <w:color w:val="auto"/>
          <w:sz w:val="21"/>
          <w:szCs w:val="21"/>
          <w:highlight w:val="none"/>
          <w:lang w:val="en-US" w:eastAsia="zh-CN"/>
        </w:rPr>
        <w:t>。</w:t>
      </w:r>
    </w:p>
    <w:p w14:paraId="7F454F61">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交货地点：采购人指定地点。</w:t>
      </w:r>
    </w:p>
    <w:p w14:paraId="134300B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highlight w:val="none"/>
        </w:rPr>
      </w:pPr>
      <w:r>
        <w:rPr>
          <w:rFonts w:hint="eastAsia"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付款条件（进度和方式）</w:t>
      </w:r>
    </w:p>
    <w:p w14:paraId="692959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付款条件：合同签订后乙方先向甲方提供合同金额50%的预付款银行保函（见索即付，不可撤销）并开具合同金额50%发票，甲方向乙方支付合同总金额50%的预付款；设备到货并安装调试完成，甲方向乙方退回预付款保函，经甲方验收合格并实际交付使用后</w:t>
      </w:r>
      <w:r>
        <w:rPr>
          <w:rFonts w:hint="eastAsia" w:cs="宋体"/>
          <w:b w:val="0"/>
          <w:bCs w:val="0"/>
          <w:color w:val="auto"/>
          <w:sz w:val="21"/>
          <w:szCs w:val="21"/>
          <w:highlight w:val="none"/>
          <w:lang w:val="en-US" w:eastAsia="zh-CN"/>
        </w:rPr>
        <w:t>10个</w:t>
      </w:r>
      <w:r>
        <w:rPr>
          <w:rFonts w:hint="eastAsia" w:ascii="宋体" w:hAnsi="宋体" w:eastAsia="宋体" w:cs="宋体"/>
          <w:b w:val="0"/>
          <w:bCs w:val="0"/>
          <w:color w:val="auto"/>
          <w:sz w:val="21"/>
          <w:szCs w:val="21"/>
          <w:highlight w:val="none"/>
          <w:lang w:val="en-US" w:eastAsia="zh-CN"/>
        </w:rPr>
        <w:t>工作日，乙方提供剩余合同金额的发票，甲方向乙方支付剩余合同款项。若乙方未及时开具发票并提供给甲方，甲方有权不予支付相应款项且不承担逾期付款的违约责任。</w:t>
      </w:r>
    </w:p>
    <w:p w14:paraId="0270C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支付方式：银行转账</w:t>
      </w:r>
    </w:p>
    <w:p w14:paraId="25852A8D">
      <w:pPr>
        <w:pageBreakBefore w:val="0"/>
        <w:kinsoku/>
        <w:overflowPunct/>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乙方出具国家税务机关的正式发票，甲方以人民币转账汇款方式向乙方账户支付合同价款。</w:t>
      </w:r>
    </w:p>
    <w:p w14:paraId="72C6DDCE">
      <w:pPr>
        <w:pageBreakBefore w:val="0"/>
        <w:kinsoku/>
        <w:overflowPunct/>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三.其他要求：</w:t>
      </w:r>
    </w:p>
    <w:p w14:paraId="3637E509">
      <w:pPr>
        <w:pageBreakBefore w:val="0"/>
        <w:kinsoku/>
        <w:overflowPunct/>
        <w:bidi w:val="0"/>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lang w:val="en-US" w:eastAsia="zh-CN"/>
        </w:rPr>
        <w:t>供货、安装及验收要求</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供应商需提供完整的供货、安装及验收方案，明确各环节流程、责任及标准，确保设备顺利交付、规范安装并通过验收</w:t>
      </w:r>
      <w:r>
        <w:rPr>
          <w:rFonts w:hint="eastAsia" w:ascii="宋体" w:hAnsi="宋体" w:eastAsia="宋体" w:cs="宋体"/>
          <w:b w:val="0"/>
          <w:bCs w:val="0"/>
          <w:color w:val="auto"/>
          <w:sz w:val="21"/>
          <w:szCs w:val="21"/>
          <w:highlight w:val="none"/>
          <w:lang w:val="en-US" w:eastAsia="zh-CN"/>
        </w:rPr>
        <w:t>。</w:t>
      </w:r>
    </w:p>
    <w:p w14:paraId="0D93D13A">
      <w:pPr>
        <w:pageBreakBefore w:val="0"/>
        <w:kinsoku/>
        <w:overflowPunct/>
        <w:bidi w:val="0"/>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培训与技术支持要求</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为确保采购方相关人员能够熟练操作、维护设备，供应商需提供全面的培训服务及持续的技术支持</w:t>
      </w:r>
      <w:r>
        <w:rPr>
          <w:rFonts w:hint="eastAsia" w:ascii="宋体" w:hAnsi="宋体" w:eastAsia="宋体" w:cs="宋体"/>
          <w:b w:val="0"/>
          <w:bCs w:val="0"/>
          <w:color w:val="auto"/>
          <w:sz w:val="21"/>
          <w:szCs w:val="21"/>
          <w:highlight w:val="none"/>
          <w:lang w:val="en-US" w:eastAsia="zh-CN"/>
        </w:rPr>
        <w:t>。</w:t>
      </w:r>
    </w:p>
    <w:p w14:paraId="52F89E92">
      <w:pPr>
        <w:pageBreakBefore w:val="0"/>
        <w:kinsoku/>
        <w:overflowPunct/>
        <w:bidi w:val="0"/>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备品备件要求</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为保障设备长期稳定运行，及时处理设备故障，供应商需提供充足、合格的备品备件</w:t>
      </w:r>
      <w:r>
        <w:rPr>
          <w:rFonts w:hint="eastAsia" w:ascii="宋体" w:hAnsi="宋体" w:eastAsia="宋体" w:cs="宋体"/>
          <w:b w:val="0"/>
          <w:bCs w:val="0"/>
          <w:color w:val="auto"/>
          <w:sz w:val="21"/>
          <w:szCs w:val="21"/>
          <w:highlight w:val="none"/>
          <w:lang w:val="en-US" w:eastAsia="zh-CN"/>
        </w:rPr>
        <w:t>。</w:t>
      </w:r>
    </w:p>
    <w:p w14:paraId="0016FA6E">
      <w:pPr>
        <w:pageBreakBefore w:val="0"/>
        <w:kinsoku/>
        <w:overflowPunct/>
        <w:bidi w:val="0"/>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服务保障能力要求</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供应商需具备完善的服务保障体系，能够为采购方提供全方位、长期的服务保障，确保设备稳定运行</w:t>
      </w:r>
      <w:r>
        <w:rPr>
          <w:rFonts w:hint="eastAsia" w:ascii="宋体" w:hAnsi="宋体" w:eastAsia="宋体" w:cs="宋体"/>
          <w:b w:val="0"/>
          <w:bCs w:val="0"/>
          <w:color w:val="auto"/>
          <w:sz w:val="21"/>
          <w:szCs w:val="21"/>
          <w:highlight w:val="none"/>
          <w:lang w:val="en-US" w:eastAsia="zh-CN"/>
        </w:rPr>
        <w:t>。</w:t>
      </w:r>
    </w:p>
    <w:p w14:paraId="3AD296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val="en-US" w:eastAsia="zh-CN" w:bidi="ar"/>
        </w:rPr>
        <w:t>、技术</w:t>
      </w:r>
      <w:r>
        <w:rPr>
          <w:rFonts w:hint="eastAsia" w:cs="宋体"/>
          <w:b/>
          <w:bCs/>
          <w:color w:val="auto"/>
          <w:kern w:val="0"/>
          <w:sz w:val="21"/>
          <w:szCs w:val="21"/>
          <w:highlight w:val="none"/>
          <w:lang w:val="en-US" w:eastAsia="zh-CN" w:bidi="ar"/>
        </w:rPr>
        <w:t>参数</w:t>
      </w:r>
      <w:r>
        <w:rPr>
          <w:rFonts w:hint="eastAsia" w:ascii="宋体" w:hAnsi="宋体" w:eastAsia="宋体" w:cs="宋体"/>
          <w:b/>
          <w:bCs/>
          <w:color w:val="auto"/>
          <w:kern w:val="0"/>
          <w:sz w:val="21"/>
          <w:szCs w:val="21"/>
          <w:highlight w:val="none"/>
          <w:lang w:val="en-US" w:eastAsia="zh-CN" w:bidi="ar"/>
        </w:rPr>
        <w:t xml:space="preserve"> </w:t>
      </w:r>
    </w:p>
    <w:p w14:paraId="09B714AA">
      <w:pPr>
        <w:widowControl/>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包1：中高端实时荧光定量PCR仪</w:t>
      </w:r>
    </w:p>
    <w:p w14:paraId="78F28D64">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1.检测技术原理：基于荧光信号实时监测PCR扩增过程，支持染料法与探针法双重检测模式；</w:t>
      </w:r>
    </w:p>
    <w:p w14:paraId="77BD5A42">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2.光学系统配置：检测光通道≥6色，激发波长覆盖450-730nm；</w:t>
      </w:r>
    </w:p>
    <w:p w14:paraId="22CFD915">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3.检测灵敏：可检测单拷贝人基因组DNA，动态检测范围≥10个数量级；</w:t>
      </w:r>
    </w:p>
    <w:p w14:paraId="6880FF64">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4.温控性能：温控精度±0.2℃，孔间均一性±0.3℃（达设定温度10秒内）；</w:t>
      </w:r>
    </w:p>
    <w:p w14:paraId="61A79531">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5.升降温速率：最大升温速率≥4℃/秒；</w:t>
      </w:r>
    </w:p>
    <w:p w14:paraId="197A2353">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6.完全试剂开放，可适配国械注册临床试剂盒；</w:t>
      </w:r>
    </w:p>
    <w:p w14:paraId="6AE9051B">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7.兼容单管、八联管及96孔板（无裙边/半裙边/全裙边）；</w:t>
      </w:r>
    </w:p>
    <w:p w14:paraId="4555CCA6">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8.操作与分析系统：配备中文操作系统，内置数据分析模块（标准曲线定量、ΔCt分析等）；</w:t>
      </w:r>
    </w:p>
    <w:p w14:paraId="3F51B710">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9.数据传输与存储：免费连接LIS端口，支持USB、以太网、WiFi（可选）数据传输，本地存储≥1000组；</w:t>
      </w:r>
    </w:p>
    <w:p w14:paraId="2E4B3ED2">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10.质保与服务：整机质保≥3年，故障响应≤2小时，24小时内现场维修；每年提供1次免费校准；</w:t>
      </w:r>
    </w:p>
    <w:p w14:paraId="33ABF815">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11.图文工作站1套，含i5及以上处理器、≥8G内存，具备打印功能；</w:t>
      </w:r>
    </w:p>
    <w:p w14:paraId="76C0D6AB">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12.提供ups备用电源；</w:t>
      </w:r>
    </w:p>
    <w:p w14:paraId="6E7C7F59">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13.品牌移液器：单道移液器最大量程10μl、50μl、200μl、1000μl各1把，八道移液器最大量程50μl 2把；</w:t>
      </w:r>
    </w:p>
    <w:p w14:paraId="2A01322B">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14.高速离心机1台，最高转速≥15000r/min，配备24×1.5ml角转子；PCR迷你离心机2台，转子优于2×0.2ml八联管；</w:t>
      </w:r>
    </w:p>
    <w:p w14:paraId="16D5B79C">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15.冰箱：医用冷藏箱1台，立式双开门，温度2～8℃可调，容积≥600L；医用低温冰箱2台：立式，温度-10～-25℃可调，容积≥250L。</w:t>
      </w:r>
    </w:p>
    <w:p w14:paraId="62B23318">
      <w:pPr>
        <w:widowControl/>
        <w:adjustRightInd w:val="0"/>
        <w:snapToGrid w:val="0"/>
        <w:spacing w:line="360" w:lineRule="auto"/>
        <w:jc w:val="center"/>
        <w:rPr>
          <w:rFonts w:hint="eastAsia" w:ascii="宋体" w:hAnsi="宋体" w:eastAsia="宋体" w:cs="宋体"/>
          <w:b/>
          <w:bCs/>
          <w:color w:val="auto"/>
          <w:kern w:val="0"/>
          <w:sz w:val="21"/>
          <w:szCs w:val="21"/>
          <w:highlight w:val="none"/>
        </w:rPr>
      </w:pPr>
    </w:p>
    <w:p w14:paraId="12FCB15F">
      <w:pPr>
        <w:widowControl/>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包2：二代基因测序仪</w:t>
      </w:r>
    </w:p>
    <w:p w14:paraId="3737E510">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1.测序技术原理：采用边合成边测序（SBS）技术或基于DNA纳米球（DNA Nanoball,DNB）的测序技术</w:t>
      </w:r>
    </w:p>
    <w:p w14:paraId="29F70F52">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2.测序模式：单端SE50–300bp可调，双端PE50–150bp可调；至少包含SE50、SE75、SE100、PE50、PE75、PE100、PE150其中三种模式 </w:t>
      </w:r>
    </w:p>
    <w:p w14:paraId="70DDD777">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3.数据质量（Q30）：标准文库下，PE100模式Q30≥85%，PE150模式Q30≥85%</w:t>
      </w:r>
    </w:p>
    <w:p w14:paraId="03531802">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4.单次运行数据通量：中高通量模式≥30Gb，支持芯片规格灵活切换</w:t>
      </w:r>
    </w:p>
    <w:p w14:paraId="4891F2C3">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5.重复碱基读取能力：可精确读取≥12个连续单一重复碱基，无明显信号衰减</w:t>
      </w:r>
    </w:p>
    <w:p w14:paraId="3E5E7B28">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6.有效读取数：单次运行≥80M有效Reads（中通量），最高≥160M有效Reads</w:t>
      </w:r>
    </w:p>
    <w:p w14:paraId="5BC91C05">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7.测序速度：中高通量模式，PE150模式单次运行时间≤20小时，快速模式（SE50）≤8小时</w:t>
      </w:r>
    </w:p>
    <w:p w14:paraId="54FF2147">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8.自动化程度：模板扩增、测序、碱基识别全流程自动化</w:t>
      </w:r>
    </w:p>
    <w:p w14:paraId="36177A78">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9.适配试剂盒数量：可适配国械注册临床试剂盒≥4种，覆盖肿瘤靶向、病原宏基因组、遗传病检测方向</w:t>
      </w:r>
    </w:p>
    <w:p w14:paraId="71F40DD2">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10.试剂管理：试剂预分装，带RFID追踪功能</w:t>
      </w:r>
    </w:p>
    <w:p w14:paraId="2D13FD1B">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11.科研应用支持：可开展宏基因组测序、靶向捕获测序、低深度WGS测序</w:t>
      </w:r>
    </w:p>
    <w:p w14:paraId="161D843B">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12.控制与分析系统：图文工作站内存≥32Gb，硬盘≥4Tb，中文操作系统，配置生信计算模块，自动生成报告，支持LIS及HIS系统对接，预装至分析存储一体机</w:t>
      </w:r>
    </w:p>
    <w:p w14:paraId="2111BC6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13.分析存储一体机：2 * 32C CPU/≥16 *32GB RAM/≥ 2*960 GB SSD/100TB RAID6，配备图形输出设备，千兆以太网交换机</w:t>
      </w:r>
    </w:p>
    <w:p w14:paraId="066A0DA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14.质保与服务：整机质保≥3年，故障响应≤2小时，12小时内现场维修；质保期内每年≥2次免费校准，出具符合YY/T0595-2020的校准报告，质保外年维保费用不超过中标价格5%</w:t>
      </w:r>
    </w:p>
    <w:p w14:paraId="78828BAB">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15.样本前处理设备：</w:t>
      </w:r>
    </w:p>
    <w:p w14:paraId="04C0B353">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15.1全自动开盖扫码一体机1台，≥96通量，兼容5mL采血管/唾液管</w:t>
      </w:r>
    </w:p>
    <w:p w14:paraId="2F71A570">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15.2台式高速冷冻离心机1台，≥15,000g，0.2–50mL转子</w:t>
      </w:r>
    </w:p>
    <w:p w14:paraId="3AED959F">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15.3生物安全柜ClassII A2</w:t>
      </w:r>
      <w:r>
        <w:rPr>
          <w:rFonts w:hint="eastAsia" w:ascii="宋体" w:hAnsi="宋体" w:eastAsia="宋体" w:cs="宋体"/>
          <w:color w:val="auto"/>
          <w:kern w:val="0"/>
          <w:sz w:val="21"/>
          <w:szCs w:val="21"/>
          <w:highlight w:val="none"/>
          <w:lang w:val="en-US" w:eastAsia="zh-CN"/>
        </w:rPr>
        <w:t xml:space="preserve"> 2台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超净工作台垂直流（双人单面）1台</w:t>
      </w:r>
    </w:p>
    <w:p w14:paraId="1E8EE87F">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15.4恒温金属浴1台</w:t>
      </w:r>
    </w:p>
    <w:p w14:paraId="510BB7AA">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15.5微量紫外分光光度计1台</w:t>
      </w:r>
    </w:p>
    <w:p w14:paraId="4B1505EA">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15.6全自动核酸提取仪1台</w:t>
      </w:r>
    </w:p>
    <w:p w14:paraId="1F8BE29C">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15.7 8/96通道自动化移液工作站1台，1–200µL CV≤3%</w:t>
      </w:r>
    </w:p>
    <w:p w14:paraId="0266954B">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15.8品牌移液器12把</w:t>
      </w:r>
    </w:p>
    <w:p w14:paraId="028DC7A2">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15.9组织研磨仪（匀浆器，≥24×2mL样品架，可液氮低温研磨）1套</w:t>
      </w:r>
    </w:p>
    <w:p w14:paraId="75EBA6F8">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16文库构建设备：可自动完成NGS文库制备、包括核酸提取纯化、DNA片段长度选择、样品浓度均一化、酶反应体系构建、测序反应体系构建、磁珠纯化、温控反应、文库pooling、PCR/QPCR体系构建、分液配液等</w:t>
      </w:r>
    </w:p>
    <w:p w14:paraId="2F6AFB05">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17.辅助设备：UPS不间断电源、超纯水系统、涡旋振荡器、掌上离心机、金属镊子、冰盒等小型通用耗材。</w:t>
      </w:r>
    </w:p>
    <w:p w14:paraId="0D378A51">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包3：一代基因测序仪</w:t>
      </w:r>
    </w:p>
    <w:p w14:paraId="777EB39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1.分析原理：基于Sanger测序与毛细管电泳技术，支持DNA测序与片段分析（如 STR、SNP、突变检测等）</w:t>
      </w:r>
    </w:p>
    <w:p w14:paraId="6CCFF14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2.样本通道：8通道</w:t>
      </w:r>
    </w:p>
    <w:p w14:paraId="3543896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3.荧光检测：≥6色荧光通道，</w:t>
      </w:r>
      <w:r>
        <w:rPr>
          <w:rFonts w:hint="eastAsia" w:ascii="宋体" w:hAnsi="宋体" w:eastAsia="宋体" w:cs="宋体"/>
          <w:color w:val="auto"/>
          <w:sz w:val="21"/>
          <w:szCs w:val="21"/>
          <w:highlight w:val="none"/>
        </w:rPr>
        <w:t>至少支持505nm、555nm、585nm、610nm、650nm、680nm六波段荧光染料，涵盖常见测序及STR试剂盒（提供6色光谱校准文件）</w:t>
      </w:r>
    </w:p>
    <w:p w14:paraId="2F83734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4.激发光源： </w:t>
      </w:r>
      <w:r>
        <w:rPr>
          <w:rFonts w:hint="eastAsia" w:ascii="宋体" w:hAnsi="宋体" w:eastAsia="宋体" w:cs="宋体"/>
          <w:color w:val="auto"/>
          <w:sz w:val="21"/>
          <w:szCs w:val="21"/>
          <w:highlight w:val="none"/>
        </w:rPr>
        <w:t>激发光源中心波长 500–530 nm，半高宽</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20 nm，单通道功率</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20 mW（激光）或</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100mW（LED），寿命≥10000h，提供波长-功率稳定性报告</w:t>
      </w:r>
    </w:p>
    <w:p w14:paraId="30B15D0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5.检测系统：低温CCD，光栅同步分光，换染料无需换硬件</w:t>
      </w:r>
    </w:p>
    <w:p w14:paraId="2102681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6.毛细管：兼容36cm/50cm，内径≤50μm，自动涂层</w:t>
      </w:r>
    </w:p>
    <w:p w14:paraId="296CD612">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7.进样方式：全自动进样，兼容8联管、96孔板（≥2块）</w:t>
      </w:r>
    </w:p>
    <w:p w14:paraId="3B09F9F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8.温控范围：18–70℃，精度≤±0.2℃</w:t>
      </w:r>
    </w:p>
    <w:p w14:paraId="10FD7AE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9.RFID追溯：支持耗材（毛细管、胶、缓冲液）数据追踪</w:t>
      </w:r>
    </w:p>
    <w:p w14:paraId="52834ED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10.测序质量：单端读长≥800bp，准确率≥99%，双向长度&gt;1400bp</w:t>
      </w:r>
    </w:p>
    <w:p w14:paraId="2D39223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11.检测通量：24小时可完成≥2×96样本测序（96孔板×2）</w:t>
      </w:r>
    </w:p>
    <w:p w14:paraId="2E2AA45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12.开放式检测平台，可兼容国外和国内主流厂商试剂盒和耗材</w:t>
      </w:r>
    </w:p>
    <w:p w14:paraId="4163DC0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13、数据采集软件：至少包括智能化编表功能，仪器状态实时监控，支持空间校准，6色谱校正等</w:t>
      </w:r>
    </w:p>
    <w:p w14:paraId="353ED05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14、数据分析软件要求：</w:t>
      </w:r>
    </w:p>
    <w:p w14:paraId="72AC795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14.1测序软件要求：真实反映峰高比例，能精确自动辨认杂合子位置，不漏检；采用Oracle数据库，满足高通量分析；24小时测序分析达84,000碱基数以上</w:t>
      </w:r>
    </w:p>
    <w:p w14:paraId="2B909E69">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14.2序列比对、拼接软件：适合于不同生物种类基因组快速检测变异位置；全自动、高通量，无序列数量限制，自动批处理，可后期编辑</w:t>
      </w:r>
    </w:p>
    <w:p w14:paraId="2559032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片段分析软件要求：高速、高通量，每小时可处理5万以上基因型；可自动剔除干扰峰，不需要人工修正；输出表格简单易懂，采用Oracle数据库，可以大规模搜索和管理数据；可方便进行亲子鉴定，连锁分析，SNP分析</w:t>
      </w:r>
    </w:p>
    <w:p w14:paraId="305E0DB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15.数据采集软件、数据分析软件均为中文正版软件，需提供国家认可的计算机软件著作权登记证书或其他知识产权证明；数据分析软件具备电泳图谱标注与辅助判读功能；软件终身提供免费升级服务</w:t>
      </w:r>
    </w:p>
    <w:p w14:paraId="74B0190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16质保与服务：整机质保≥3年，24小时内技术响应，到场维修；</w:t>
      </w:r>
      <w:r>
        <w:rPr>
          <w:rFonts w:hint="eastAsia" w:ascii="宋体" w:hAnsi="宋体" w:eastAsia="宋体" w:cs="宋体"/>
          <w:color w:val="auto"/>
          <w:sz w:val="21"/>
          <w:szCs w:val="21"/>
          <w:highlight w:val="none"/>
        </w:rPr>
        <w:t>质保期内免费更换零配件，质保期外只收取配件费用</w:t>
      </w:r>
    </w:p>
    <w:p w14:paraId="1AAEDD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17.配备1台工作站（内存≥32GB，硬盘 ≥ 1 TB NVMe SSD，独立显卡≥4GB，具体打印功能。加密方式须为硬件加密狗或主板绑定激活，提供终身激活码）安装配套软件（数据采集软件和数据分析软件），确保用户方便操控仪器、管理数据与分析数据</w:t>
      </w:r>
    </w:p>
    <w:p w14:paraId="2EBD67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18.琼脂糖凝胶电泳系统（含电源、槽体、紫外透射仪或蓝光成像仪）1套</w:t>
      </w:r>
    </w:p>
    <w:p w14:paraId="50A385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19.全自动开盖扫码一体机1台，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96通量，兼容5mL采血管/唾液管</w:t>
      </w:r>
    </w:p>
    <w:p w14:paraId="6AE0743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20.高速冷冻离心机1台，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15,000g，0.2–50mL转子</w:t>
      </w:r>
    </w:p>
    <w:p w14:paraId="7AEB1B4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kern w:val="0"/>
          <w:sz w:val="21"/>
          <w:szCs w:val="21"/>
          <w:highlight w:val="none"/>
        </w:rPr>
        <w:t>生物安全柜ClassII A2</w:t>
      </w:r>
      <w:r>
        <w:rPr>
          <w:rFonts w:hint="eastAsia" w:ascii="宋体" w:hAnsi="宋体" w:eastAsia="宋体" w:cs="宋体"/>
          <w:color w:val="auto"/>
          <w:kern w:val="0"/>
          <w:sz w:val="21"/>
          <w:szCs w:val="21"/>
          <w:highlight w:val="none"/>
          <w:lang w:val="en-US" w:eastAsia="zh-CN"/>
        </w:rPr>
        <w:t xml:space="preserve"> 2台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超净工作台垂直流（双人单面）1台</w:t>
      </w:r>
    </w:p>
    <w:p w14:paraId="3B8B2FF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22.恒温金属浴1台</w:t>
      </w:r>
    </w:p>
    <w:p w14:paraId="6CFE6BE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23.微量紫外分光光度计1台</w:t>
      </w:r>
    </w:p>
    <w:p w14:paraId="382269D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24.全自动核酸提取仪1台</w:t>
      </w:r>
    </w:p>
    <w:p w14:paraId="66E24AD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25.8/96通道自动化移液工作站1台，1–200µL CV≤3%</w:t>
      </w:r>
    </w:p>
    <w:p w14:paraId="129A59C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26.品牌移液器6把</w:t>
      </w:r>
    </w:p>
    <w:p w14:paraId="189A601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27.组织研磨仪（匀浆器，≥24×2mL样品架，可液氮低温研磨）1套</w:t>
      </w:r>
    </w:p>
    <w:p w14:paraId="2F3014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r>
        <w:rPr>
          <w:rFonts w:hint="eastAsia" w:ascii="宋体" w:hAnsi="宋体" w:eastAsia="宋体" w:cs="宋体"/>
          <w:color w:val="auto"/>
          <w:kern w:val="0"/>
          <w:sz w:val="21"/>
          <w:szCs w:val="21"/>
          <w:highlight w:val="none"/>
        </w:rPr>
        <w:t>配备UPS不间断电源。</w:t>
      </w:r>
    </w:p>
    <w:p w14:paraId="6CBCA9D1">
      <w:pPr>
        <w:spacing w:after="120" w:line="360" w:lineRule="auto"/>
        <w:jc w:val="center"/>
        <w:rPr>
          <w:rFonts w:hint="eastAsia" w:ascii="宋体" w:hAnsi="宋体" w:eastAsia="宋体" w:cs="宋体"/>
          <w:b/>
          <w:bCs/>
          <w:color w:val="auto"/>
          <w:kern w:val="0"/>
          <w:sz w:val="21"/>
          <w:szCs w:val="21"/>
          <w:highlight w:val="none"/>
        </w:rPr>
      </w:pPr>
    </w:p>
    <w:p w14:paraId="1C276D62">
      <w:pPr>
        <w:spacing w:after="120"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包4：四极杆质谱仪</w:t>
      </w:r>
    </w:p>
    <w:p w14:paraId="6236A40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1.原理：液相色谱－三重四极杆串联质谱联用仪</w:t>
      </w:r>
    </w:p>
    <w:p w14:paraId="66A63BB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2.仪器设备使用范围：用于对来源于人体化合物进行定性或定量检测，包括但不限于维生素、激素、药物浓度</w:t>
      </w:r>
    </w:p>
    <w:p w14:paraId="65FE9A0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3液相色谱部分</w:t>
      </w:r>
    </w:p>
    <w:p w14:paraId="19182009">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3.1二元高压梯度泵：最大工作压力≥400bar；流速范围0.001–2.0 mL/min，流速精度≤±0.1% RSD；梯度精度≤±0.5%RSD（1–99% 比例范围内）</w:t>
      </w:r>
    </w:p>
    <w:p w14:paraId="18EF7DD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3.2自动进样器：样品容量≥100位（2mL样品瓶），支持96孔板；进样体积范围 0.1–10μL，进样精度≤±0.5% RSD；交叉污染率≤0.02%；具备样品冷却功能（4–40℃）</w:t>
      </w:r>
    </w:p>
    <w:p w14:paraId="667732E1">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3.3柱温箱：控温范围10–80℃，控温精度≤±0.1℃；支持≥2根色谱柱同时安装；</w:t>
      </w:r>
    </w:p>
    <w:p w14:paraId="0643E4C2">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3.4采用电喷雾接口（ESI），支持快速拆卸与清洗；</w:t>
      </w:r>
    </w:p>
    <w:p w14:paraId="0D3AD12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4质谱仪部分</w:t>
      </w:r>
    </w:p>
    <w:p w14:paraId="0ADE18F8">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4.1离子源:标配ESI源，可选配APCI源，支持正负离子快速切换（≤50 msec）</w:t>
      </w:r>
    </w:p>
    <w:p w14:paraId="5EB2CCF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4.2离子源温度：脱溶剂温度≥300℃，离子源加热块温度≥300℃</w:t>
      </w:r>
    </w:p>
    <w:p w14:paraId="16FA7F8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4.3质量范围：m/z5–2000（ESI模式）</w:t>
      </w:r>
    </w:p>
    <w:p w14:paraId="414F1E9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4.4灵敏度（ESI+）：1pg利血平，S/N≥100,000:1（RMS）；灵敏度（ESI-）：1pg氯霉素，S/N≥100,000:1（RMS）</w:t>
      </w:r>
    </w:p>
    <w:p w14:paraId="6891198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4.5分辨率：≥0.7uFWHM，可调节至0.5u</w:t>
      </w:r>
    </w:p>
    <w:p w14:paraId="57E1C3E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4.6扫描速度：全扫描≥12,000u/sec；MRM 过渡速度≥300通道/秒</w:t>
      </w:r>
    </w:p>
    <w:p w14:paraId="5540F17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4.7数据采集模式：支持全扫描、SIM、MRM、母离子扫描、子离子扫描等，软件功能：支持自动调谐、定量分析（外标法/内标法）、谱图解析、报告生成；兼容LIMS系统；可存储≥1000个实验方法</w:t>
      </w:r>
    </w:p>
    <w:p w14:paraId="634EC69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5.质保：≥3年整机质保；质保期内每年≥1次原厂上门维护（含液相与质谱系统校准、耗材更换指导）；24小时技术响应，到场维修</w:t>
      </w:r>
    </w:p>
    <w:p w14:paraId="3AE13BF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6.技术保障：提供原厂现场操作培训，涵盖液相系统、质谱系统的操作、维护及方法开发，确保3名以上人员独立操作联用系统</w:t>
      </w:r>
    </w:p>
    <w:p w14:paraId="5AD9A7B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配备全自动样本前处理仪及其他前处理设备，包括但不仅限于以下设备：氮气发生器，C18色谱柱，超声波清洗仪，微孔板恒温振荡器，多管涡旋混合仪，医用台式离心机，氮吹仪，移液器（0.5-10μl、10-100μl、20-200μl、100-1000μl）各2支</w:t>
      </w:r>
    </w:p>
    <w:p w14:paraId="2A4011E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8.提供1套图文工作站（内存≥32GB，硬盘≥1TB NVMe SSD，独立显卡≥4GB，提供终身激活，具备打印功能</w:t>
      </w:r>
    </w:p>
    <w:p w14:paraId="0904F873">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超净工作台垂直流双人单面1台</w:t>
      </w:r>
    </w:p>
    <w:p w14:paraId="05EE8073">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10.免费连接LIS端口</w:t>
      </w:r>
    </w:p>
    <w:p w14:paraId="47774E0E">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11.配备UPS不间断电源1套。</w:t>
      </w:r>
    </w:p>
    <w:p w14:paraId="5A00BA54">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包5：超高速离心机(多功能高速离心机)</w:t>
      </w:r>
    </w:p>
    <w:p w14:paraId="71DD501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1.最高转速：100,000rpm</w:t>
      </w:r>
    </w:p>
    <w:p w14:paraId="70F698C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2.最大离心力：≥800,000×g</w:t>
      </w:r>
    </w:p>
    <w:p w14:paraId="45C825A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3.最大容量：≥6×180mL（兼容水平/角转子）</w:t>
      </w:r>
    </w:p>
    <w:p w14:paraId="0B67DAB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4.转速控制精度：±10rpm</w:t>
      </w:r>
    </w:p>
    <w:p w14:paraId="73264DF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5.温控系统：温度范围0–40℃，控制精度±0.5℃，半导体制冷</w:t>
      </w:r>
    </w:p>
    <w:p w14:paraId="5C144EE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6.真空系统：最小真空度≤0.7Pa，15分钟内达最高真空，支持真空度分级显示</w:t>
      </w:r>
    </w:p>
    <w:p w14:paraId="661C7D4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7.加速/减速程序：≥10种加速程序，≥11种减速程序</w:t>
      </w:r>
    </w:p>
    <w:p w14:paraId="2925383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8.目视平衡：支持±5mm样品液面差距，目视平衡无需称重</w:t>
      </w:r>
    </w:p>
    <w:p w14:paraId="78932BD1">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9.转子管理：数字化记录运行时间/次数，具备转子寿命管理功能</w:t>
      </w:r>
    </w:p>
    <w:p w14:paraId="3F8E9679">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10.操作显示：彩色触摸屏，支持中文等多语言操作</w:t>
      </w:r>
    </w:p>
    <w:p w14:paraId="5006CC3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11.程序存储：可存储≥1000个离心程序，支持分步离心</w:t>
      </w:r>
    </w:p>
    <w:p w14:paraId="1014A116">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12.数据追溯：操作历史记录≥5000条，支持USB/lan导出</w:t>
      </w:r>
    </w:p>
    <w:p w14:paraId="1ADA469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13.安全保护：具备超速、过载、过温、真空异常、门联锁等多重保护</w:t>
      </w:r>
    </w:p>
    <w:p w14:paraId="40623C0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14.工作噪音：≤60dB(A)（1米处测量）</w:t>
      </w:r>
    </w:p>
    <w:p w14:paraId="7547A6D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15.维保服务：≥3年整机质保，含转子、真空泵等核心部件。质保期内每年≥1次原厂上门维护，含耗材更换指导，24小时内技术支持，到场维修</w:t>
      </w:r>
    </w:p>
    <w:p w14:paraId="61756C69">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16.</w:t>
      </w:r>
      <w:r>
        <w:rPr>
          <w:rFonts w:hint="eastAsia" w:cs="宋体"/>
          <w:color w:val="auto"/>
          <w:kern w:val="0"/>
          <w:sz w:val="21"/>
          <w:szCs w:val="21"/>
          <w:highlight w:val="none"/>
          <w:lang w:eastAsia="zh-CN"/>
        </w:rPr>
        <w:t>转子配置</w:t>
      </w:r>
      <w:r>
        <w:rPr>
          <w:rFonts w:hint="eastAsia" w:ascii="宋体" w:hAnsi="宋体" w:eastAsia="宋体" w:cs="宋体"/>
          <w:color w:val="auto"/>
          <w:kern w:val="0"/>
          <w:sz w:val="21"/>
          <w:szCs w:val="21"/>
          <w:highlight w:val="none"/>
        </w:rPr>
        <w:t>：1-2ml定角转子一套；5-8mL水平转子1套；35-42mL定角转子1套</w:t>
      </w:r>
    </w:p>
    <w:p w14:paraId="1E7C575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17.每套转子配赠一次性耗材200套或重复使用类耗材20套，赠耗材封口、剪裁等处理装置</w:t>
      </w:r>
    </w:p>
    <w:p w14:paraId="377A2E1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18.配套低温高速离心机1台，离心机最大离心力≥12000g，配备6×50ml转子</w:t>
      </w:r>
    </w:p>
    <w:p w14:paraId="07A3AB4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19.配备超净工作台（双人单面）1台，移液器（0.5-10μl、10-100μl、20-200μl、100-1000μl）1套，恒温水浴箱1台</w:t>
      </w:r>
    </w:p>
    <w:p w14:paraId="360AC4A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20.配备UPS不间断电源。</w:t>
      </w:r>
    </w:p>
    <w:p w14:paraId="7F19F399">
      <w:pPr>
        <w:spacing w:line="360" w:lineRule="auto"/>
        <w:rPr>
          <w:rFonts w:hint="eastAsia" w:ascii="宋体" w:hAnsi="宋体" w:eastAsia="宋体" w:cs="宋体"/>
          <w:color w:val="auto"/>
          <w:kern w:val="0"/>
          <w:sz w:val="21"/>
          <w:szCs w:val="21"/>
          <w:highlight w:val="none"/>
        </w:rPr>
      </w:pPr>
    </w:p>
    <w:p w14:paraId="128B88B3">
      <w:pPr>
        <w:widowControl/>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包6：流式细胞检测仪（三激光十二色）</w:t>
      </w:r>
    </w:p>
    <w:p w14:paraId="2E769782">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1.激光器配置：≥3固态激光</w:t>
      </w:r>
    </w:p>
    <w:p w14:paraId="738576A4">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2.荧光检测通道：≥12个荧光通道+2个散色光通道（FSC/SSC），无封闭通道限制</w:t>
      </w:r>
    </w:p>
    <w:p w14:paraId="2F72BCF3">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3.检测器类型：各通道独立光电倍增管（PMT），电压调节范围1–999V</w:t>
      </w:r>
    </w:p>
    <w:p w14:paraId="19409ACF">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4.荧光检测灵敏度：FITC≤60MESF，PE≤30MESF</w:t>
      </w:r>
    </w:p>
    <w:p w14:paraId="4B227EFA">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5.分析速度：≥30,000细胞/秒</w:t>
      </w:r>
    </w:p>
    <w:p w14:paraId="28FEE7CB">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*6.计数方式：支持绝对微球计数</w:t>
      </w:r>
    </w:p>
    <w:p w14:paraId="60AD8277">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7.样本交叉污染率：＜0.1%</w:t>
      </w:r>
    </w:p>
    <w:p w14:paraId="64486749">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8.上样系统：全自动进样，支持试管、96孔板，带自动混匀、气泡检测，进样死体积≤30μL</w:t>
      </w:r>
    </w:p>
    <w:p w14:paraId="0AF9E65A">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9.液流系统：具备独立液流模块，支持双蒸水/原厂鞘液</w:t>
      </w:r>
    </w:p>
    <w:p w14:paraId="2EB3DB3A">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10.滤光片配置：独立长通/带通滤光片，可插拔更换无需光路调校</w:t>
      </w:r>
    </w:p>
    <w:p w14:paraId="5B135F45">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11.激光监控：实时激光功率监控，操作界面可显示激光状态</w:t>
      </w:r>
    </w:p>
    <w:p w14:paraId="5F7719C3">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12.程序与质控：可存储≥1000个实验程序，支持≥5个样本阀值设置；具备通道荧光效率、背景噪音检测</w:t>
      </w:r>
    </w:p>
    <w:p w14:paraId="25222B18">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13.维保服务：≥3年整机质保，含激光器、PMT等核心部件，质保期内每年≥1次原厂上门维护校准，并出具校准报告软件支持</w:t>
      </w:r>
    </w:p>
    <w:p w14:paraId="31C0E578">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14.具有同品牌的NMPA注册认证的室内质评所需质控血</w:t>
      </w:r>
    </w:p>
    <w:p w14:paraId="0FCF255E">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15.提供ups备用电源</w:t>
      </w:r>
    </w:p>
    <w:p w14:paraId="30D77E6A">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16.图文工作站2套，含i5及以上处理器、≥8G内存，提供血液细胞免疫分型的软件，具备打印功能，免费连接LIS端口</w:t>
      </w:r>
    </w:p>
    <w:p w14:paraId="6C6DFB6D">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17.品牌移液器1套：最大量程10μl、50μl、200μl、1000μl各1把</w:t>
      </w:r>
    </w:p>
    <w:p w14:paraId="4356AD84">
      <w:pPr>
        <w:pStyle w:val="10"/>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rPr>
        <w:t>18.涡旋振荡器2台。</w:t>
      </w:r>
    </w:p>
    <w:p w14:paraId="42229C80">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13D13"/>
    <w:rsid w:val="766E0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caption"/>
    <w:next w:val="1"/>
    <w:qFormat/>
    <w:uiPriority w:val="0"/>
    <w:pPr>
      <w:widowControl w:val="0"/>
      <w:jc w:val="both"/>
    </w:pPr>
    <w:rPr>
      <w:rFonts w:ascii="Cambria" w:hAnsi="Cambria" w:eastAsia="黑体" w:cs="宋体"/>
      <w:kern w:val="2"/>
      <w:sz w:val="20"/>
      <w:szCs w:val="20"/>
      <w:lang w:val="en-US" w:eastAsia="zh-CN" w:bidi="ar-SA"/>
    </w:rPr>
  </w:style>
  <w:style w:type="paragraph" w:styleId="3">
    <w:name w:val="Body Text Indent"/>
    <w:qFormat/>
    <w:uiPriority w:val="0"/>
    <w:pPr>
      <w:widowControl w:val="0"/>
      <w:spacing w:after="120"/>
      <w:ind w:left="420" w:leftChars="200"/>
      <w:jc w:val="both"/>
    </w:pPr>
    <w:rPr>
      <w:rFonts w:ascii="宋体" w:hAnsi="宋体" w:eastAsia="宋体" w:cs="宋体"/>
      <w:kern w:val="2"/>
      <w:sz w:val="21"/>
      <w:szCs w:val="24"/>
      <w:lang w:val="en-US" w:eastAsia="zh-CN" w:bidi="ar-SA"/>
    </w:rPr>
  </w:style>
  <w:style w:type="paragraph" w:styleId="4">
    <w:name w:val="footer"/>
    <w:qFormat/>
    <w:uiPriority w:val="99"/>
    <w:pPr>
      <w:widowControl w:val="0"/>
      <w:tabs>
        <w:tab w:val="center" w:pos="4153"/>
        <w:tab w:val="right" w:pos="8306"/>
      </w:tabs>
      <w:snapToGrid w:val="0"/>
      <w:jc w:val="left"/>
    </w:pPr>
    <w:rPr>
      <w:rFonts w:ascii="宋体" w:hAnsi="宋体" w:eastAsia="宋体" w:cs="宋体"/>
      <w:kern w:val="2"/>
      <w:sz w:val="18"/>
      <w:szCs w:val="18"/>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qFormat/>
    <w:uiPriority w:val="0"/>
    <w:pPr>
      <w:widowControl w:val="0"/>
      <w:spacing w:after="120"/>
      <w:ind w:left="420" w:leftChars="200" w:firstLine="420" w:firstLineChars="200"/>
      <w:jc w:val="both"/>
    </w:pPr>
    <w:rPr>
      <w:rFonts w:ascii="宋体" w:hAnsi="宋体" w:eastAsia="宋体" w:cs="宋体"/>
      <w:kern w:val="2"/>
      <w:sz w:val="21"/>
      <w:szCs w:val="24"/>
      <w:lang w:val="en-US" w:eastAsia="zh-CN" w:bidi="ar-SA"/>
    </w:rPr>
  </w:style>
  <w:style w:type="character" w:styleId="9">
    <w:name w:val="page number"/>
    <w:qFormat/>
    <w:uiPriority w:val="0"/>
  </w:style>
  <w:style w:type="paragraph" w:customStyle="1" w:styleId="10">
    <w:name w:val="无间隔1"/>
    <w:next w:val="2"/>
    <w:qFormat/>
    <w:uiPriority w:val="1"/>
    <w:pPr>
      <w:widowControl w:val="0"/>
      <w:spacing w:line="400" w:lineRule="exact"/>
      <w:jc w:val="both"/>
    </w:pPr>
    <w:rPr>
      <w:rFonts w:ascii="Calibri" w:hAnsi="Calibri" w:eastAsia="宋体" w:cs="Times New Roman"/>
      <w:kern w:val="2"/>
      <w:sz w:val="24"/>
      <w:szCs w:val="24"/>
      <w:lang w:val="en-US" w:eastAsia="zh-CN" w:bidi="ar-SA"/>
    </w:rPr>
  </w:style>
  <w:style w:type="paragraph" w:customStyle="1" w:styleId="11">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2026-04-24T06:28:36Z</dcterms:created>
  <dc:creator>Administrator</dc:creator>
  <cp:lastModifiedBy>Administrator</cp:lastModifiedBy>
  <dcterms:modified xsi:type="dcterms:W3CDTF">2026-04-24T06:29:54Z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eyJoZGlkIjoiZDkxYzgyM2Q2NzdkZDBiNWUxMDlkNDkzNTg0YTE2ZjYiLCJ1c2VySWQiOiIzMzI1MjU4ODIifQ==</vt:lpwstr>
  </property>
  <property fmtid="{D5CDD505-2E9C-101B-9397-08002B2CF9AE}" pid="4" name="ICV">
    <vt:lpwstr>094EEFF1BA8A451F82A25F681986DF48_12</vt:lpwstr>
  </property>
</Properties>
</file>