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3FED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b/>
          <w:bCs/>
          <w:sz w:val="72"/>
          <w:szCs w:val="72"/>
          <w:lang w:val="en-US" w:eastAsia="zh-CN"/>
        </w:rPr>
      </w:pPr>
      <w:bookmarkStart w:id="0" w:name="_Toc144974478"/>
      <w:bookmarkStart w:id="1" w:name="_Toc152042286"/>
    </w:p>
    <w:p w14:paraId="6AD7AF8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ascii="宋体" w:hAnsi="宋体" w:eastAsia="宋体" w:cs="宋体"/>
          <w:b/>
          <w:sz w:val="60"/>
          <w:szCs w:val="192"/>
          <w:lang w:val="en-US" w:eastAsia="zh-CN"/>
        </w:rPr>
      </w:pPr>
      <w:r>
        <w:rPr>
          <w:rFonts w:hint="eastAsia" w:ascii="宋体" w:hAnsi="宋体" w:eastAsia="宋体" w:cs="宋体"/>
          <w:b/>
          <w:sz w:val="60"/>
          <w:szCs w:val="192"/>
          <w:lang w:val="en-US" w:eastAsia="zh-CN"/>
        </w:rPr>
        <w:t>固始县公安局机关大楼采购电梯</w:t>
      </w:r>
    </w:p>
    <w:p w14:paraId="2B49440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ascii="宋体" w:hAnsi="宋体" w:eastAsia="宋体" w:cs="宋体"/>
          <w:b/>
          <w:sz w:val="60"/>
          <w:szCs w:val="192"/>
          <w:lang w:val="en-US" w:eastAsia="zh-CN"/>
        </w:rPr>
      </w:pPr>
      <w:r>
        <w:rPr>
          <w:rFonts w:hint="eastAsia" w:ascii="宋体" w:hAnsi="宋体" w:eastAsia="宋体" w:cs="宋体"/>
          <w:b/>
          <w:sz w:val="60"/>
          <w:szCs w:val="192"/>
          <w:lang w:val="en-US" w:eastAsia="zh-CN"/>
        </w:rPr>
        <w:t>项目竞争性</w:t>
      </w:r>
      <w:r>
        <w:rPr>
          <w:rFonts w:hint="eastAsia" w:ascii="宋体" w:hAnsi="宋体" w:eastAsia="宋体" w:cs="宋体"/>
          <w:b/>
          <w:sz w:val="60"/>
          <w:szCs w:val="192"/>
          <w:lang w:eastAsia="zh-CN"/>
        </w:rPr>
        <w:t>磋商</w:t>
      </w:r>
      <w:r>
        <w:rPr>
          <w:rFonts w:hint="eastAsia" w:ascii="宋体" w:hAnsi="宋体" w:eastAsia="宋体" w:cs="宋体"/>
          <w:b/>
          <w:sz w:val="60"/>
          <w:szCs w:val="192"/>
          <w:lang w:val="en-US" w:eastAsia="zh-CN"/>
        </w:rPr>
        <w:t>文件</w:t>
      </w:r>
    </w:p>
    <w:p w14:paraId="3C0DCEFB">
      <w:pPr>
        <w:ind w:left="0" w:leftChars="0" w:firstLine="0" w:firstLineChars="0"/>
        <w:jc w:val="center"/>
        <w:rPr>
          <w:rFonts w:hint="eastAsia" w:ascii="楷体" w:hAnsi="楷体" w:eastAsia="楷体" w:cs="楷体"/>
          <w:sz w:val="24"/>
          <w:szCs w:val="28"/>
          <w:lang w:val="en-US" w:eastAsia="zh-CN"/>
        </w:rPr>
      </w:pPr>
      <w:r>
        <w:rPr>
          <w:rFonts w:hint="eastAsia" w:ascii="楷体" w:hAnsi="楷体" w:eastAsia="楷体" w:cs="楷体"/>
          <w:b w:val="0"/>
          <w:bCs/>
          <w:color w:val="000000"/>
          <w:sz w:val="28"/>
          <w:szCs w:val="28"/>
        </w:rPr>
        <w:t>采购编号：固财磋商采购-202</w:t>
      </w:r>
      <w:r>
        <w:rPr>
          <w:rFonts w:hint="eastAsia" w:ascii="楷体" w:hAnsi="楷体" w:eastAsia="楷体" w:cs="楷体"/>
          <w:b w:val="0"/>
          <w:bCs/>
          <w:color w:val="000000"/>
          <w:sz w:val="28"/>
          <w:szCs w:val="28"/>
          <w:lang w:val="en-US" w:eastAsia="zh-CN"/>
        </w:rPr>
        <w:t>6</w:t>
      </w:r>
      <w:r>
        <w:rPr>
          <w:rFonts w:hint="eastAsia" w:ascii="楷体" w:hAnsi="楷体" w:eastAsia="楷体" w:cs="楷体"/>
          <w:b w:val="0"/>
          <w:bCs/>
          <w:color w:val="000000"/>
          <w:sz w:val="28"/>
          <w:szCs w:val="28"/>
        </w:rPr>
        <w:t>-</w:t>
      </w:r>
      <w:r>
        <w:rPr>
          <w:rFonts w:hint="eastAsia" w:ascii="楷体" w:hAnsi="楷体" w:eastAsia="楷体" w:cs="楷体"/>
          <w:b w:val="0"/>
          <w:bCs/>
          <w:color w:val="000000"/>
          <w:sz w:val="28"/>
          <w:szCs w:val="28"/>
          <w:lang w:val="en-US" w:eastAsia="zh-CN"/>
        </w:rPr>
        <w:t>32</w:t>
      </w:r>
    </w:p>
    <w:p w14:paraId="41A80744">
      <w:pPr>
        <w:pStyle w:val="8"/>
        <w:rPr>
          <w:rFonts w:ascii="宋体" w:hAnsi="宋体"/>
        </w:rPr>
      </w:pPr>
    </w:p>
    <w:p w14:paraId="3357F03A">
      <w:pPr>
        <w:pStyle w:val="21"/>
        <w:ind w:firstLine="210"/>
        <w:rPr>
          <w:rFonts w:ascii="宋体" w:hAnsi="宋体"/>
        </w:rPr>
      </w:pPr>
    </w:p>
    <w:p w14:paraId="23563E01">
      <w:pPr>
        <w:pStyle w:val="21"/>
        <w:spacing w:line="240" w:lineRule="auto"/>
        <w:ind w:left="0" w:leftChars="0" w:firstLine="0" w:firstLineChars="0"/>
        <w:jc w:val="center"/>
        <w:rPr>
          <w:rFonts w:hint="eastAsia" w:eastAsiaTheme="minorEastAsia"/>
          <w:lang w:eastAsia="zh-CN"/>
        </w:rPr>
      </w:pPr>
      <w:r>
        <w:rPr>
          <w:rFonts w:hint="eastAsia" w:eastAsiaTheme="minorEastAsia"/>
          <w:lang w:eastAsia="zh-CN"/>
        </w:rPr>
        <w:drawing>
          <wp:inline distT="0" distB="0" distL="114300" distR="114300">
            <wp:extent cx="2335530" cy="2335530"/>
            <wp:effectExtent l="0" t="0" r="0" b="0"/>
            <wp:docPr id="4" name="图片 4"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采购中心标识"/>
                    <pic:cNvPicPr>
                      <a:picLocks noChangeAspect="1"/>
                    </pic:cNvPicPr>
                  </pic:nvPicPr>
                  <pic:blipFill>
                    <a:blip r:embed="rId16"/>
                    <a:stretch>
                      <a:fillRect/>
                    </a:stretch>
                  </pic:blipFill>
                  <pic:spPr>
                    <a:xfrm>
                      <a:off x="0" y="0"/>
                      <a:ext cx="2335530" cy="2335530"/>
                    </a:xfrm>
                    <a:prstGeom prst="rect">
                      <a:avLst/>
                    </a:prstGeom>
                  </pic:spPr>
                </pic:pic>
              </a:graphicData>
            </a:graphic>
          </wp:inline>
        </w:drawing>
      </w:r>
    </w:p>
    <w:p w14:paraId="0F2C08F3">
      <w:pPr>
        <w:pStyle w:val="22"/>
        <w:tabs>
          <w:tab w:val="left" w:pos="945"/>
          <w:tab w:val="left" w:pos="1155"/>
        </w:tabs>
        <w:ind w:firstLine="560"/>
      </w:pPr>
    </w:p>
    <w:p w14:paraId="5B362C1B"/>
    <w:p w14:paraId="351F75A2">
      <w:pPr>
        <w:pStyle w:val="8"/>
      </w:pPr>
    </w:p>
    <w:p w14:paraId="74D03E16">
      <w:pPr>
        <w:pStyle w:val="8"/>
        <w:rPr>
          <w:rFonts w:hint="eastAsia"/>
        </w:rPr>
      </w:pPr>
    </w:p>
    <w:p w14:paraId="17417DAF">
      <w:pPr>
        <w:keepNext w:val="0"/>
        <w:keepLines w:val="0"/>
        <w:pageBreakBefore w:val="0"/>
        <w:widowControl/>
        <w:tabs>
          <w:tab w:val="right" w:pos="6904"/>
        </w:tabs>
        <w:kinsoku/>
        <w:wordWrap/>
        <w:overflowPunct/>
        <w:topLinePunct w:val="0"/>
        <w:autoSpaceDE/>
        <w:autoSpaceDN/>
        <w:bidi w:val="0"/>
        <w:adjustRightInd/>
        <w:snapToGrid/>
        <w:spacing w:line="480" w:lineRule="auto"/>
        <w:ind w:firstLine="2249" w:firstLineChars="700"/>
        <w:textAlignment w:val="auto"/>
        <w:rPr>
          <w:rFonts w:hint="eastAsia" w:ascii="宋体" w:hAnsi="宋体" w:eastAsia="宋体" w:cs="宋体"/>
          <w:b/>
          <w:bCs/>
          <w:kern w:val="0"/>
          <w:sz w:val="32"/>
          <w:szCs w:val="32"/>
          <w:lang w:eastAsia="zh-CN"/>
        </w:rPr>
      </w:pPr>
      <w:r>
        <w:rPr>
          <w:rFonts w:hint="eastAsia" w:ascii="宋体" w:hAnsi="宋体" w:cs="宋体"/>
          <w:b/>
          <w:bCs/>
          <w:kern w:val="0"/>
          <w:sz w:val="32"/>
          <w:szCs w:val="32"/>
        </w:rPr>
        <w:t>采   购   人：</w:t>
      </w:r>
      <w:r>
        <w:rPr>
          <w:rFonts w:hint="eastAsia" w:ascii="宋体" w:hAnsi="宋体" w:cs="宋体"/>
          <w:b/>
          <w:bCs/>
          <w:kern w:val="0"/>
          <w:sz w:val="32"/>
          <w:szCs w:val="32"/>
          <w:lang w:val="en-US" w:eastAsia="zh-CN"/>
        </w:rPr>
        <w:t>固始县公安局</w:t>
      </w:r>
      <w:r>
        <w:rPr>
          <w:rFonts w:hint="eastAsia" w:ascii="宋体" w:hAnsi="宋体" w:cs="宋体"/>
          <w:b/>
          <w:bCs/>
          <w:kern w:val="0"/>
          <w:sz w:val="32"/>
          <w:szCs w:val="32"/>
          <w:lang w:eastAsia="zh-CN"/>
        </w:rPr>
        <w:tab/>
      </w:r>
    </w:p>
    <w:p w14:paraId="04994BEA">
      <w:pPr>
        <w:keepNext w:val="0"/>
        <w:keepLines w:val="0"/>
        <w:pageBreakBefore w:val="0"/>
        <w:widowControl/>
        <w:kinsoku/>
        <w:wordWrap/>
        <w:overflowPunct/>
        <w:topLinePunct w:val="0"/>
        <w:autoSpaceDE/>
        <w:autoSpaceDN/>
        <w:bidi w:val="0"/>
        <w:adjustRightInd/>
        <w:snapToGrid/>
        <w:spacing w:line="480" w:lineRule="auto"/>
        <w:ind w:firstLine="2249" w:firstLineChars="700"/>
        <w:textAlignment w:val="auto"/>
        <w:rPr>
          <w:rFonts w:hint="default" w:ascii="宋体" w:hAnsi="宋体" w:eastAsia="宋体" w:cs="宋体"/>
          <w:b/>
          <w:bCs/>
          <w:kern w:val="0"/>
          <w:sz w:val="32"/>
          <w:szCs w:val="32"/>
          <w:lang w:val="en-US" w:eastAsia="zh-CN"/>
        </w:rPr>
      </w:pPr>
      <w:r>
        <w:rPr>
          <w:rFonts w:hint="eastAsia" w:ascii="宋体" w:hAnsi="宋体" w:cs="宋体"/>
          <w:b/>
          <w:bCs/>
          <w:kern w:val="0"/>
          <w:sz w:val="32"/>
          <w:szCs w:val="32"/>
        </w:rPr>
        <w:t>采购代理机构：</w:t>
      </w:r>
      <w:r>
        <w:rPr>
          <w:rFonts w:hint="eastAsia" w:ascii="宋体" w:hAnsi="宋体" w:cs="宋体"/>
          <w:b/>
          <w:bCs/>
          <w:color w:val="000000"/>
          <w:kern w:val="0"/>
          <w:sz w:val="32"/>
          <w:szCs w:val="32"/>
          <w:lang w:val="en-US" w:eastAsia="zh-CN"/>
        </w:rPr>
        <w:t>固始县采购中心</w:t>
      </w:r>
    </w:p>
    <w:p w14:paraId="59AE5C0F">
      <w:pPr>
        <w:keepNext w:val="0"/>
        <w:keepLines w:val="0"/>
        <w:pageBreakBefore w:val="0"/>
        <w:widowControl/>
        <w:kinsoku/>
        <w:wordWrap/>
        <w:overflowPunct/>
        <w:topLinePunct w:val="0"/>
        <w:autoSpaceDE/>
        <w:autoSpaceDN/>
        <w:bidi w:val="0"/>
        <w:adjustRightInd/>
        <w:snapToGrid/>
        <w:spacing w:line="480" w:lineRule="auto"/>
        <w:ind w:firstLine="2249" w:firstLineChars="700"/>
        <w:textAlignment w:val="auto"/>
        <w:rPr>
          <w:rFonts w:hint="eastAsia" w:ascii="宋体" w:hAnsi="宋体" w:cs="宋体"/>
          <w:b/>
          <w:sz w:val="28"/>
          <w:szCs w:val="28"/>
        </w:rPr>
      </w:pPr>
      <w:r>
        <w:rPr>
          <w:rFonts w:hint="eastAsia" w:ascii="宋体" w:hAnsi="宋体" w:cs="宋体"/>
          <w:b/>
          <w:bCs/>
          <w:kern w:val="0"/>
          <w:sz w:val="32"/>
          <w:szCs w:val="32"/>
        </w:rPr>
        <w:t>日        期：二</w:t>
      </w:r>
      <w:r>
        <w:rPr>
          <w:rFonts w:hint="eastAsia" w:ascii="宋体" w:hAnsi="宋体" w:cs="宋体"/>
          <w:b/>
          <w:bCs/>
          <w:kern w:val="0"/>
          <w:sz w:val="32"/>
          <w:szCs w:val="32"/>
          <w:lang w:val="en-US" w:eastAsia="zh-CN"/>
        </w:rPr>
        <w:t>零</w:t>
      </w:r>
      <w:r>
        <w:rPr>
          <w:rFonts w:hint="eastAsia" w:ascii="宋体" w:hAnsi="宋体" w:cs="宋体"/>
          <w:b/>
          <w:bCs/>
          <w:kern w:val="0"/>
          <w:sz w:val="32"/>
          <w:szCs w:val="32"/>
        </w:rPr>
        <w:t>二</w:t>
      </w:r>
      <w:r>
        <w:rPr>
          <w:rFonts w:hint="eastAsia" w:ascii="宋体" w:hAnsi="宋体" w:cs="宋体"/>
          <w:b/>
          <w:bCs/>
          <w:kern w:val="0"/>
          <w:sz w:val="32"/>
          <w:szCs w:val="32"/>
          <w:lang w:val="en-US" w:eastAsia="zh-CN"/>
        </w:rPr>
        <w:t>六</w:t>
      </w:r>
      <w:r>
        <w:rPr>
          <w:rFonts w:hint="eastAsia" w:ascii="宋体" w:hAnsi="宋体" w:cs="宋体"/>
          <w:b/>
          <w:bCs/>
          <w:kern w:val="0"/>
          <w:sz w:val="32"/>
          <w:szCs w:val="32"/>
        </w:rPr>
        <w:t>年</w:t>
      </w:r>
      <w:r>
        <w:rPr>
          <w:rFonts w:hint="eastAsia" w:ascii="宋体" w:hAnsi="宋体" w:cs="宋体"/>
          <w:b/>
          <w:bCs/>
          <w:kern w:val="0"/>
          <w:sz w:val="32"/>
          <w:szCs w:val="32"/>
          <w:lang w:val="en-US" w:eastAsia="zh-CN"/>
        </w:rPr>
        <w:t>五</w:t>
      </w:r>
      <w:r>
        <w:rPr>
          <w:rFonts w:hint="eastAsia" w:ascii="宋体" w:hAnsi="宋体" w:cs="宋体"/>
          <w:b/>
          <w:bCs/>
          <w:kern w:val="0"/>
          <w:sz w:val="32"/>
          <w:szCs w:val="32"/>
        </w:rPr>
        <w:t>月</w:t>
      </w:r>
    </w:p>
    <w:p w14:paraId="5E2CF2F4">
      <w:pPr>
        <w:pStyle w:val="6"/>
        <w:ind w:firstLine="0" w:firstLineChars="0"/>
        <w:jc w:val="center"/>
        <w:rPr>
          <w:rFonts w:hint="eastAsia" w:ascii="宋体" w:hAnsi="宋体" w:cs="宋体"/>
          <w:b/>
          <w:sz w:val="36"/>
          <w:szCs w:val="24"/>
        </w:rPr>
        <w:sectPr>
          <w:headerReference r:id="rId5" w:type="default"/>
          <w:footerReference r:id="rId6" w:type="default"/>
          <w:pgSz w:w="11850" w:h="16783"/>
          <w:pgMar w:top="1134" w:right="1134" w:bottom="1134" w:left="1417" w:header="850" w:footer="669" w:gutter="0"/>
          <w:pgNumType w:fmt="numberInDash" w:start="1"/>
          <w:cols w:space="720" w:num="1"/>
          <w:rtlGutter w:val="0"/>
          <w:docGrid w:type="lines" w:linePitch="380" w:charSpace="0"/>
        </w:sectPr>
      </w:pPr>
    </w:p>
    <w:p w14:paraId="3AB827FC">
      <w:pPr>
        <w:pStyle w:val="6"/>
        <w:ind w:firstLine="0" w:firstLineChars="0"/>
        <w:jc w:val="center"/>
        <w:rPr>
          <w:rFonts w:ascii="宋体" w:hAnsi="宋体" w:cs="宋体"/>
          <w:b/>
          <w:sz w:val="52"/>
          <w:szCs w:val="40"/>
        </w:rPr>
      </w:pPr>
      <w:r>
        <w:rPr>
          <w:rFonts w:hint="eastAsia" w:ascii="宋体" w:hAnsi="宋体" w:cs="宋体"/>
          <w:b/>
          <w:sz w:val="36"/>
          <w:szCs w:val="24"/>
        </w:rPr>
        <w:t>目    录</w:t>
      </w:r>
      <w:bookmarkEnd w:id="0"/>
      <w:bookmarkEnd w:id="1"/>
      <w:bookmarkStart w:id="2" w:name="_Toc152042287"/>
      <w:bookmarkStart w:id="3" w:name="_Toc490667779"/>
      <w:bookmarkStart w:id="4" w:name="_Toc152045511"/>
      <w:bookmarkStart w:id="5" w:name="_Toc144974479"/>
    </w:p>
    <w:p w14:paraId="67280EE9">
      <w:pPr>
        <w:pStyle w:val="16"/>
        <w:tabs>
          <w:tab w:val="right" w:leader="dot" w:pos="9040"/>
        </w:tabs>
        <w:spacing w:line="600" w:lineRule="auto"/>
        <w:ind w:firstLine="0" w:firstLineChars="0"/>
        <w:rPr>
          <w:rFonts w:ascii="宋体" w:hAnsi="宋体" w:eastAsia="宋体" w:cs="宋体"/>
          <w:sz w:val="24"/>
          <w:szCs w:val="24"/>
        </w:rPr>
      </w:pPr>
    </w:p>
    <w:p w14:paraId="1ABB6D34">
      <w:pPr>
        <w:pStyle w:val="16"/>
        <w:tabs>
          <w:tab w:val="right" w:leader="dot" w:pos="9040"/>
        </w:tabs>
        <w:spacing w:line="600" w:lineRule="auto"/>
        <w:ind w:firstLine="0" w:firstLineChars="0"/>
        <w:rPr>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"_Toc19546" </w:instrText>
      </w:r>
      <w:r>
        <w:fldChar w:fldCharType="separate"/>
      </w:r>
      <w:r>
        <w:rPr>
          <w:rFonts w:hint="eastAsia" w:ascii="宋体" w:hAnsi="宋体" w:cs="宋体"/>
          <w:bCs/>
          <w:sz w:val="24"/>
          <w:szCs w:val="40"/>
        </w:rPr>
        <w:t>第一章 竞争性磋商公告</w:t>
      </w:r>
      <w:r>
        <w:rPr>
          <w:sz w:val="24"/>
          <w:szCs w:val="28"/>
        </w:rPr>
        <w:tab/>
      </w:r>
      <w:r>
        <w:rPr>
          <w:sz w:val="24"/>
          <w:szCs w:val="28"/>
        </w:rPr>
        <w:fldChar w:fldCharType="begin"/>
      </w:r>
      <w:r>
        <w:rPr>
          <w:sz w:val="24"/>
          <w:szCs w:val="28"/>
        </w:rPr>
        <w:instrText xml:space="preserve"> PAGEREF _Toc19546 \h </w:instrText>
      </w:r>
      <w:r>
        <w:rPr>
          <w:sz w:val="24"/>
          <w:szCs w:val="28"/>
        </w:rPr>
        <w:fldChar w:fldCharType="separate"/>
      </w:r>
      <w:r>
        <w:rPr>
          <w:sz w:val="24"/>
          <w:szCs w:val="28"/>
        </w:rPr>
        <w:t>5</w:t>
      </w:r>
      <w:r>
        <w:rPr>
          <w:sz w:val="24"/>
          <w:szCs w:val="28"/>
        </w:rPr>
        <w:fldChar w:fldCharType="end"/>
      </w:r>
      <w:r>
        <w:rPr>
          <w:sz w:val="24"/>
          <w:szCs w:val="28"/>
        </w:rPr>
        <w:fldChar w:fldCharType="end"/>
      </w:r>
    </w:p>
    <w:p w14:paraId="01A05033">
      <w:pPr>
        <w:pStyle w:val="16"/>
        <w:tabs>
          <w:tab w:val="right" w:leader="dot" w:pos="9040"/>
        </w:tabs>
        <w:spacing w:line="600" w:lineRule="auto"/>
        <w:ind w:firstLine="0" w:firstLineChars="0"/>
        <w:rPr>
          <w:sz w:val="24"/>
          <w:szCs w:val="28"/>
        </w:rPr>
      </w:pPr>
      <w:r>
        <w:fldChar w:fldCharType="begin"/>
      </w:r>
      <w:r>
        <w:instrText xml:space="preserve"> HYPERLINK \l "_Toc9894" </w:instrText>
      </w:r>
      <w:r>
        <w:fldChar w:fldCharType="separate"/>
      </w:r>
      <w:r>
        <w:rPr>
          <w:rFonts w:hint="eastAsia" w:ascii="宋体" w:hAnsi="宋体" w:cs="宋体"/>
          <w:bCs/>
          <w:sz w:val="24"/>
          <w:szCs w:val="40"/>
        </w:rPr>
        <w:t>第二章 供应商须知</w:t>
      </w:r>
      <w:r>
        <w:rPr>
          <w:sz w:val="24"/>
          <w:szCs w:val="28"/>
        </w:rPr>
        <w:tab/>
      </w:r>
      <w:r>
        <w:rPr>
          <w:rFonts w:hint="eastAsia"/>
          <w:sz w:val="24"/>
          <w:szCs w:val="28"/>
        </w:rPr>
        <w:t>1</w:t>
      </w:r>
      <w:r>
        <w:rPr>
          <w:rFonts w:hint="eastAsia"/>
          <w:sz w:val="24"/>
          <w:szCs w:val="28"/>
        </w:rPr>
        <w:fldChar w:fldCharType="end"/>
      </w:r>
      <w:r>
        <w:rPr>
          <w:rFonts w:hint="eastAsia"/>
          <w:sz w:val="24"/>
          <w:szCs w:val="28"/>
        </w:rPr>
        <w:t>1</w:t>
      </w:r>
    </w:p>
    <w:p w14:paraId="55CEE10D">
      <w:pPr>
        <w:pStyle w:val="16"/>
        <w:tabs>
          <w:tab w:val="right" w:leader="dot" w:pos="9040"/>
        </w:tabs>
        <w:spacing w:line="600" w:lineRule="auto"/>
        <w:ind w:firstLine="0" w:firstLineChars="0"/>
        <w:rPr>
          <w:rFonts w:ascii="宋体" w:hAnsi="宋体" w:cs="宋体"/>
          <w:b/>
          <w:bCs/>
          <w:sz w:val="24"/>
          <w:szCs w:val="24"/>
        </w:rPr>
      </w:pPr>
      <w:r>
        <w:fldChar w:fldCharType="begin"/>
      </w:r>
      <w:r>
        <w:instrText xml:space="preserve"> HYPERLINK \l "_Toc4131" </w:instrText>
      </w:r>
      <w:r>
        <w:fldChar w:fldCharType="separate"/>
      </w:r>
      <w:r>
        <w:rPr>
          <w:rFonts w:hint="eastAsia" w:ascii="宋体" w:hAnsi="宋体" w:cs="宋体"/>
          <w:kern w:val="44"/>
          <w:sz w:val="24"/>
          <w:szCs w:val="40"/>
        </w:rPr>
        <w:t>第三章 评审办法（综合评分法）</w:t>
      </w:r>
      <w:r>
        <w:rPr>
          <w:sz w:val="24"/>
          <w:szCs w:val="28"/>
        </w:rPr>
        <w:tab/>
      </w:r>
      <w:r>
        <w:rPr>
          <w:sz w:val="24"/>
          <w:szCs w:val="28"/>
        </w:rPr>
        <w:fldChar w:fldCharType="begin"/>
      </w:r>
      <w:r>
        <w:rPr>
          <w:sz w:val="24"/>
          <w:szCs w:val="28"/>
        </w:rPr>
        <w:instrText xml:space="preserve"> PAGEREF _Toc4131 \h </w:instrText>
      </w:r>
      <w:r>
        <w:rPr>
          <w:sz w:val="24"/>
          <w:szCs w:val="28"/>
        </w:rPr>
        <w:fldChar w:fldCharType="separate"/>
      </w:r>
      <w:r>
        <w:rPr>
          <w:sz w:val="24"/>
          <w:szCs w:val="28"/>
        </w:rPr>
        <w:t>24</w:t>
      </w:r>
      <w:r>
        <w:rPr>
          <w:sz w:val="24"/>
          <w:szCs w:val="28"/>
        </w:rPr>
        <w:fldChar w:fldCharType="end"/>
      </w:r>
      <w:r>
        <w:rPr>
          <w:sz w:val="24"/>
          <w:szCs w:val="28"/>
        </w:rPr>
        <w:fldChar w:fldCharType="end"/>
      </w:r>
    </w:p>
    <w:p w14:paraId="59B195A3">
      <w:pPr>
        <w:pStyle w:val="16"/>
        <w:tabs>
          <w:tab w:val="right" w:leader="dot" w:pos="9040"/>
        </w:tabs>
        <w:spacing w:line="600" w:lineRule="auto"/>
        <w:ind w:firstLine="0" w:firstLineChars="0"/>
        <w:rPr>
          <w:sz w:val="24"/>
          <w:szCs w:val="28"/>
        </w:rPr>
      </w:pPr>
      <w:r>
        <w:fldChar w:fldCharType="begin"/>
      </w:r>
      <w:r>
        <w:instrText xml:space="preserve"> HYPERLINK \l "_Toc27582" </w:instrText>
      </w:r>
      <w:r>
        <w:fldChar w:fldCharType="separate"/>
      </w:r>
      <w:r>
        <w:rPr>
          <w:rFonts w:hint="eastAsia" w:ascii="宋体" w:hAnsi="宋体" w:cs="宋体"/>
          <w:kern w:val="44"/>
          <w:sz w:val="24"/>
          <w:szCs w:val="40"/>
        </w:rPr>
        <w:t>第四章 河南省政府采购合同（参考文本）</w:t>
      </w:r>
      <w:r>
        <w:rPr>
          <w:sz w:val="24"/>
          <w:szCs w:val="28"/>
        </w:rPr>
        <w:tab/>
      </w:r>
      <w:r>
        <w:rPr>
          <w:rFonts w:hint="eastAsia"/>
          <w:sz w:val="24"/>
          <w:szCs w:val="28"/>
        </w:rPr>
        <w:t>3</w:t>
      </w:r>
      <w:r>
        <w:rPr>
          <w:rFonts w:hint="eastAsia"/>
          <w:sz w:val="24"/>
          <w:szCs w:val="28"/>
        </w:rPr>
        <w:fldChar w:fldCharType="end"/>
      </w:r>
      <w:r>
        <w:rPr>
          <w:rFonts w:hint="eastAsia"/>
          <w:sz w:val="24"/>
          <w:szCs w:val="28"/>
        </w:rPr>
        <w:t>4</w:t>
      </w:r>
    </w:p>
    <w:p w14:paraId="59E44A7A">
      <w:pPr>
        <w:pStyle w:val="16"/>
        <w:tabs>
          <w:tab w:val="right" w:leader="dot" w:pos="9040"/>
        </w:tabs>
        <w:spacing w:line="600" w:lineRule="auto"/>
        <w:ind w:firstLine="0" w:firstLineChars="0"/>
        <w:rPr>
          <w:sz w:val="24"/>
          <w:szCs w:val="28"/>
        </w:rPr>
      </w:pPr>
      <w:r>
        <w:fldChar w:fldCharType="begin"/>
      </w:r>
      <w:r>
        <w:instrText xml:space="preserve"> HYPERLINK \l "_Toc16235" </w:instrText>
      </w:r>
      <w:r>
        <w:fldChar w:fldCharType="separate"/>
      </w:r>
      <w:r>
        <w:rPr>
          <w:rFonts w:hint="eastAsia" w:ascii="宋体" w:hAnsi="宋体" w:cs="宋体"/>
          <w:sz w:val="24"/>
          <w:szCs w:val="36"/>
        </w:rPr>
        <w:t>第五章 采购项目技术参数、规格与要求</w:t>
      </w:r>
      <w:r>
        <w:rPr>
          <w:sz w:val="24"/>
          <w:szCs w:val="28"/>
        </w:rPr>
        <w:tab/>
      </w:r>
      <w:r>
        <w:rPr>
          <w:rFonts w:hint="eastAsia"/>
          <w:sz w:val="24"/>
          <w:szCs w:val="28"/>
        </w:rPr>
        <w:t>3</w:t>
      </w:r>
      <w:r>
        <w:rPr>
          <w:rFonts w:hint="eastAsia"/>
          <w:sz w:val="24"/>
          <w:szCs w:val="28"/>
        </w:rPr>
        <w:fldChar w:fldCharType="end"/>
      </w:r>
      <w:r>
        <w:rPr>
          <w:rFonts w:hint="eastAsia"/>
          <w:sz w:val="24"/>
          <w:szCs w:val="28"/>
        </w:rPr>
        <w:t>6</w:t>
      </w:r>
    </w:p>
    <w:p w14:paraId="415861F5">
      <w:pPr>
        <w:pStyle w:val="16"/>
        <w:tabs>
          <w:tab w:val="right" w:leader="dot" w:pos="9040"/>
        </w:tabs>
        <w:spacing w:line="600" w:lineRule="auto"/>
        <w:ind w:firstLine="0" w:firstLineChars="0"/>
        <w:rPr>
          <w:sz w:val="24"/>
          <w:szCs w:val="28"/>
        </w:rPr>
      </w:pPr>
      <w:r>
        <w:fldChar w:fldCharType="begin"/>
      </w:r>
      <w:r>
        <w:instrText xml:space="preserve"> HYPERLINK \l "_Toc14701" </w:instrText>
      </w:r>
      <w:r>
        <w:fldChar w:fldCharType="separate"/>
      </w:r>
      <w:r>
        <w:rPr>
          <w:rFonts w:hint="eastAsia" w:ascii="宋体" w:hAnsi="宋体" w:cs="宋体"/>
          <w:sz w:val="24"/>
          <w:szCs w:val="36"/>
        </w:rPr>
        <w:t>第六章 竞争性磋商响应文件格式</w:t>
      </w:r>
      <w:r>
        <w:rPr>
          <w:sz w:val="24"/>
          <w:szCs w:val="28"/>
        </w:rPr>
        <w:tab/>
      </w:r>
      <w:r>
        <w:rPr>
          <w:rFonts w:hint="eastAsia"/>
          <w:sz w:val="24"/>
          <w:szCs w:val="28"/>
        </w:rPr>
        <w:t>3</w:t>
      </w:r>
      <w:r>
        <w:rPr>
          <w:rFonts w:hint="eastAsia"/>
          <w:sz w:val="24"/>
          <w:szCs w:val="28"/>
        </w:rPr>
        <w:fldChar w:fldCharType="end"/>
      </w:r>
      <w:r>
        <w:rPr>
          <w:rFonts w:hint="eastAsia"/>
          <w:sz w:val="24"/>
          <w:szCs w:val="28"/>
        </w:rPr>
        <w:t>8</w:t>
      </w:r>
    </w:p>
    <w:p w14:paraId="3FA9EF91">
      <w:pPr>
        <w:spacing w:line="440" w:lineRule="exact"/>
        <w:ind w:firstLine="0" w:firstLineChars="0"/>
        <w:rPr>
          <w:rFonts w:ascii="宋体" w:hAnsi="宋体" w:eastAsia="宋体" w:cs="宋体"/>
          <w:szCs w:val="24"/>
        </w:rPr>
      </w:pPr>
    </w:p>
    <w:p w14:paraId="492731DE">
      <w:pPr>
        <w:spacing w:line="440" w:lineRule="exact"/>
        <w:ind w:firstLine="0" w:firstLineChars="0"/>
        <w:rPr>
          <w:rFonts w:ascii="宋体" w:hAnsi="宋体" w:eastAsia="宋体" w:cs="宋体"/>
          <w:szCs w:val="24"/>
        </w:rPr>
      </w:pPr>
      <w:r>
        <w:rPr>
          <w:rFonts w:hint="eastAsia" w:ascii="宋体" w:hAnsi="宋体" w:eastAsia="宋体" w:cs="宋体"/>
          <w:szCs w:val="24"/>
        </w:rPr>
        <w:fldChar w:fldCharType="end"/>
      </w:r>
    </w:p>
    <w:p w14:paraId="4E2FDAEE">
      <w:pPr>
        <w:pStyle w:val="21"/>
        <w:ind w:firstLine="210"/>
        <w:rPr>
          <w:rFonts w:ascii="宋体" w:hAnsi="宋体" w:eastAsia="宋体" w:cs="宋体"/>
          <w:szCs w:val="24"/>
        </w:rPr>
      </w:pPr>
    </w:p>
    <w:p w14:paraId="1324C84D">
      <w:pPr>
        <w:pStyle w:val="22"/>
        <w:rPr>
          <w:rFonts w:ascii="宋体" w:hAnsi="宋体" w:eastAsia="宋体" w:cs="宋体"/>
          <w:szCs w:val="24"/>
        </w:rPr>
      </w:pPr>
    </w:p>
    <w:p w14:paraId="49BE4F3D">
      <w:pPr>
        <w:ind w:firstLine="420"/>
        <w:rPr>
          <w:rFonts w:ascii="宋体" w:hAnsi="宋体" w:eastAsia="宋体" w:cs="宋体"/>
          <w:szCs w:val="24"/>
        </w:rPr>
      </w:pPr>
    </w:p>
    <w:p w14:paraId="212EA0A6">
      <w:pPr>
        <w:pStyle w:val="21"/>
        <w:ind w:firstLine="210"/>
        <w:rPr>
          <w:rFonts w:ascii="宋体" w:hAnsi="宋体" w:eastAsia="宋体" w:cs="宋体"/>
          <w:szCs w:val="24"/>
        </w:rPr>
      </w:pPr>
    </w:p>
    <w:p w14:paraId="7C8AB39D">
      <w:pPr>
        <w:ind w:firstLine="0" w:firstLineChars="0"/>
      </w:pPr>
    </w:p>
    <w:p w14:paraId="35B84459">
      <w:pPr>
        <w:ind w:firstLine="420"/>
        <w:rPr>
          <w:rFonts w:ascii="宋体" w:hAnsi="宋体" w:eastAsia="宋体" w:cs="宋体"/>
          <w:szCs w:val="24"/>
        </w:rPr>
      </w:pPr>
    </w:p>
    <w:p w14:paraId="095BC71A">
      <w:pPr>
        <w:pStyle w:val="22"/>
        <w:ind w:left="0" w:leftChars="0" w:firstLine="0" w:firstLineChars="0"/>
        <w:rPr>
          <w:rFonts w:ascii="宋体" w:hAnsi="宋体" w:eastAsia="宋体" w:cs="宋体"/>
          <w:szCs w:val="24"/>
        </w:rPr>
      </w:pPr>
    </w:p>
    <w:p w14:paraId="5B678BEC">
      <w:pPr>
        <w:ind w:firstLine="420"/>
        <w:rPr>
          <w:rFonts w:ascii="宋体" w:hAnsi="宋体" w:eastAsia="宋体" w:cs="宋体"/>
          <w:szCs w:val="24"/>
        </w:rPr>
      </w:pPr>
    </w:p>
    <w:p w14:paraId="236C0064">
      <w:pPr>
        <w:pStyle w:val="21"/>
        <w:ind w:firstLine="0" w:firstLineChars="0"/>
      </w:pPr>
    </w:p>
    <w:p w14:paraId="3EAC0E6D">
      <w:pPr>
        <w:spacing w:line="240" w:lineRule="auto"/>
        <w:ind w:firstLine="0" w:firstLineChars="0"/>
        <w:jc w:val="center"/>
        <w:rPr>
          <w:rFonts w:ascii="宋体" w:hAnsi="宋体" w:eastAsia="宋体" w:cs="宋体"/>
          <w:b/>
          <w:spacing w:val="14"/>
          <w:sz w:val="44"/>
          <w:szCs w:val="44"/>
        </w:rPr>
        <w:sectPr>
          <w:footerReference r:id="rId7" w:type="default"/>
          <w:pgSz w:w="11850" w:h="16783"/>
          <w:pgMar w:top="1134" w:right="1134" w:bottom="1134" w:left="1417" w:header="850" w:footer="669" w:gutter="0"/>
          <w:pgNumType w:fmt="numberInDash" w:start="1"/>
          <w:cols w:space="720" w:num="1"/>
          <w:rtlGutter w:val="0"/>
          <w:docGrid w:type="lines" w:linePitch="380" w:charSpace="0"/>
        </w:sectPr>
      </w:pPr>
    </w:p>
    <w:p w14:paraId="0C848A9D">
      <w:pPr>
        <w:spacing w:line="240" w:lineRule="auto"/>
        <w:ind w:firstLine="0" w:firstLineChars="0"/>
        <w:jc w:val="center"/>
        <w:rPr>
          <w:rFonts w:ascii="宋体" w:hAnsi="宋体" w:eastAsia="宋体" w:cs="宋体"/>
          <w:b/>
          <w:spacing w:val="14"/>
          <w:sz w:val="44"/>
          <w:szCs w:val="44"/>
        </w:rPr>
      </w:pPr>
      <w:r>
        <w:rPr>
          <w:rFonts w:hint="eastAsia" w:ascii="宋体" w:hAnsi="宋体" w:eastAsia="宋体" w:cs="宋体"/>
          <w:b/>
          <w:spacing w:val="14"/>
          <w:sz w:val="36"/>
          <w:szCs w:val="36"/>
        </w:rPr>
        <w:t>特别提示</w:t>
      </w:r>
    </w:p>
    <w:p w14:paraId="76426DB9">
      <w:pPr>
        <w:spacing w:line="400" w:lineRule="exact"/>
        <w:ind w:firstLine="482"/>
        <w:rPr>
          <w:rFonts w:ascii="宋体" w:hAnsi="宋体" w:cs="宋体"/>
          <w:b/>
          <w:bCs/>
          <w:sz w:val="24"/>
        </w:rPr>
      </w:pPr>
    </w:p>
    <w:p w14:paraId="04A07AD1">
      <w:pPr>
        <w:wordWrap w:val="0"/>
        <w:spacing w:line="360" w:lineRule="auto"/>
        <w:ind w:left="-199" w:leftChars="-95" w:firstLine="440" w:firstLineChars="200"/>
        <w:jc w:val="left"/>
        <w:rPr>
          <w:rFonts w:hint="eastAsia" w:ascii="宋体" w:hAnsi="宋体" w:cs="宋体"/>
          <w:sz w:val="22"/>
          <w:szCs w:val="22"/>
        </w:rPr>
      </w:pPr>
      <w:bookmarkStart w:id="6" w:name="_Toc30363"/>
      <w:bookmarkStart w:id="7" w:name="_Toc19546"/>
      <w:r>
        <w:rPr>
          <w:rFonts w:hint="eastAsia" w:ascii="宋体" w:hAnsi="宋体" w:cs="宋体"/>
          <w:sz w:val="22"/>
          <w:szCs w:val="22"/>
        </w:rPr>
        <w:t>一、投标人（供应商）注册</w:t>
      </w:r>
    </w:p>
    <w:p w14:paraId="018711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凡有意参加本项目的投标人（供应商），请登录“固始县公共资源交易网（http://ggzyjy.xinyang.gov.cn/gushi/）”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12BC8FA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二、办理CA数字证书</w:t>
      </w:r>
    </w:p>
    <w:p w14:paraId="1DFF143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631FD8B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三、招标（采购）文件获取方式</w:t>
      </w:r>
    </w:p>
    <w:p w14:paraId="74CEC96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凭CA数字证书登录会员系统后，即可按网上提示免费下载招标（采购）文件及资料（操作程序详见固始县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2224903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四、投标（响应）文件制作</w:t>
      </w:r>
    </w:p>
    <w:p w14:paraId="3896564D">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投标（响应）文件应使用固始县公共资源交易系统投标文件制作专用工具软件编制，投标（响应）文件格式为“*.XYTF”。</w:t>
      </w:r>
    </w:p>
    <w:p w14:paraId="6D6D015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投标人（供应商）须在投标（响应）文件递交截止时间前制作并提交。</w:t>
      </w:r>
    </w:p>
    <w:p w14:paraId="4BF06E4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五、投标（响应）文件的签字和盖章要求</w:t>
      </w:r>
    </w:p>
    <w:p w14:paraId="2F306A1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1、投标文件（响应）格式中所有要求投标人（供应商）加盖公章的地方都须加盖投标人（供应商）的 CA 印章。</w:t>
      </w:r>
    </w:p>
    <w:p w14:paraId="37E098A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2、投标文件（响应）格式中所有要求法定代表人或其委托代理人签字或盖章的地方须加盖法定代表人或其委托代理人的电子签名或个人印章。</w:t>
      </w:r>
    </w:p>
    <w:p w14:paraId="29AB7D5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六、投标文件份数</w:t>
      </w:r>
    </w:p>
    <w:p w14:paraId="50D627A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加密的电子投标（响应）文件壹份（*.XYTF 格式，在会员系统指定位置上传）。</w:t>
      </w:r>
    </w:p>
    <w:p w14:paraId="6A3649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七、投标（响应）文件的递交</w:t>
      </w:r>
    </w:p>
    <w:p w14:paraId="6E131E57">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1、电子投标（响应）文件的递交</w:t>
      </w:r>
    </w:p>
    <w:p w14:paraId="5B46725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FD1C22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2、除电子投标（响应）文件外，不再接受任何纸质文件、资料原件等。</w:t>
      </w:r>
    </w:p>
    <w:p w14:paraId="4C04C008">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八、澄清与变更</w:t>
      </w:r>
    </w:p>
    <w:p w14:paraId="554AAFE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AE2497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九、其他注意事项 </w:t>
      </w:r>
    </w:p>
    <w:p w14:paraId="3AF2452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1、供应商编制投标文件时，涉及的营业执照、资质、获奖、社保、纳税等固定内容可在交易中心主体信用信息中录入。 </w:t>
      </w:r>
    </w:p>
    <w:p w14:paraId="1A7C3EE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p>
    <w:p w14:paraId="4A76C85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3BFD587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4539EE3C">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十、特别提醒</w:t>
      </w:r>
    </w:p>
    <w:p w14:paraId="734E97C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1、投标文件中的扫描件，在确保清晰的前提下，每张最好控制在 500kb 内，生成的加密电子投标文件最好不要超过50MB。</w:t>
      </w:r>
    </w:p>
    <w:p w14:paraId="1C4E88E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2、各投标单位请务必在开标结束后对开标记录表签章后再离席。</w:t>
      </w:r>
    </w:p>
    <w:p w14:paraId="2B63BB0C">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6BF09684">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0EEDE35E">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2E03BBD7">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bookmarkEnd w:id="2"/>
    <w:bookmarkEnd w:id="3"/>
    <w:bookmarkEnd w:id="4"/>
    <w:bookmarkEnd w:id="5"/>
    <w:bookmarkEnd w:id="6"/>
    <w:bookmarkEnd w:id="7"/>
    <w:p w14:paraId="1A749AA2">
      <w:pPr>
        <w:pStyle w:val="2"/>
        <w:tabs>
          <w:tab w:val="left" w:pos="1440"/>
        </w:tabs>
        <w:wordWrap w:val="0"/>
        <w:rPr>
          <w:rFonts w:ascii="宋体" w:hAnsi="宋体" w:cs="宋体"/>
          <w:sz w:val="36"/>
          <w:szCs w:val="24"/>
        </w:rPr>
      </w:pPr>
      <w:bookmarkStart w:id="8" w:name="_Toc2362"/>
      <w:bookmarkStart w:id="9" w:name="_Toc22722"/>
      <w:r>
        <w:rPr>
          <w:rFonts w:hint="eastAsia" w:ascii="宋体" w:hAnsi="宋体" w:cs="宋体"/>
          <w:sz w:val="36"/>
          <w:szCs w:val="24"/>
        </w:rPr>
        <w:t>第一章 竞争性磋商公告</w:t>
      </w:r>
      <w:bookmarkEnd w:id="8"/>
      <w:bookmarkEnd w:id="9"/>
    </w:p>
    <w:p w14:paraId="6E9DF5BB">
      <w:pPr>
        <w:tabs>
          <w:tab w:val="left" w:pos="709"/>
        </w:tabs>
        <w:wordWrap w:val="0"/>
        <w:autoSpaceDE w:val="0"/>
        <w:autoSpaceDN w:val="0"/>
        <w:adjustRightInd w:val="0"/>
        <w:snapToGrid w:val="0"/>
        <w:spacing w:line="360" w:lineRule="auto"/>
        <w:jc w:val="center"/>
        <w:rPr>
          <w:rFonts w:hint="eastAsia" w:ascii="宋体" w:hAnsi="宋体" w:cs="宋体"/>
          <w:b/>
          <w:sz w:val="28"/>
          <w:szCs w:val="28"/>
          <w:lang w:eastAsia="zh-CN"/>
        </w:rPr>
      </w:pPr>
      <w:bookmarkStart w:id="10" w:name="_Toc20435"/>
    </w:p>
    <w:p w14:paraId="00F52898">
      <w:pPr>
        <w:tabs>
          <w:tab w:val="left" w:pos="709"/>
        </w:tabs>
        <w:wordWrap w:val="0"/>
        <w:autoSpaceDE w:val="0"/>
        <w:autoSpaceDN w:val="0"/>
        <w:adjustRightInd w:val="0"/>
        <w:snapToGrid w:val="0"/>
        <w:spacing w:line="360" w:lineRule="auto"/>
        <w:jc w:val="center"/>
        <w:rPr>
          <w:rFonts w:ascii="宋体" w:hAnsi="宋体" w:cs="宋体"/>
          <w:b/>
          <w:sz w:val="28"/>
          <w:szCs w:val="28"/>
        </w:rPr>
      </w:pPr>
      <w:r>
        <w:rPr>
          <w:rFonts w:hint="eastAsia" w:ascii="宋体" w:hAnsi="宋体" w:cs="宋体"/>
          <w:b/>
          <w:sz w:val="28"/>
          <w:szCs w:val="28"/>
          <w:lang w:eastAsia="zh-CN"/>
        </w:rPr>
        <w:t>固始县公安局机关大楼采购电梯项目</w:t>
      </w:r>
      <w:r>
        <w:rPr>
          <w:rFonts w:hint="eastAsia" w:ascii="宋体" w:hAnsi="宋体" w:cs="宋体"/>
          <w:b/>
          <w:sz w:val="28"/>
          <w:szCs w:val="28"/>
        </w:rPr>
        <w:t>竞争性磋商公告</w:t>
      </w:r>
    </w:p>
    <w:p w14:paraId="207E8848">
      <w:pPr>
        <w:pBdr>
          <w:top w:val="single" w:color="auto" w:sz="4" w:space="1"/>
          <w:left w:val="single" w:color="auto" w:sz="4" w:space="4"/>
          <w:bottom w:val="single" w:color="auto" w:sz="4" w:space="1"/>
          <w:right w:val="single" w:color="auto" w:sz="4" w:space="4"/>
        </w:pBdr>
        <w:wordWrap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9AF754D">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z w:val="24"/>
          <w:szCs w:val="24"/>
          <w:u w:val="single"/>
          <w:shd w:val="clear" w:color="auto" w:fill="FFFFFF"/>
          <w:lang w:eastAsia="zh-CN"/>
        </w:rPr>
        <w:t>固始县公安局机关大楼采购电梯项目</w:t>
      </w:r>
      <w:r>
        <w:rPr>
          <w:rFonts w:hint="eastAsia" w:asciiTheme="minorEastAsia" w:hAnsiTheme="minorEastAsia" w:eastAsiaTheme="minorEastAsia" w:cstheme="minorEastAsia"/>
          <w:sz w:val="24"/>
          <w:szCs w:val="24"/>
          <w:highlight w:val="none"/>
          <w:shd w:val="clear" w:color="auto" w:fill="FFFFFF"/>
        </w:rPr>
        <w:t>招标项目的潜在投标人应在“</w:t>
      </w:r>
      <w:r>
        <w:rPr>
          <w:rFonts w:hint="eastAsia" w:asciiTheme="minorEastAsia" w:hAnsiTheme="minorEastAsia" w:eastAsiaTheme="minorEastAsia" w:cstheme="minorEastAsia"/>
          <w:sz w:val="24"/>
          <w:szCs w:val="24"/>
          <w:highlight w:val="none"/>
          <w:shd w:val="clear" w:color="auto" w:fill="FFFFFF"/>
          <w:lang w:eastAsia="zh-CN"/>
        </w:rPr>
        <w:t>《固始县公共资源交易网》</w:t>
      </w:r>
      <w:r>
        <w:rPr>
          <w:rFonts w:hint="eastAsia" w:asciiTheme="minorEastAsia" w:hAnsiTheme="minorEastAsia" w:eastAsiaTheme="minorEastAsia" w:cstheme="minorEastAsia"/>
          <w:sz w:val="24"/>
          <w:szCs w:val="24"/>
          <w:highlight w:val="none"/>
          <w:shd w:val="clear" w:color="auto" w:fill="FFFFFF"/>
        </w:rPr>
        <w:t>（</w:t>
      </w:r>
      <w:r>
        <w:rPr>
          <w:rFonts w:hint="eastAsia" w:asciiTheme="minorEastAsia" w:hAnsiTheme="minorEastAsia" w:eastAsiaTheme="minorEastAsia" w:cstheme="minorEastAsia"/>
          <w:sz w:val="24"/>
          <w:szCs w:val="24"/>
          <w:highlight w:val="none"/>
          <w:shd w:val="clear" w:color="auto" w:fill="FFFFFF"/>
          <w:lang w:eastAsia="zh-CN"/>
        </w:rPr>
        <w:t>https://ggzyjy.xinyang.gov.cn/gushi/</w:t>
      </w:r>
      <w:r>
        <w:rPr>
          <w:rFonts w:hint="eastAsia" w:asciiTheme="minorEastAsia" w:hAnsiTheme="minorEastAsia" w:eastAsiaTheme="minorEastAsia" w:cstheme="minorEastAsia"/>
          <w:sz w:val="24"/>
          <w:szCs w:val="24"/>
          <w:highlight w:val="none"/>
          <w:shd w:val="clear" w:color="auto" w:fill="FFFFFF"/>
        </w:rPr>
        <w:t>）”获取磋商文件，并于</w:t>
      </w:r>
      <w:r>
        <w:rPr>
          <w:rFonts w:hint="eastAsia" w:asciiTheme="minorEastAsia" w:hAnsiTheme="minorEastAsia" w:eastAsiaTheme="minorEastAsia" w:cstheme="minorEastAsia"/>
          <w:b/>
          <w:bCs w:val="0"/>
          <w:color w:val="auto"/>
          <w:sz w:val="24"/>
          <w:szCs w:val="24"/>
          <w:highlight w:val="none"/>
          <w:u w:val="single"/>
          <w:shd w:val="clear" w:color="auto" w:fill="FFFFFF"/>
          <w:lang w:eastAsia="zh-CN"/>
        </w:rPr>
        <w:t>202</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年</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月</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cstheme="minorEastAsia"/>
          <w:b/>
          <w:bCs w:val="0"/>
          <w:color w:val="auto"/>
          <w:sz w:val="24"/>
          <w:szCs w:val="24"/>
          <w:highlight w:val="none"/>
          <w:u w:val="single"/>
          <w:shd w:val="clear" w:color="auto" w:fill="FFFFFF"/>
          <w:lang w:val="en-US" w:eastAsia="zh-CN"/>
        </w:rPr>
        <w:t>3</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日</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08</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时</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30</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分</w:t>
      </w:r>
      <w:r>
        <w:rPr>
          <w:rFonts w:hint="eastAsia" w:asciiTheme="minorEastAsia" w:hAnsiTheme="minorEastAsia" w:eastAsiaTheme="minorEastAsia" w:cstheme="minorEastAsia"/>
          <w:color w:val="auto"/>
          <w:sz w:val="24"/>
          <w:szCs w:val="24"/>
          <w:highlight w:val="none"/>
          <w:shd w:val="clear" w:color="auto" w:fill="FFFFFF"/>
        </w:rPr>
        <w:t>（北京时间）前递交响应文件。</w:t>
      </w:r>
    </w:p>
    <w:p w14:paraId="72DCADB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一、项目基本情况</w:t>
      </w:r>
    </w:p>
    <w:p w14:paraId="3D00E4AC">
      <w:pPr>
        <w:tabs>
          <w:tab w:val="left" w:pos="709"/>
        </w:tabs>
        <w:wordWrap w:val="0"/>
        <w:autoSpaceDE w:val="0"/>
        <w:autoSpaceDN w:val="0"/>
        <w:adjustRightInd w:val="0"/>
        <w:snapToGrid w:val="0"/>
        <w:spacing w:line="360" w:lineRule="auto"/>
        <w:ind w:left="210" w:leftChars="100" w:firstLine="480" w:firstLineChars="20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1、采购编号：</w:t>
      </w:r>
      <w:r>
        <w:rPr>
          <w:rFonts w:hint="eastAsia" w:asciiTheme="minorEastAsia" w:hAnsiTheme="minorEastAsia" w:eastAsiaTheme="minorEastAsia" w:cstheme="minorEastAsia"/>
          <w:sz w:val="24"/>
          <w:szCs w:val="24"/>
          <w:highlight w:val="none"/>
          <w:lang w:eastAsia="zh-CN"/>
        </w:rPr>
        <w:t>固财磋商采购-202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32</w:t>
      </w:r>
    </w:p>
    <w:p w14:paraId="438DF538">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宋体" w:hAnsi="宋体" w:cs="宋体"/>
          <w:kern w:val="0"/>
          <w:sz w:val="24"/>
          <w:szCs w:val="24"/>
          <w:highlight w:val="none"/>
          <w:lang w:eastAsia="zh-CN"/>
        </w:rPr>
        <w:t>固始县公安局机关大楼采购电梯项目</w:t>
      </w:r>
    </w:p>
    <w:p w14:paraId="68D4ED4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3、采购方式：竞争性磋商</w:t>
      </w:r>
    </w:p>
    <w:p w14:paraId="5D4A19B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4、预算金额：</w:t>
      </w:r>
      <w:r>
        <w:rPr>
          <w:rFonts w:hint="eastAsia" w:asciiTheme="minorEastAsia" w:hAnsiTheme="minorEastAsia" w:cstheme="minorEastAsia"/>
          <w:sz w:val="24"/>
          <w:szCs w:val="24"/>
          <w:highlight w:val="none"/>
          <w:lang w:val="en-US" w:eastAsia="zh-CN"/>
        </w:rPr>
        <w:t>569462.5</w:t>
      </w:r>
      <w:r>
        <w:rPr>
          <w:rFonts w:hint="eastAsia" w:asciiTheme="minorEastAsia" w:hAnsiTheme="minorEastAsia" w:eastAsiaTheme="minorEastAsia" w:cstheme="minorEastAsia"/>
          <w:sz w:val="24"/>
          <w:szCs w:val="24"/>
          <w:highlight w:val="none"/>
        </w:rPr>
        <w:t>元</w:t>
      </w:r>
    </w:p>
    <w:p w14:paraId="349AE33B">
      <w:pPr>
        <w:wordWrap w:val="0"/>
        <w:spacing w:line="360" w:lineRule="auto"/>
        <w:ind w:firstLine="1080" w:firstLineChars="4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最高限价：</w:t>
      </w:r>
      <w:r>
        <w:rPr>
          <w:rFonts w:hint="eastAsia" w:asciiTheme="minorEastAsia" w:hAnsiTheme="minorEastAsia" w:cstheme="minorEastAsia"/>
          <w:sz w:val="24"/>
          <w:szCs w:val="24"/>
          <w:highlight w:val="none"/>
          <w:lang w:val="en-US" w:eastAsia="zh-CN"/>
        </w:rPr>
        <w:t>569462.5</w:t>
      </w:r>
      <w:r>
        <w:rPr>
          <w:rFonts w:hint="eastAsia" w:asciiTheme="minorEastAsia" w:hAnsiTheme="minorEastAsia" w:eastAsiaTheme="minorEastAsia" w:cstheme="minorEastAsia"/>
          <w:sz w:val="24"/>
          <w:szCs w:val="24"/>
          <w:highlight w:val="none"/>
          <w:lang w:bidi="zh-CN"/>
        </w:rPr>
        <w:t>元</w:t>
      </w:r>
    </w:p>
    <w:tbl>
      <w:tblPr>
        <w:tblStyle w:val="23"/>
        <w:tblpPr w:leftFromText="180" w:rightFromText="180" w:vertAnchor="text" w:horzAnchor="page" w:tblpXSpec="center" w:tblpY="25"/>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5"/>
        <w:gridCol w:w="2670"/>
        <w:gridCol w:w="2400"/>
        <w:gridCol w:w="1706"/>
        <w:gridCol w:w="1672"/>
      </w:tblGrid>
      <w:tr w14:paraId="1422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755" w:type="dxa"/>
            <w:tcBorders>
              <w:top w:val="single" w:color="000000" w:sz="4" w:space="0"/>
              <w:left w:val="single" w:color="000000" w:sz="4" w:space="0"/>
              <w:bottom w:val="single" w:color="000000" w:sz="4" w:space="0"/>
              <w:right w:val="single" w:color="000000" w:sz="4" w:space="0"/>
            </w:tcBorders>
            <w:vAlign w:val="center"/>
          </w:tcPr>
          <w:p w14:paraId="4DD413F6">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序号</w:t>
            </w:r>
          </w:p>
        </w:tc>
        <w:tc>
          <w:tcPr>
            <w:tcW w:w="2670" w:type="dxa"/>
            <w:tcBorders>
              <w:top w:val="single" w:color="000000" w:sz="4" w:space="0"/>
              <w:left w:val="single" w:color="000000" w:sz="4" w:space="0"/>
              <w:bottom w:val="single" w:color="000000" w:sz="4" w:space="0"/>
              <w:right w:val="single" w:color="000000" w:sz="4" w:space="0"/>
            </w:tcBorders>
            <w:vAlign w:val="center"/>
          </w:tcPr>
          <w:p w14:paraId="6E83EC9E">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包号</w:t>
            </w:r>
          </w:p>
        </w:tc>
        <w:tc>
          <w:tcPr>
            <w:tcW w:w="2400" w:type="dxa"/>
            <w:tcBorders>
              <w:top w:val="single" w:color="000000" w:sz="4" w:space="0"/>
              <w:left w:val="single" w:color="000000" w:sz="4" w:space="0"/>
              <w:bottom w:val="single" w:color="000000" w:sz="4" w:space="0"/>
              <w:right w:val="single" w:color="auto" w:sz="4" w:space="0"/>
            </w:tcBorders>
            <w:vAlign w:val="center"/>
          </w:tcPr>
          <w:p w14:paraId="368B7F05">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项目名称</w:t>
            </w:r>
          </w:p>
        </w:tc>
        <w:tc>
          <w:tcPr>
            <w:tcW w:w="1706" w:type="dxa"/>
            <w:tcBorders>
              <w:top w:val="single" w:color="000000" w:sz="4" w:space="0"/>
              <w:left w:val="single" w:color="000000" w:sz="4" w:space="0"/>
              <w:bottom w:val="single" w:color="000000" w:sz="4" w:space="0"/>
              <w:right w:val="single" w:color="auto" w:sz="4" w:space="0"/>
            </w:tcBorders>
            <w:vAlign w:val="center"/>
          </w:tcPr>
          <w:p w14:paraId="6E0C7F13">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预算金额（元）</w:t>
            </w:r>
          </w:p>
        </w:tc>
        <w:tc>
          <w:tcPr>
            <w:tcW w:w="1672" w:type="dxa"/>
            <w:tcBorders>
              <w:top w:val="single" w:color="000000" w:sz="4" w:space="0"/>
              <w:left w:val="single" w:color="auto" w:sz="4" w:space="0"/>
              <w:bottom w:val="single" w:color="000000" w:sz="4" w:space="0"/>
              <w:right w:val="single" w:color="auto" w:sz="4" w:space="0"/>
            </w:tcBorders>
            <w:vAlign w:val="center"/>
          </w:tcPr>
          <w:p w14:paraId="6D1362C0">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最高限价（元）</w:t>
            </w:r>
          </w:p>
        </w:tc>
      </w:tr>
      <w:tr w14:paraId="6942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755" w:type="dxa"/>
            <w:tcBorders>
              <w:top w:val="single" w:color="000000" w:sz="4" w:space="0"/>
              <w:left w:val="single" w:color="000000" w:sz="4" w:space="0"/>
              <w:right w:val="single" w:color="000000" w:sz="4" w:space="0"/>
            </w:tcBorders>
            <w:vAlign w:val="center"/>
          </w:tcPr>
          <w:p w14:paraId="02F2739A">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rPr>
              <w:t>1</w:t>
            </w:r>
          </w:p>
        </w:tc>
        <w:tc>
          <w:tcPr>
            <w:tcW w:w="2670" w:type="dxa"/>
            <w:tcBorders>
              <w:top w:val="single" w:color="000000" w:sz="4" w:space="0"/>
              <w:left w:val="single" w:color="000000" w:sz="4" w:space="0"/>
              <w:bottom w:val="single" w:color="000000" w:sz="4" w:space="0"/>
              <w:right w:val="single" w:color="000000" w:sz="4" w:space="0"/>
            </w:tcBorders>
            <w:vAlign w:val="center"/>
          </w:tcPr>
          <w:p w14:paraId="7EB68826">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lang w:eastAsia="zh-CN"/>
              </w:rPr>
              <w:t>固财磋商采购-202</w:t>
            </w:r>
            <w:r>
              <w:rPr>
                <w:rFonts w:hint="eastAsia" w:asciiTheme="minorEastAsia" w:hAnsiTheme="minorEastAsia" w:eastAsiaTheme="minorEastAsia" w:cstheme="minorEastAsia"/>
                <w:sz w:val="22"/>
                <w:szCs w:val="22"/>
                <w:highlight w:val="none"/>
                <w:shd w:val="clear" w:color="auto" w:fill="FFFFFF"/>
                <w:lang w:val="en-US" w:eastAsia="zh-CN"/>
              </w:rPr>
              <w:t>6</w:t>
            </w:r>
            <w:r>
              <w:rPr>
                <w:rFonts w:hint="eastAsia" w:asciiTheme="minorEastAsia" w:hAnsiTheme="minorEastAsia" w:eastAsiaTheme="minorEastAsia" w:cstheme="minorEastAsia"/>
                <w:sz w:val="22"/>
                <w:szCs w:val="22"/>
                <w:highlight w:val="none"/>
                <w:shd w:val="clear" w:color="auto" w:fill="FFFFFF"/>
                <w:lang w:eastAsia="zh-CN"/>
              </w:rPr>
              <w:t>-</w:t>
            </w:r>
            <w:r>
              <w:rPr>
                <w:rFonts w:hint="eastAsia" w:asciiTheme="minorEastAsia" w:hAnsiTheme="minorEastAsia" w:cstheme="minorEastAsia"/>
                <w:sz w:val="22"/>
                <w:szCs w:val="22"/>
                <w:highlight w:val="none"/>
                <w:shd w:val="clear" w:color="auto" w:fill="FFFFFF"/>
                <w:lang w:val="en-US" w:eastAsia="zh-CN"/>
              </w:rPr>
              <w:t>32</w:t>
            </w:r>
            <w:r>
              <w:rPr>
                <w:rFonts w:hint="eastAsia" w:asciiTheme="minorEastAsia" w:hAnsiTheme="minorEastAsia" w:eastAsiaTheme="minorEastAsia" w:cstheme="minorEastAsia"/>
                <w:sz w:val="22"/>
                <w:szCs w:val="22"/>
                <w:highlight w:val="none"/>
                <w:shd w:val="clear" w:color="auto" w:fill="FFFFFF"/>
              </w:rPr>
              <w:t>-1</w:t>
            </w:r>
          </w:p>
        </w:tc>
        <w:tc>
          <w:tcPr>
            <w:tcW w:w="2400" w:type="dxa"/>
            <w:tcBorders>
              <w:top w:val="single" w:color="000000" w:sz="4" w:space="0"/>
              <w:left w:val="single" w:color="000000" w:sz="4" w:space="0"/>
              <w:bottom w:val="single" w:color="000000" w:sz="4" w:space="0"/>
              <w:right w:val="single" w:color="auto" w:sz="4" w:space="0"/>
            </w:tcBorders>
            <w:vAlign w:val="center"/>
          </w:tcPr>
          <w:p w14:paraId="48DEE75F">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宋体" w:hAnsi="宋体" w:cs="宋体"/>
                <w:kern w:val="0"/>
                <w:sz w:val="22"/>
                <w:szCs w:val="22"/>
                <w:highlight w:val="none"/>
                <w:lang w:eastAsia="zh-CN"/>
              </w:rPr>
              <w:t>固始县公安局机关大楼采购电梯项目</w:t>
            </w:r>
          </w:p>
        </w:tc>
        <w:tc>
          <w:tcPr>
            <w:tcW w:w="1706" w:type="dxa"/>
            <w:tcBorders>
              <w:top w:val="single" w:color="000000" w:sz="4" w:space="0"/>
              <w:left w:val="single" w:color="000000" w:sz="4" w:space="0"/>
              <w:bottom w:val="single" w:color="000000" w:sz="4" w:space="0"/>
              <w:right w:val="single" w:color="auto" w:sz="4" w:space="0"/>
            </w:tcBorders>
            <w:vAlign w:val="center"/>
          </w:tcPr>
          <w:p w14:paraId="1DD4CBD4">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Theme="minorEastAsia" w:hAnsiTheme="minorEastAsia" w:cstheme="minorEastAsia"/>
                <w:sz w:val="24"/>
                <w:szCs w:val="24"/>
                <w:highlight w:val="none"/>
                <w:lang w:val="en-US" w:eastAsia="zh-CN"/>
              </w:rPr>
              <w:t>569462.5</w:t>
            </w:r>
          </w:p>
        </w:tc>
        <w:tc>
          <w:tcPr>
            <w:tcW w:w="1672" w:type="dxa"/>
            <w:tcBorders>
              <w:top w:val="single" w:color="000000" w:sz="4" w:space="0"/>
              <w:left w:val="single" w:color="auto" w:sz="4" w:space="0"/>
              <w:bottom w:val="single" w:color="000000" w:sz="4" w:space="0"/>
              <w:right w:val="single" w:color="auto" w:sz="4" w:space="0"/>
            </w:tcBorders>
            <w:vAlign w:val="center"/>
          </w:tcPr>
          <w:p w14:paraId="5C543083">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Theme="minorEastAsia" w:hAnsiTheme="minorEastAsia" w:cstheme="minorEastAsia"/>
                <w:sz w:val="24"/>
                <w:szCs w:val="24"/>
                <w:highlight w:val="none"/>
                <w:lang w:val="en-US" w:eastAsia="zh-CN"/>
              </w:rPr>
              <w:t>569462.5</w:t>
            </w:r>
          </w:p>
        </w:tc>
      </w:tr>
    </w:tbl>
    <w:p w14:paraId="76D3ADAE">
      <w:pPr>
        <w:tabs>
          <w:tab w:val="left" w:pos="709"/>
        </w:tabs>
        <w:wordWrap w:val="0"/>
        <w:autoSpaceDE w:val="0"/>
        <w:autoSpaceDN w:val="0"/>
        <w:adjustRightInd w:val="0"/>
        <w:snapToGrid w:val="0"/>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p>
    <w:p w14:paraId="46952F1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5、采购需求：</w:t>
      </w:r>
      <w:r>
        <w:rPr>
          <w:rFonts w:hint="eastAsia" w:asciiTheme="minorEastAsia" w:hAnsiTheme="minorEastAsia" w:eastAsiaTheme="minorEastAsia" w:cstheme="minorEastAsia"/>
          <w:bCs/>
          <w:color w:val="auto"/>
          <w:sz w:val="24"/>
          <w:szCs w:val="24"/>
          <w:highlight w:val="none"/>
        </w:rPr>
        <w:t>（包括但不限于标的的名称、数量、简要技术需求或服务要求等）：</w:t>
      </w:r>
    </w:p>
    <w:p w14:paraId="3E906528">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采购内容：</w:t>
      </w:r>
      <w:r>
        <w:rPr>
          <w:rFonts w:hint="eastAsia" w:asciiTheme="minorEastAsia" w:hAnsiTheme="minorEastAsia" w:cstheme="minorEastAsia"/>
          <w:color w:val="auto"/>
          <w:sz w:val="24"/>
          <w:szCs w:val="24"/>
          <w:highlight w:val="none"/>
          <w:lang w:val="en-US" w:eastAsia="zh-CN"/>
        </w:rPr>
        <w:t>包括</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cstheme="minorEastAsia"/>
          <w:color w:val="auto"/>
          <w:sz w:val="24"/>
          <w:szCs w:val="24"/>
          <w:highlight w:val="none"/>
          <w:lang w:val="en-US" w:eastAsia="zh-CN"/>
        </w:rPr>
        <w:t>两部电梯，拆除原有旧电梯，井道改造加固</w:t>
      </w:r>
      <w:r>
        <w:rPr>
          <w:rFonts w:hint="eastAsia" w:ascii="宋体" w:hAnsi="宋体" w:cs="宋体"/>
          <w:color w:val="auto"/>
          <w:kern w:val="0"/>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具体</w:t>
      </w:r>
      <w:r>
        <w:rPr>
          <w:rFonts w:hint="eastAsia" w:asciiTheme="minorEastAsia" w:hAnsiTheme="minorEastAsia" w:eastAsiaTheme="minorEastAsia" w:cstheme="minorEastAsia"/>
          <w:color w:val="auto"/>
          <w:sz w:val="24"/>
          <w:szCs w:val="24"/>
          <w:highlight w:val="none"/>
        </w:rPr>
        <w:t>详见磋商文件第五章。</w:t>
      </w:r>
    </w:p>
    <w:p w14:paraId="1989A61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质量要求</w:t>
      </w:r>
      <w:r>
        <w:rPr>
          <w:rFonts w:hint="eastAsia" w:asciiTheme="minorEastAsia" w:hAnsiTheme="minorEastAsia" w:eastAsiaTheme="minorEastAsia" w:cstheme="minorEastAsia"/>
          <w:color w:val="auto"/>
          <w:sz w:val="24"/>
          <w:szCs w:val="24"/>
          <w:highlight w:val="none"/>
        </w:rPr>
        <w:t>：达到国家相关行业合格标准；</w:t>
      </w:r>
    </w:p>
    <w:p w14:paraId="31D1AE73">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 交货地点：采购人指定地点；</w:t>
      </w:r>
    </w:p>
    <w:p w14:paraId="32B2A73A">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质保期：电梯的主要部件和安全部件的质保期，自监督检验合格之日起计算，为五年；</w:t>
      </w:r>
    </w:p>
    <w:p w14:paraId="5BF2DC7F">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6、合同履行期限：</w:t>
      </w:r>
      <w:r>
        <w:rPr>
          <w:rFonts w:hint="eastAsia" w:asciiTheme="minorEastAsia" w:hAnsiTheme="minorEastAsia" w:eastAsiaTheme="minorEastAsia" w:cstheme="minorEastAsia"/>
          <w:color w:val="auto"/>
          <w:sz w:val="24"/>
          <w:szCs w:val="24"/>
          <w:highlight w:val="none"/>
          <w:lang w:val="en-US" w:eastAsia="zh-CN"/>
        </w:rPr>
        <w:t>接采购人通知后，15日历天内货到现场并安装调试完毕</w:t>
      </w:r>
      <w:r>
        <w:rPr>
          <w:rFonts w:hint="eastAsia" w:asciiTheme="minorEastAsia" w:hAnsiTheme="minorEastAsia" w:eastAsiaTheme="minorEastAsia" w:cstheme="minorEastAsia"/>
          <w:color w:val="auto"/>
          <w:sz w:val="24"/>
          <w:szCs w:val="24"/>
          <w:highlight w:val="none"/>
          <w:lang w:eastAsia="zh-CN"/>
        </w:rPr>
        <w:t>；</w:t>
      </w:r>
    </w:p>
    <w:p w14:paraId="6461AAA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7、是否接受进口产品投标：否</w:t>
      </w:r>
    </w:p>
    <w:p w14:paraId="21DB8CC7">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8、是否接受联合体投标：否</w:t>
      </w:r>
    </w:p>
    <w:p w14:paraId="3FF3245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9、是否专门面向中小企业：</w:t>
      </w:r>
      <w:r>
        <w:rPr>
          <w:rFonts w:hint="eastAsia" w:asciiTheme="minorEastAsia" w:hAnsiTheme="minorEastAsia" w:eastAsiaTheme="minorEastAsia" w:cstheme="minorEastAsia"/>
          <w:color w:val="auto"/>
          <w:sz w:val="24"/>
          <w:szCs w:val="24"/>
          <w:highlight w:val="none"/>
          <w:lang w:val="en-US" w:eastAsia="zh-CN"/>
        </w:rPr>
        <w:t>否</w:t>
      </w:r>
    </w:p>
    <w:p w14:paraId="4078DF08">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二、申请人的资格要求：</w:t>
      </w:r>
    </w:p>
    <w:p w14:paraId="4AD7222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A15715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2、落实政府采购政策满足的资格要求：本项目落实节约能源、保护环境、扶持不发达地区和少数民族地区、促进中小微企业、监狱企业及残疾人福利性单位发展等政府采购政策；</w:t>
      </w:r>
    </w:p>
    <w:p w14:paraId="659B16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3、本项目的特定资格要求 </w:t>
      </w:r>
    </w:p>
    <w:p w14:paraId="4C1FEA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本项目适用信用承诺（详见下述要求）。</w:t>
      </w:r>
    </w:p>
    <w:p w14:paraId="55479276">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45E03FA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①供应商须具有独立承担民事责任的能力，提供法人或者其他组织的营业执照等证明文件；</w:t>
      </w:r>
    </w:p>
    <w:p w14:paraId="50F7556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供应商须具有良好的商业信誉和健全的财务会计制度（提供2024年度或2025年度经审计的财务审计报告或提供基本户的开户行开具的银行资信证明）；</w:t>
      </w:r>
    </w:p>
    <w:p w14:paraId="24CADAF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③供应商须具有履行合同所必需的设备和专业技术能力（提供相关证明材料或承诺函）；</w:t>
      </w:r>
    </w:p>
    <w:p w14:paraId="63FC36E3">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427F97A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⑤供应商参加政府采购活动前三年内，在经营活动中没有重大违法记录（提供声明函）；</w:t>
      </w:r>
    </w:p>
    <w:p w14:paraId="185886E6">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3.2、①供应商为制造商的，须具备《中华人民共和国特种设备制造许可证》（曳引式客梯A级资质）及《中华人民共和国特种设备安装改造维修许可证》（电梯）A级资质或提供符合要求的新版《中华人民共和国特种设备生产许可证》；②供应商为代理商的，须具备《中华人民共和国特种设备安装改造维修许可证》（电梯）C级及以上资质或提供符合要求的新版《中华人民共和国特种设备生产许可证》，其代理电梯设备的生产制造商具有《中华人民共和国特种设备制造许可证》（曳引式客梯A级资质）及《中华人民共和国特种设备安装改造维修许可证》（电梯）A级资质或提供符合要求的新版《中华人民共和国特种设备生产许可证》；</w:t>
      </w:r>
      <w:r>
        <w:rPr>
          <w:rFonts w:hint="eastAsia" w:ascii="宋体" w:hAnsi="宋体" w:eastAsia="宋体" w:cs="宋体"/>
          <w:color w:val="auto"/>
          <w:sz w:val="24"/>
          <w:szCs w:val="24"/>
          <w:highlight w:val="none"/>
          <w:lang w:val="en-US" w:eastAsia="zh-CN"/>
        </w:rPr>
        <w:t>③</w:t>
      </w:r>
      <w:r>
        <w:rPr>
          <w:rFonts w:ascii="宋体" w:hAnsi="宋体" w:eastAsia="宋体" w:cs="宋体"/>
          <w:color w:val="auto"/>
          <w:sz w:val="24"/>
          <w:szCs w:val="24"/>
        </w:rPr>
        <w:t>拟派项目负责人须提供特种设备作业证书（特种设备安全管理和作业人员证）或机电工程专业二级及以上注册建造师证书，项目负责人必须是本单位员工且签订劳动合同，需提供劳动合同及近三个月社保缴纳证明</w:t>
      </w:r>
      <w:r>
        <w:rPr>
          <w:rFonts w:hint="eastAsia" w:ascii="宋体" w:hAnsi="宋体" w:eastAsia="宋体" w:cs="宋体"/>
          <w:color w:val="auto"/>
          <w:sz w:val="24"/>
          <w:szCs w:val="24"/>
          <w:lang w:eastAsia="zh-CN"/>
        </w:rPr>
        <w:t>。</w:t>
      </w:r>
    </w:p>
    <w:p w14:paraId="33CCD33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4、其他说明</w:t>
      </w:r>
    </w:p>
    <w:p w14:paraId="544C414B">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sz w:val="24"/>
          <w:szCs w:val="24"/>
          <w:highlight w:val="none"/>
        </w:rPr>
        <w:t>；</w:t>
      </w:r>
    </w:p>
    <w:p w14:paraId="4A0E8AE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4.2供应商在中标（成交）后，应将上述由信用承诺函替代的证明材料提交采购人（采购代理机构）核验，经核验无误后，由采购人发出中标（成交）通知书。</w:t>
      </w:r>
    </w:p>
    <w:p w14:paraId="7D1E56F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三、获取磋商文件</w:t>
      </w:r>
    </w:p>
    <w:p w14:paraId="6505244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日（北京时间）；每天上午08:00至12:00，下午12:00至18:00（北京时间，法定节假日除外。）</w:t>
      </w:r>
    </w:p>
    <w:p w14:paraId="7AD31F3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2、地点：“</w:t>
      </w:r>
      <w:r>
        <w:rPr>
          <w:rFonts w:hint="eastAsia" w:asciiTheme="minorEastAsia" w:hAnsiTheme="minorEastAsia" w:eastAsiaTheme="minorEastAsia" w:cstheme="minorEastAsia"/>
          <w:sz w:val="24"/>
          <w:szCs w:val="24"/>
          <w:highlight w:val="none"/>
          <w:lang w:eastAsia="zh-CN"/>
        </w:rPr>
        <w:t>《固始县公共资源交易网》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w:t>
      </w:r>
    </w:p>
    <w:p w14:paraId="2F7E4D8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3、方式：供应商</w:t>
      </w:r>
      <w:r>
        <w:rPr>
          <w:rFonts w:hint="eastAsia" w:asciiTheme="minorEastAsia" w:hAnsiTheme="minorEastAsia" w:eastAsiaTheme="minorEastAsia" w:cstheme="minorEastAsia"/>
          <w:sz w:val="24"/>
          <w:szCs w:val="24"/>
          <w:highlight w:val="none"/>
          <w:lang w:val="en-US" w:eastAsia="zh-CN"/>
        </w:rPr>
        <w:t>登录固始县公共资源交易</w:t>
      </w:r>
      <w:r>
        <w:rPr>
          <w:rFonts w:hint="eastAsia" w:asciiTheme="minorEastAsia" w:hAnsiTheme="minorEastAsia" w:eastAsiaTheme="minorEastAsia" w:cstheme="minorEastAsia"/>
          <w:sz w:val="24"/>
          <w:szCs w:val="24"/>
          <w:highlight w:val="none"/>
        </w:rPr>
        <w:t>系统后，即可按网上提示免费下载磋商文件及资料（操作程序详见固始县公共资源交易中心网站下载中心栏目里供应商操作手册）。磋商文件(*.</w:t>
      </w:r>
      <w:r>
        <w:rPr>
          <w:rFonts w:hint="eastAsia" w:asciiTheme="minorEastAsia" w:hAnsiTheme="minorEastAsia" w:eastAsiaTheme="minorEastAsia" w:cstheme="minorEastAsia"/>
          <w:sz w:val="24"/>
          <w:szCs w:val="24"/>
          <w:highlight w:val="none"/>
          <w:lang w:eastAsia="zh-CN"/>
        </w:rPr>
        <w:t>XYZF</w:t>
      </w:r>
      <w:r>
        <w:rPr>
          <w:rFonts w:hint="eastAsia" w:asciiTheme="minorEastAsia" w:hAnsiTheme="minorEastAsia" w:eastAsiaTheme="minorEastAsia" w:cstheme="minorEastAsia"/>
          <w:sz w:val="24"/>
          <w:szCs w:val="24"/>
          <w:highlight w:val="none"/>
        </w:rPr>
        <w:t>格式)下载后需使用“固始县电子投标文件制作工具软件”打开（该工具软件可在“固始县公共资源交易中心（</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）”网站下载中心栏目内下载或在磋商文件领取页面下载）。</w:t>
      </w:r>
    </w:p>
    <w:p w14:paraId="25A3AEDA">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4、售价：0元。</w:t>
      </w:r>
    </w:p>
    <w:p w14:paraId="41CD0C2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四、提交响应文件截止时间及地点</w:t>
      </w:r>
    </w:p>
    <w:p w14:paraId="1CC7EBD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18C996C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2、地点：投标人必须在投标截止时间前通过固始县公共资源交易中心电子招投标系统上传电子响应文件(*.</w:t>
      </w:r>
      <w:r>
        <w:rPr>
          <w:rFonts w:hint="eastAsia" w:asciiTheme="minorEastAsia" w:hAnsiTheme="minorEastAsia" w:eastAsiaTheme="minorEastAsia" w:cstheme="minorEastAsia"/>
          <w:sz w:val="24"/>
          <w:szCs w:val="24"/>
          <w:highlight w:val="none"/>
          <w:lang w:eastAsia="zh-CN"/>
        </w:rPr>
        <w:t>XYTF</w:t>
      </w:r>
      <w:r>
        <w:rPr>
          <w:rFonts w:hint="eastAsia" w:asciiTheme="minorEastAsia" w:hAnsiTheme="minorEastAsia" w:eastAsiaTheme="minorEastAsia" w:cstheme="minorEastAsia"/>
          <w:sz w:val="24"/>
          <w:szCs w:val="24"/>
          <w:highlight w:val="none"/>
        </w:rPr>
        <w:t>格式)。上传的电子响应文件应使用投标人CA数字证书认证并加密。</w:t>
      </w:r>
    </w:p>
    <w:p w14:paraId="2650364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五、开标时间及地点</w:t>
      </w:r>
    </w:p>
    <w:p w14:paraId="61BF6B0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5C4CDF4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2、地点：固始县公共资源交易中心六楼不见面</w:t>
      </w:r>
      <w:r>
        <w:rPr>
          <w:rFonts w:hint="eastAsia" w:asciiTheme="minorEastAsia" w:hAnsiTheme="minorEastAsia" w:eastAsiaTheme="minorEastAsia" w:cstheme="minorEastAsia"/>
          <w:color w:val="auto"/>
          <w:sz w:val="24"/>
          <w:szCs w:val="24"/>
          <w:highlight w:val="none"/>
          <w:lang w:eastAsia="zh-CN"/>
        </w:rPr>
        <w:t>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开标室</w:t>
      </w:r>
      <w:r>
        <w:rPr>
          <w:rFonts w:hint="eastAsia" w:asciiTheme="minorEastAsia" w:hAnsiTheme="minorEastAsia" w:eastAsiaTheme="minorEastAsia" w:cstheme="minorEastAsia"/>
          <w:color w:val="auto"/>
          <w:sz w:val="24"/>
          <w:szCs w:val="24"/>
          <w:highlight w:val="none"/>
        </w:rPr>
        <w:t>。</w:t>
      </w:r>
    </w:p>
    <w:p w14:paraId="4F36FC50">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六、发布公告的媒介及招标公告期限</w:t>
      </w:r>
    </w:p>
    <w:p w14:paraId="0E54D99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本公告在《河南省政府采购网》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《全国公共资源交易平台(河南省·固始县)》</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rPr>
        <w:t>发布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竞争性磋商</w:t>
      </w:r>
      <w:r>
        <w:rPr>
          <w:rFonts w:hint="eastAsia" w:asciiTheme="minorEastAsia" w:hAnsiTheme="minorEastAsia" w:eastAsiaTheme="minorEastAsia" w:cstheme="minorEastAsia"/>
          <w:sz w:val="24"/>
          <w:szCs w:val="24"/>
        </w:rPr>
        <w:t>公告期限为</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个工作日。</w:t>
      </w:r>
    </w:p>
    <w:p w14:paraId="2E0219E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七、其他补充事宜：</w:t>
      </w:r>
    </w:p>
    <w:p w14:paraId="15A1AE4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1272884B">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请供应商下载磋商文件后，及时关注系统业务菜单（“答疑澄清文件领取”、“控制价文件领取”）内该项目是否有新的答疑澄清文件或控制价文件。如有请直接下载，不再另行通知。</w:t>
      </w:r>
    </w:p>
    <w:p w14:paraId="45E015A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6D98F121">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、投标人应当在投标截止时间前，使用投标人CA数字证书登录不见面开标大厅，在线签到并准时参加开标活动，并在规定时间内完成投标文件解密、答疑澄清等。</w:t>
      </w:r>
    </w:p>
    <w:p w14:paraId="00A5504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、逾期解密或者没有准时在线签到参加开标活动导致的一切后果投标人自行承担。</w:t>
      </w:r>
    </w:p>
    <w:p w14:paraId="671A92C3">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、不见面开标服务的具体事宜，请查阅固始县公共资源交易中心网站首页—下载中心—固始县不见面开标大厅系统操作手册。</w:t>
      </w:r>
    </w:p>
    <w:p w14:paraId="75F859F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特别提示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投标人在线签到时，应如实准确的填写授权委托人的联系电话，开标当天请务必保证电话畅通，否则引发的后果由投标人自行承担。</w:t>
      </w:r>
    </w:p>
    <w:p w14:paraId="0802A58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本项目评标以电子投标文件为依据，未在投标截止时间前上传电子投标文件的投标人，视为自动放弃其投标</w:t>
      </w:r>
      <w:r>
        <w:rPr>
          <w:rFonts w:hint="eastAsia" w:asciiTheme="minorEastAsia" w:hAnsiTheme="minorEastAsia" w:eastAsiaTheme="minorEastAsia" w:cstheme="minorEastAsia"/>
          <w:sz w:val="24"/>
          <w:szCs w:val="24"/>
        </w:rPr>
        <w:t>。</w:t>
      </w:r>
    </w:p>
    <w:p w14:paraId="0220205C">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八、对本次招标提出询问，请按以下方式联系</w:t>
      </w:r>
    </w:p>
    <w:p w14:paraId="05086BEF">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信息</w:t>
      </w:r>
    </w:p>
    <w:p w14:paraId="22E0A230">
      <w:pPr>
        <w:autoSpaceDE w:val="0"/>
        <w:autoSpaceDN w:val="0"/>
        <w:adjustRightInd w:val="0"/>
        <w:spacing w:line="360" w:lineRule="auto"/>
        <w:ind w:left="100" w:right="-20" w:firstLine="480" w:firstLineChars="200"/>
        <w:jc w:val="left"/>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名称</w:t>
      </w:r>
      <w:r>
        <w:rPr>
          <w:rFonts w:hint="eastAsia" w:ascii="宋体" w:hAnsi="宋体" w:cs="宋体"/>
          <w:b w:val="0"/>
          <w:bCs w:val="0"/>
          <w:color w:val="000000"/>
          <w:kern w:val="0"/>
          <w:sz w:val="24"/>
          <w:szCs w:val="24"/>
          <w:highlight w:val="none"/>
        </w:rPr>
        <w:t>：固始县</w:t>
      </w:r>
      <w:r>
        <w:rPr>
          <w:rFonts w:hint="eastAsia" w:ascii="宋体" w:hAnsi="宋体" w:cs="宋体"/>
          <w:b w:val="0"/>
          <w:bCs w:val="0"/>
          <w:color w:val="000000"/>
          <w:kern w:val="0"/>
          <w:sz w:val="24"/>
          <w:szCs w:val="24"/>
          <w:highlight w:val="none"/>
          <w:lang w:val="en-US" w:eastAsia="zh-CN"/>
        </w:rPr>
        <w:t>公安局</w:t>
      </w:r>
    </w:p>
    <w:p w14:paraId="08626F2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朱建军</w:t>
      </w:r>
    </w:p>
    <w:p w14:paraId="566BB854">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w:t>
      </w:r>
      <w:r>
        <w:rPr>
          <w:rFonts w:hint="eastAsia" w:ascii="宋体" w:hAnsi="宋体" w:eastAsia="宋体" w:cs="宋体"/>
          <w:b w:val="0"/>
          <w:bCs w:val="0"/>
          <w:color w:val="000000"/>
          <w:kern w:val="0"/>
          <w:sz w:val="24"/>
          <w:szCs w:val="24"/>
          <w:highlight w:val="none"/>
        </w:rPr>
        <w:t>电话：</w:t>
      </w:r>
      <w:r>
        <w:rPr>
          <w:rFonts w:hint="default" w:ascii="宋体" w:hAnsi="宋体" w:eastAsia="宋体" w:cs="宋体"/>
          <w:b w:val="0"/>
          <w:bCs w:val="0"/>
          <w:color w:val="000000"/>
          <w:kern w:val="0"/>
          <w:sz w:val="24"/>
          <w:szCs w:val="24"/>
          <w:highlight w:val="none"/>
          <w:lang w:val="en-US" w:eastAsia="zh-CN"/>
        </w:rPr>
        <w:t>0376-4656032</w:t>
      </w:r>
    </w:p>
    <w:p w14:paraId="31F68A7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 xml:space="preserve">联系地址：固始县蓼城大道与成功大道交叉口  </w:t>
      </w:r>
    </w:p>
    <w:p w14:paraId="29CB633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2.采购代理机构信息</w:t>
      </w:r>
    </w:p>
    <w:p w14:paraId="2F757B2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名    称：</w:t>
      </w:r>
      <w:r>
        <w:rPr>
          <w:rFonts w:hint="eastAsia" w:ascii="宋体" w:hAnsi="宋体" w:cs="宋体"/>
          <w:b w:val="0"/>
          <w:bCs w:val="0"/>
          <w:color w:val="000000"/>
          <w:kern w:val="0"/>
          <w:sz w:val="24"/>
          <w:szCs w:val="24"/>
          <w:highlight w:val="none"/>
          <w:lang w:eastAsia="zh-CN"/>
        </w:rPr>
        <w:t>固始县采购中心</w:t>
      </w:r>
      <w:r>
        <w:rPr>
          <w:rFonts w:hint="eastAsia" w:ascii="宋体" w:hAnsi="宋体" w:cs="宋体"/>
          <w:b w:val="0"/>
          <w:bCs w:val="0"/>
          <w:color w:val="000000"/>
          <w:kern w:val="0"/>
          <w:sz w:val="24"/>
          <w:szCs w:val="24"/>
          <w:highlight w:val="none"/>
        </w:rPr>
        <w:t>　　　　　　　　　　　　　　　　　　　　　　　</w:t>
      </w:r>
    </w:p>
    <w:p w14:paraId="4AE37EDA">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王磊</w:t>
      </w:r>
      <w:r>
        <w:rPr>
          <w:rFonts w:hint="eastAsia" w:ascii="宋体" w:hAnsi="宋体" w:cs="宋体"/>
          <w:b w:val="0"/>
          <w:bCs w:val="0"/>
          <w:color w:val="000000"/>
          <w:kern w:val="0"/>
          <w:sz w:val="24"/>
          <w:szCs w:val="24"/>
          <w:highlight w:val="none"/>
        </w:rPr>
        <w:t xml:space="preserve"> </w:t>
      </w:r>
    </w:p>
    <w:p w14:paraId="67275A24">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联系方式：</w:t>
      </w:r>
      <w:r>
        <w:rPr>
          <w:rFonts w:hint="eastAsia" w:ascii="宋体" w:hAnsi="宋体" w:cs="宋体"/>
          <w:b w:val="0"/>
          <w:bCs w:val="0"/>
          <w:color w:val="000000"/>
          <w:kern w:val="0"/>
          <w:sz w:val="24"/>
          <w:szCs w:val="24"/>
          <w:highlight w:val="none"/>
          <w:lang w:val="en-US" w:eastAsia="zh-CN"/>
        </w:rPr>
        <w:t>0376-4667718</w:t>
      </w:r>
      <w:r>
        <w:rPr>
          <w:rFonts w:hint="eastAsia" w:ascii="宋体" w:hAnsi="宋体" w:cs="宋体"/>
          <w:b w:val="0"/>
          <w:bCs w:val="0"/>
          <w:color w:val="000000"/>
          <w:kern w:val="0"/>
          <w:sz w:val="24"/>
          <w:szCs w:val="24"/>
          <w:highlight w:val="none"/>
        </w:rPr>
        <w:t xml:space="preserve"> </w:t>
      </w:r>
    </w:p>
    <w:p w14:paraId="2580CAF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地　　址：</w:t>
      </w:r>
      <w:r>
        <w:rPr>
          <w:rFonts w:hint="eastAsia" w:ascii="宋体" w:hAnsi="宋体" w:cs="宋体"/>
          <w:b w:val="0"/>
          <w:bCs w:val="0"/>
          <w:color w:val="000000"/>
          <w:kern w:val="0"/>
          <w:sz w:val="24"/>
          <w:szCs w:val="24"/>
          <w:highlight w:val="none"/>
          <w:lang w:val="en-US" w:eastAsia="zh-CN"/>
        </w:rPr>
        <w:t>固始县财政局1801室</w:t>
      </w:r>
      <w:r>
        <w:rPr>
          <w:rFonts w:hint="eastAsia" w:ascii="宋体" w:hAnsi="宋体" w:cs="宋体"/>
          <w:b w:val="0"/>
          <w:bCs w:val="0"/>
          <w:color w:val="000000"/>
          <w:kern w:val="0"/>
          <w:sz w:val="24"/>
          <w:szCs w:val="24"/>
          <w:highlight w:val="none"/>
        </w:rPr>
        <w:t xml:space="preserve">  </w:t>
      </w:r>
    </w:p>
    <w:p w14:paraId="4B6E7C6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3.项目联系方式</w:t>
      </w:r>
    </w:p>
    <w:p w14:paraId="4D3A0341">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项目联系人：</w:t>
      </w:r>
      <w:r>
        <w:rPr>
          <w:rFonts w:hint="eastAsia" w:ascii="宋体" w:hAnsi="宋体" w:cs="宋体"/>
          <w:b w:val="0"/>
          <w:bCs w:val="0"/>
          <w:color w:val="000000"/>
          <w:kern w:val="0"/>
          <w:sz w:val="24"/>
          <w:szCs w:val="24"/>
          <w:highlight w:val="none"/>
          <w:lang w:val="en-US" w:eastAsia="zh-CN"/>
        </w:rPr>
        <w:t>朱建军</w:t>
      </w:r>
    </w:p>
    <w:p w14:paraId="66C396A3">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联系电话：0376-4656032</w:t>
      </w:r>
    </w:p>
    <w:p w14:paraId="4C18DA8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 xml:space="preserve"> </w:t>
      </w:r>
    </w:p>
    <w:p w14:paraId="7DDAEDB0">
      <w:pPr>
        <w:numPr>
          <w:ilvl w:val="0"/>
          <w:numId w:val="1"/>
        </w:numPr>
        <w:wordWrap w:val="0"/>
        <w:autoSpaceDE w:val="0"/>
        <w:autoSpaceDN w:val="0"/>
        <w:adjustRightInd w:val="0"/>
        <w:snapToGrid w:val="0"/>
        <w:spacing w:after="120" w:afterLines="50"/>
        <w:ind w:left="0" w:leftChars="0" w:firstLine="0" w:firstLineChars="0"/>
        <w:jc w:val="center"/>
        <w:outlineLvl w:val="0"/>
        <w:rPr>
          <w:rFonts w:ascii="宋体" w:hAnsi="宋体" w:cs="宋体"/>
          <w:b/>
          <w:bCs/>
          <w:kern w:val="44"/>
          <w:sz w:val="44"/>
          <w:szCs w:val="44"/>
        </w:rPr>
      </w:pPr>
      <w:bookmarkStart w:id="11" w:name="_Toc26326"/>
      <w:bookmarkStart w:id="12" w:name="_Toc23165"/>
      <w:r>
        <w:rPr>
          <w:rFonts w:hint="eastAsia" w:ascii="宋体" w:hAnsi="宋体" w:cs="宋体"/>
          <w:b/>
          <w:bCs/>
          <w:kern w:val="44"/>
          <w:sz w:val="44"/>
          <w:szCs w:val="44"/>
        </w:rPr>
        <w:t>供应商须知</w:t>
      </w:r>
      <w:bookmarkEnd w:id="10"/>
      <w:bookmarkEnd w:id="11"/>
      <w:bookmarkEnd w:id="12"/>
    </w:p>
    <w:p w14:paraId="35B1AFA7">
      <w:pPr>
        <w:wordWrap w:val="0"/>
        <w:autoSpaceDE w:val="0"/>
        <w:autoSpaceDN w:val="0"/>
        <w:adjustRightInd w:val="0"/>
        <w:spacing w:before="72" w:beforeLines="30" w:line="288" w:lineRule="auto"/>
        <w:ind w:left="20" w:leftChars="0" w:right="21" w:rightChars="10" w:hanging="20" w:hangingChars="7"/>
        <w:jc w:val="center"/>
        <w:rPr>
          <w:rFonts w:hint="eastAsia" w:asciiTheme="minorEastAsia" w:hAnsiTheme="minorEastAsia" w:eastAsiaTheme="minorEastAsia" w:cstheme="minorEastAsia"/>
          <w:b/>
          <w:kern w:val="0"/>
          <w:sz w:val="28"/>
          <w:szCs w:val="28"/>
        </w:rPr>
      </w:pPr>
      <w:bookmarkStart w:id="13" w:name="_Toc2549"/>
      <w:r>
        <w:rPr>
          <w:rFonts w:hint="eastAsia" w:asciiTheme="minorEastAsia" w:hAnsiTheme="minorEastAsia" w:eastAsiaTheme="minorEastAsia" w:cstheme="minorEastAsia"/>
          <w:b/>
          <w:kern w:val="0"/>
          <w:sz w:val="28"/>
          <w:szCs w:val="28"/>
        </w:rPr>
        <w:t>供应商须知前附表</w:t>
      </w:r>
      <w:bookmarkEnd w:id="13"/>
    </w:p>
    <w:tbl>
      <w:tblPr>
        <w:tblStyle w:val="23"/>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16"/>
        <w:gridCol w:w="6392"/>
      </w:tblGrid>
      <w:tr w14:paraId="5A0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0C30FA18">
            <w:pPr>
              <w:wordWrap w:val="0"/>
              <w:autoSpaceDE w:val="0"/>
              <w:autoSpaceDN w:val="0"/>
              <w:adjustRightInd w:val="0"/>
              <w:spacing w:before="72" w:beforeLines="30" w:line="288" w:lineRule="auto"/>
              <w:ind w:left="0" w:leftChars="0" w:right="21" w:rightChars="10" w:firstLine="0" w:firstLineChars="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条款号</w:t>
            </w:r>
          </w:p>
        </w:tc>
        <w:tc>
          <w:tcPr>
            <w:tcW w:w="2416" w:type="dxa"/>
            <w:vAlign w:val="center"/>
          </w:tcPr>
          <w:p w14:paraId="19FDAECB">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 款 名 称</w:t>
            </w:r>
          </w:p>
        </w:tc>
        <w:tc>
          <w:tcPr>
            <w:tcW w:w="6392" w:type="dxa"/>
            <w:vAlign w:val="center"/>
          </w:tcPr>
          <w:p w14:paraId="3C1B67F4">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编 列 内 容</w:t>
            </w:r>
          </w:p>
        </w:tc>
      </w:tr>
      <w:tr w14:paraId="6B3B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6478F087">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28936340">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w:t>
            </w:r>
          </w:p>
        </w:tc>
        <w:tc>
          <w:tcPr>
            <w:tcW w:w="6392" w:type="dxa"/>
            <w:vAlign w:val="center"/>
          </w:tcPr>
          <w:p w14:paraId="38396DD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称：固始县公安局</w:t>
            </w:r>
          </w:p>
          <w:p w14:paraId="3CD4B90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 系 人：朱建军</w:t>
            </w:r>
          </w:p>
          <w:p w14:paraId="15DB159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联系电话：0376-4656032</w:t>
            </w:r>
          </w:p>
          <w:p w14:paraId="0869DBC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联系地址：固始县蓼城大道与成功大道交叉口  　</w:t>
            </w:r>
          </w:p>
        </w:tc>
      </w:tr>
      <w:tr w14:paraId="49D6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52099451">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DF95F2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采购代理机构</w:t>
            </w:r>
          </w:p>
        </w:tc>
        <w:tc>
          <w:tcPr>
            <w:tcW w:w="6392" w:type="dxa"/>
            <w:vAlign w:val="center"/>
          </w:tcPr>
          <w:p w14:paraId="040835E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称：固始县采购中心　　</w:t>
            </w:r>
          </w:p>
          <w:p w14:paraId="44CA1FE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联 系 人：王磊 </w:t>
            </w:r>
          </w:p>
          <w:p w14:paraId="7C44F53D">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联系方式：0376-4667718</w:t>
            </w:r>
          </w:p>
          <w:p w14:paraId="1451E6B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地　　址：固始县财政局1801室   </w:t>
            </w:r>
          </w:p>
        </w:tc>
      </w:tr>
      <w:tr w14:paraId="475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1E46C29F">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4</w:t>
            </w:r>
          </w:p>
        </w:tc>
        <w:tc>
          <w:tcPr>
            <w:tcW w:w="2416" w:type="dxa"/>
            <w:vAlign w:val="center"/>
          </w:tcPr>
          <w:p w14:paraId="7ABCC1C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6392" w:type="dxa"/>
            <w:vAlign w:val="center"/>
          </w:tcPr>
          <w:p w14:paraId="1B5060D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固始县公安局机关大楼采购电梯项目</w:t>
            </w:r>
          </w:p>
        </w:tc>
      </w:tr>
      <w:tr w14:paraId="195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E41322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5</w:t>
            </w:r>
          </w:p>
        </w:tc>
        <w:tc>
          <w:tcPr>
            <w:tcW w:w="2416" w:type="dxa"/>
            <w:vAlign w:val="center"/>
          </w:tcPr>
          <w:p w14:paraId="7762970F">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采购方式</w:t>
            </w:r>
          </w:p>
        </w:tc>
        <w:tc>
          <w:tcPr>
            <w:tcW w:w="6392" w:type="dxa"/>
            <w:vAlign w:val="center"/>
          </w:tcPr>
          <w:p w14:paraId="272E534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竞争性磋商</w:t>
            </w:r>
          </w:p>
        </w:tc>
      </w:tr>
      <w:tr w14:paraId="41C7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7107DA05">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6</w:t>
            </w:r>
          </w:p>
        </w:tc>
        <w:tc>
          <w:tcPr>
            <w:tcW w:w="2416" w:type="dxa"/>
            <w:vAlign w:val="center"/>
          </w:tcPr>
          <w:p w14:paraId="532868CB">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预算价（</w:t>
            </w: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kern w:val="0"/>
                <w:sz w:val="24"/>
                <w:szCs w:val="24"/>
              </w:rPr>
              <w:t>）</w:t>
            </w:r>
          </w:p>
        </w:tc>
        <w:tc>
          <w:tcPr>
            <w:tcW w:w="6392" w:type="dxa"/>
            <w:vAlign w:val="center"/>
          </w:tcPr>
          <w:p w14:paraId="0A26D49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r>
              <w:rPr>
                <w:rFonts w:hint="eastAsia" w:asciiTheme="minorEastAsia" w:hAnsiTheme="minorEastAsia" w:cstheme="minorEastAsia"/>
                <w:sz w:val="24"/>
                <w:szCs w:val="24"/>
                <w:highlight w:val="none"/>
                <w:lang w:val="en-US" w:eastAsia="zh-CN"/>
              </w:rPr>
              <w:t>569462.5</w:t>
            </w:r>
            <w:r>
              <w:rPr>
                <w:rFonts w:hint="eastAsia" w:ascii="宋体" w:hAnsi="宋体" w:eastAsia="宋体" w:cs="宋体"/>
                <w:color w:val="000000"/>
                <w:kern w:val="0"/>
                <w:sz w:val="21"/>
                <w:szCs w:val="21"/>
                <w:highlight w:val="none"/>
                <w:lang w:val="en-US" w:eastAsia="zh-CN" w:bidi="ar-SA"/>
              </w:rPr>
              <w:t>元</w:t>
            </w:r>
          </w:p>
          <w:p w14:paraId="7176AF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（大写：伍拾陆万玖仟肆佰陆拾贰元伍角）</w:t>
            </w:r>
          </w:p>
          <w:p w14:paraId="149E9B1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投标报价超过预算价（最高限价）按无效投标处理</w:t>
            </w:r>
          </w:p>
        </w:tc>
      </w:tr>
      <w:tr w14:paraId="4B0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Align w:val="center"/>
          </w:tcPr>
          <w:p w14:paraId="15A49B8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w:t>
            </w:r>
          </w:p>
        </w:tc>
        <w:tc>
          <w:tcPr>
            <w:tcW w:w="2416" w:type="dxa"/>
            <w:vAlign w:val="center"/>
          </w:tcPr>
          <w:p w14:paraId="2F8B4D71">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资金来源</w:t>
            </w:r>
          </w:p>
        </w:tc>
        <w:tc>
          <w:tcPr>
            <w:tcW w:w="6392" w:type="dxa"/>
            <w:vAlign w:val="center"/>
          </w:tcPr>
          <w:p w14:paraId="4881CBD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财政资金</w:t>
            </w:r>
          </w:p>
        </w:tc>
      </w:tr>
      <w:tr w14:paraId="6308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5FA3ACB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w:t>
            </w:r>
          </w:p>
        </w:tc>
        <w:tc>
          <w:tcPr>
            <w:tcW w:w="2416" w:type="dxa"/>
            <w:vAlign w:val="center"/>
          </w:tcPr>
          <w:p w14:paraId="07A34905">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出资比例</w:t>
            </w:r>
          </w:p>
        </w:tc>
        <w:tc>
          <w:tcPr>
            <w:tcW w:w="6392" w:type="dxa"/>
            <w:vAlign w:val="center"/>
          </w:tcPr>
          <w:p w14:paraId="2A264C8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100%</w:t>
            </w:r>
          </w:p>
        </w:tc>
      </w:tr>
      <w:tr w14:paraId="4EE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vAlign w:val="center"/>
          </w:tcPr>
          <w:p w14:paraId="4280605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.1</w:t>
            </w:r>
          </w:p>
        </w:tc>
        <w:tc>
          <w:tcPr>
            <w:tcW w:w="2416" w:type="dxa"/>
            <w:vAlign w:val="center"/>
          </w:tcPr>
          <w:p w14:paraId="7153CDF6">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采购内容</w:t>
            </w:r>
          </w:p>
        </w:tc>
        <w:tc>
          <w:tcPr>
            <w:tcW w:w="6392" w:type="dxa"/>
            <w:vAlign w:val="center"/>
          </w:tcPr>
          <w:p w14:paraId="7E385C5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包括采购两部电梯，拆除原有旧电梯，井道改造加固等，具体详见磋商文件第五章。</w:t>
            </w:r>
          </w:p>
        </w:tc>
      </w:tr>
      <w:tr w14:paraId="11A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6" w:type="dxa"/>
            <w:vAlign w:val="center"/>
          </w:tcPr>
          <w:p w14:paraId="22E37822">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50627A12">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sz w:val="24"/>
                <w:szCs w:val="24"/>
                <w:highlight w:val="none"/>
                <w:lang w:eastAsia="zh-CN"/>
              </w:rPr>
              <w:t>供货期</w:t>
            </w:r>
          </w:p>
        </w:tc>
        <w:tc>
          <w:tcPr>
            <w:tcW w:w="6392" w:type="dxa"/>
            <w:vAlign w:val="center"/>
          </w:tcPr>
          <w:p w14:paraId="779E0CB0">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接采购人通知后，15日历天内货到现场并安装调试完毕；</w:t>
            </w:r>
          </w:p>
        </w:tc>
      </w:tr>
      <w:tr w14:paraId="380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30BC2FF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15F10C0">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质量要求</w:t>
            </w:r>
          </w:p>
        </w:tc>
        <w:tc>
          <w:tcPr>
            <w:tcW w:w="6392" w:type="dxa"/>
            <w:vAlign w:val="center"/>
          </w:tcPr>
          <w:p w14:paraId="6DCD2596">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达到国家相关行业合格标准；</w:t>
            </w:r>
          </w:p>
        </w:tc>
      </w:tr>
      <w:tr w14:paraId="26DD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vAlign w:val="center"/>
          </w:tcPr>
          <w:p w14:paraId="7A348E0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1.3.4</w:t>
            </w:r>
          </w:p>
        </w:tc>
        <w:tc>
          <w:tcPr>
            <w:tcW w:w="2416" w:type="dxa"/>
            <w:vAlign w:val="center"/>
          </w:tcPr>
          <w:p w14:paraId="580BCBD8">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tc>
        <w:tc>
          <w:tcPr>
            <w:tcW w:w="6392" w:type="dxa"/>
            <w:vAlign w:val="center"/>
          </w:tcPr>
          <w:p w14:paraId="4B1E6D15">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电梯的主要部件和安全部件的质保期，自监督检验合格之日起计算，为五年；</w:t>
            </w:r>
          </w:p>
        </w:tc>
      </w:tr>
      <w:tr w14:paraId="7A14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vAlign w:val="center"/>
          </w:tcPr>
          <w:p w14:paraId="170D9F64">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.1</w:t>
            </w:r>
          </w:p>
        </w:tc>
        <w:tc>
          <w:tcPr>
            <w:tcW w:w="2416" w:type="dxa"/>
            <w:tcBorders>
              <w:top w:val="single" w:color="auto" w:sz="4" w:space="0"/>
            </w:tcBorders>
            <w:vAlign w:val="center"/>
          </w:tcPr>
          <w:p w14:paraId="107A8DB9">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供应商资格要求</w:t>
            </w:r>
          </w:p>
        </w:tc>
        <w:tc>
          <w:tcPr>
            <w:tcW w:w="6392" w:type="dxa"/>
            <w:tcBorders>
              <w:top w:val="single" w:color="auto" w:sz="4" w:space="0"/>
            </w:tcBorders>
            <w:vAlign w:val="center"/>
          </w:tcPr>
          <w:p w14:paraId="093B7F5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1、满足《中华人民共和国政府采购法》第二十二条规定；</w:t>
            </w:r>
          </w:p>
          <w:p w14:paraId="5544090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2、落实政府采购政策满足的资格要求：本项目落实节约能源、保护环境、扶持不发达地区、实施本国产品标准和少数民族地区、促进中小微企业、监狱企业及残疾人福利性单位发展等政府采购政策；</w:t>
            </w:r>
          </w:p>
          <w:p w14:paraId="159D369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3、本项目的特定资格要求 </w:t>
            </w:r>
          </w:p>
          <w:p w14:paraId="12AFC992">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3.1  本项目适用信用承诺（详见下述要求）。</w:t>
            </w:r>
          </w:p>
          <w:p w14:paraId="0585E5A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19F7F0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①供应商须具有独立承担民事责任的能力，提供法人或者其他组织的营业执照等证明文件；</w:t>
            </w:r>
          </w:p>
          <w:p w14:paraId="661641A2">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供应商须具有良好的商业信誉和健全的财务会计制度（提供2024年度或2025年度经审计的财务审计报告或提供基本户的开户行开具的银行资信证明）；</w:t>
            </w:r>
          </w:p>
          <w:p w14:paraId="2181E7D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③供应商须具有履行合同所必需的设备和专业技术能力（提供相关证明材料或承诺函）；</w:t>
            </w:r>
          </w:p>
          <w:p w14:paraId="5B508A7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297E3571">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⑤供应商参加政府采购活动前三年内，在经营活动中没有重大违法记录（提供声明函）；</w:t>
            </w:r>
          </w:p>
          <w:p w14:paraId="54D49B3A">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3.2、①供应商为制造商的，须具备《中华人民共和国特种设备制造许可证》（曳引式客梯A级资质）及《中华人民共和国特种设备安装改造维修许可证》（电梯）A级资质或提供符合要求的新版《中华人民共和国特种设备生产许可证》；②供应商为代理商的，须具备《中华人民共和国特种设备安装改造维修许可证》（电梯）C级及以上资质或提供符合要求的新版《中华人民共和国特种设备生产许可证》，其代理电梯设备的生产制造商具有《中华人民共和国特种设备制造许可证》（曳引式客梯A级资质）及《中华人民共和国特种设备安装改造维修许可证》（电梯）A级资质或提供符合要求的新版《中华人民共和国特种设备生产许可证》</w:t>
            </w:r>
            <w:r>
              <w:rPr>
                <w:rFonts w:hint="eastAsia" w:ascii="宋体" w:hAnsi="宋体" w:eastAsia="宋体" w:cs="宋体"/>
                <w:color w:val="auto"/>
                <w:kern w:val="0"/>
                <w:sz w:val="21"/>
                <w:szCs w:val="21"/>
                <w:highlight w:val="none"/>
                <w:lang w:val="en-US" w:eastAsia="zh-CN" w:bidi="ar-SA"/>
              </w:rPr>
              <w:t>；③拟派项目负责人须提供特种设备作业证书（特种设备安全管理和作业人员证）或机电工程专业二级及以上注册建造师证书，项目负责人必须是本单位员工且签订劳动合同，需提供劳动合同及近三个月社保缴纳证明。</w:t>
            </w:r>
          </w:p>
          <w:p w14:paraId="312B3B86">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4、其他说明</w:t>
            </w:r>
          </w:p>
          <w:p w14:paraId="37CB6B2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4.1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p w14:paraId="71B4C6C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4.2供应商在中标（成交）后，应将上述由信用承诺函替代的证明材料提交采购人（采购代理机构）核验，经核验无误后，由采购人发出中标（成交）通知书。</w:t>
            </w:r>
          </w:p>
        </w:tc>
      </w:tr>
      <w:tr w14:paraId="50B8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097730A6">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p>
        </w:tc>
        <w:tc>
          <w:tcPr>
            <w:tcW w:w="2416" w:type="dxa"/>
            <w:tcBorders>
              <w:top w:val="single" w:color="auto" w:sz="4" w:space="0"/>
            </w:tcBorders>
            <w:vAlign w:val="center"/>
          </w:tcPr>
          <w:p w14:paraId="7AAAE2E6">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392" w:type="dxa"/>
            <w:tcBorders>
              <w:top w:val="single" w:color="auto" w:sz="4" w:space="0"/>
            </w:tcBorders>
            <w:vAlign w:val="center"/>
          </w:tcPr>
          <w:p w14:paraId="3800268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不接受</w:t>
            </w:r>
          </w:p>
        </w:tc>
      </w:tr>
      <w:tr w14:paraId="14FD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F6A97B5">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p>
        </w:tc>
        <w:tc>
          <w:tcPr>
            <w:tcW w:w="2416" w:type="dxa"/>
            <w:tcBorders>
              <w:top w:val="single" w:color="auto" w:sz="4" w:space="0"/>
            </w:tcBorders>
            <w:vAlign w:val="center"/>
          </w:tcPr>
          <w:p w14:paraId="1B642187">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现场踏勘</w:t>
            </w:r>
          </w:p>
        </w:tc>
        <w:tc>
          <w:tcPr>
            <w:tcW w:w="6392" w:type="dxa"/>
            <w:tcBorders>
              <w:top w:val="single" w:color="auto" w:sz="4" w:space="0"/>
            </w:tcBorders>
            <w:vAlign w:val="center"/>
          </w:tcPr>
          <w:p w14:paraId="5D52BC7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自行踏勘</w:t>
            </w:r>
          </w:p>
        </w:tc>
      </w:tr>
      <w:tr w14:paraId="2514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5DCACD3">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10</w:t>
            </w:r>
          </w:p>
        </w:tc>
        <w:tc>
          <w:tcPr>
            <w:tcW w:w="2416" w:type="dxa"/>
            <w:tcBorders>
              <w:top w:val="single" w:color="auto" w:sz="4" w:space="0"/>
            </w:tcBorders>
            <w:vAlign w:val="center"/>
          </w:tcPr>
          <w:p w14:paraId="507172AB">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w:t>
            </w:r>
          </w:p>
        </w:tc>
        <w:tc>
          <w:tcPr>
            <w:tcW w:w="6392" w:type="dxa"/>
            <w:tcBorders>
              <w:top w:val="single" w:color="auto" w:sz="4" w:space="0"/>
            </w:tcBorders>
            <w:vAlign w:val="center"/>
          </w:tcPr>
          <w:p w14:paraId="544B0E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不允许分包</w:t>
            </w:r>
          </w:p>
        </w:tc>
      </w:tr>
      <w:tr w14:paraId="117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AAC8DBB">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416" w:type="dxa"/>
            <w:tcBorders>
              <w:top w:val="single" w:color="auto" w:sz="4" w:space="0"/>
            </w:tcBorders>
            <w:vAlign w:val="center"/>
          </w:tcPr>
          <w:p w14:paraId="3441C9A8">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w:t>
            </w:r>
          </w:p>
          <w:p w14:paraId="3B26B244">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的其他材料</w:t>
            </w:r>
          </w:p>
        </w:tc>
        <w:tc>
          <w:tcPr>
            <w:tcW w:w="6392" w:type="dxa"/>
            <w:tcBorders>
              <w:top w:val="single" w:color="auto" w:sz="4" w:space="0"/>
            </w:tcBorders>
            <w:vAlign w:val="center"/>
          </w:tcPr>
          <w:p w14:paraId="6961EEE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除磋商文件外，采购人在磋商期间发出的澄清、修改、补充、补遗和其它有效正式函件等内容均是磋商文件的组成部分</w:t>
            </w:r>
          </w:p>
        </w:tc>
      </w:tr>
      <w:tr w14:paraId="0AF4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F60A017">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p>
        </w:tc>
        <w:tc>
          <w:tcPr>
            <w:tcW w:w="2416" w:type="dxa"/>
            <w:tcBorders>
              <w:top w:val="single" w:color="auto" w:sz="4" w:space="0"/>
            </w:tcBorders>
            <w:vAlign w:val="center"/>
          </w:tcPr>
          <w:p w14:paraId="5EF42DF8">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采购人澄清磋商文件的截止时间</w:t>
            </w:r>
          </w:p>
        </w:tc>
        <w:tc>
          <w:tcPr>
            <w:tcW w:w="6392" w:type="dxa"/>
            <w:tcBorders>
              <w:top w:val="single" w:color="auto" w:sz="4" w:space="0"/>
            </w:tcBorders>
            <w:vAlign w:val="center"/>
          </w:tcPr>
          <w:p w14:paraId="783EE24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递交响应文件截止之日5天前</w:t>
            </w:r>
          </w:p>
        </w:tc>
      </w:tr>
      <w:tr w14:paraId="155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00D81D5">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416" w:type="dxa"/>
            <w:tcBorders>
              <w:top w:val="single" w:color="auto" w:sz="4" w:space="0"/>
            </w:tcBorders>
            <w:vAlign w:val="center"/>
          </w:tcPr>
          <w:p w14:paraId="755F882D">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6392" w:type="dxa"/>
            <w:tcBorders>
              <w:top w:val="single" w:color="auto" w:sz="4" w:space="0"/>
            </w:tcBorders>
            <w:vAlign w:val="center"/>
          </w:tcPr>
          <w:p w14:paraId="6F7BBAE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在收到相应澄清文件后 24 小时内</w:t>
            </w:r>
          </w:p>
        </w:tc>
      </w:tr>
      <w:tr w14:paraId="456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28474A26">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2416" w:type="dxa"/>
            <w:tcBorders>
              <w:top w:val="single" w:color="auto" w:sz="4" w:space="0"/>
            </w:tcBorders>
            <w:vAlign w:val="center"/>
          </w:tcPr>
          <w:p w14:paraId="2D13E8FF">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6392" w:type="dxa"/>
            <w:tcBorders>
              <w:top w:val="single" w:color="auto" w:sz="4" w:space="0"/>
            </w:tcBorders>
            <w:vAlign w:val="center"/>
          </w:tcPr>
          <w:p w14:paraId="3BA71A9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在收到相应修改文件后 24 小时内</w:t>
            </w:r>
          </w:p>
        </w:tc>
      </w:tr>
      <w:tr w14:paraId="6E24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0E50107D">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2416" w:type="dxa"/>
            <w:tcBorders>
              <w:bottom w:val="single" w:color="auto" w:sz="4" w:space="0"/>
            </w:tcBorders>
            <w:vAlign w:val="center"/>
          </w:tcPr>
          <w:p w14:paraId="43CDF5F2">
            <w:pPr>
              <w:wordWrap w:val="0"/>
              <w:autoSpaceDE w:val="0"/>
              <w:autoSpaceDN w:val="0"/>
              <w:adjustRightInd w:val="0"/>
              <w:spacing w:before="72" w:beforeLines="30" w:line="288" w:lineRule="auto"/>
              <w:ind w:left="18" w:leftChars="0" w:right="21" w:rightChars="10" w:hanging="18" w:hangingChars="8"/>
              <w:jc w:val="center"/>
              <w:rPr>
                <w:rFonts w:hint="eastAsia" w:asciiTheme="minorEastAsia" w:hAnsiTheme="minorEastAsia" w:eastAsiaTheme="minorEastAsia" w:cstheme="minorEastAsia"/>
                <w:spacing w:val="-6"/>
                <w:kern w:val="0"/>
                <w:sz w:val="24"/>
                <w:szCs w:val="24"/>
              </w:rPr>
            </w:pPr>
            <w:r>
              <w:rPr>
                <w:rFonts w:hint="eastAsia" w:asciiTheme="minorEastAsia" w:hAnsiTheme="minorEastAsia" w:eastAsiaTheme="minorEastAsia" w:cstheme="minorEastAsia"/>
                <w:spacing w:val="-6"/>
                <w:kern w:val="0"/>
                <w:sz w:val="24"/>
                <w:szCs w:val="24"/>
              </w:rPr>
              <w:t>构成响应文件的其他材料</w:t>
            </w:r>
          </w:p>
        </w:tc>
        <w:tc>
          <w:tcPr>
            <w:tcW w:w="6392" w:type="dxa"/>
            <w:tcBorders>
              <w:bottom w:val="single" w:color="auto" w:sz="4" w:space="0"/>
            </w:tcBorders>
            <w:vAlign w:val="center"/>
          </w:tcPr>
          <w:p w14:paraId="190ACE0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供应商认为其他所需要补充的内容</w:t>
            </w:r>
          </w:p>
        </w:tc>
      </w:tr>
      <w:tr w14:paraId="1A21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BEA7521">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p>
        </w:tc>
        <w:tc>
          <w:tcPr>
            <w:tcW w:w="2416" w:type="dxa"/>
            <w:vAlign w:val="center"/>
          </w:tcPr>
          <w:p w14:paraId="0425E726">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磋商报价</w:t>
            </w:r>
          </w:p>
        </w:tc>
        <w:tc>
          <w:tcPr>
            <w:tcW w:w="6392" w:type="dxa"/>
            <w:vAlign w:val="center"/>
          </w:tcPr>
          <w:p w14:paraId="2EB751D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自主报价，超出最高限价的文件为无效文件</w:t>
            </w:r>
          </w:p>
        </w:tc>
      </w:tr>
      <w:tr w14:paraId="423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71ACAB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val="en-US" w:eastAsia="zh-CN"/>
              </w:rPr>
              <w:t>.1</w:t>
            </w:r>
          </w:p>
        </w:tc>
        <w:tc>
          <w:tcPr>
            <w:tcW w:w="2416" w:type="dxa"/>
            <w:vAlign w:val="center"/>
          </w:tcPr>
          <w:p w14:paraId="63839912">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磋商有效期</w:t>
            </w:r>
          </w:p>
        </w:tc>
        <w:tc>
          <w:tcPr>
            <w:tcW w:w="6392" w:type="dxa"/>
            <w:vAlign w:val="center"/>
          </w:tcPr>
          <w:p w14:paraId="0DF58A2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60日历天（从磋商截止之日算起）</w:t>
            </w:r>
          </w:p>
        </w:tc>
      </w:tr>
      <w:tr w14:paraId="407C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6" w:type="dxa"/>
            <w:vAlign w:val="center"/>
          </w:tcPr>
          <w:p w14:paraId="55F7FBC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7.3</w:t>
            </w:r>
          </w:p>
        </w:tc>
        <w:tc>
          <w:tcPr>
            <w:tcW w:w="2416" w:type="dxa"/>
            <w:vAlign w:val="center"/>
          </w:tcPr>
          <w:p w14:paraId="6B2F8693">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响应文件签字和盖章要求</w:t>
            </w:r>
          </w:p>
        </w:tc>
        <w:tc>
          <w:tcPr>
            <w:tcW w:w="6392" w:type="dxa"/>
            <w:vAlign w:val="center"/>
          </w:tcPr>
          <w:p w14:paraId="42EE223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1、响应文件格式中所有要求供应商加盖公章的地方都须加盖供应商的 CA 印章。</w:t>
            </w:r>
          </w:p>
          <w:p w14:paraId="4AAAAB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2、所有要求法定代表人或其委托代理人签字的地方都须法定代表人或其委托代理人加盖CA印章或签字。</w:t>
            </w:r>
          </w:p>
        </w:tc>
      </w:tr>
      <w:tr w14:paraId="7C1E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48DF6DC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7.4</w:t>
            </w:r>
          </w:p>
        </w:tc>
        <w:tc>
          <w:tcPr>
            <w:tcW w:w="2416" w:type="dxa"/>
            <w:vAlign w:val="center"/>
          </w:tcPr>
          <w:p w14:paraId="75B0E108">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响应文件份数及其他要求</w:t>
            </w:r>
          </w:p>
        </w:tc>
        <w:tc>
          <w:tcPr>
            <w:tcW w:w="6392" w:type="dxa"/>
            <w:vAlign w:val="center"/>
          </w:tcPr>
          <w:p w14:paraId="72F8462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加密的电子响应文件壹份（*.XYTF 格式，在会员系统指定位置上传）</w:t>
            </w:r>
          </w:p>
        </w:tc>
      </w:tr>
      <w:tr w14:paraId="2E9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3BC6032A">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3334F493">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w:t>
            </w:r>
          </w:p>
        </w:tc>
        <w:tc>
          <w:tcPr>
            <w:tcW w:w="6392" w:type="dxa"/>
            <w:vAlign w:val="center"/>
          </w:tcPr>
          <w:p w14:paraId="6930FC0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1、电子响应文件的递交</w:t>
            </w:r>
          </w:p>
          <w:p w14:paraId="27A455F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72741C6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621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42D91E0A">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2416" w:type="dxa"/>
            <w:vAlign w:val="center"/>
          </w:tcPr>
          <w:p w14:paraId="27213F7B">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提交响应文件截止时间</w:t>
            </w:r>
          </w:p>
        </w:tc>
        <w:tc>
          <w:tcPr>
            <w:tcW w:w="6392" w:type="dxa"/>
            <w:vAlign w:val="center"/>
          </w:tcPr>
          <w:p w14:paraId="14F09434">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2026年6月3日08时30分</w:t>
            </w:r>
          </w:p>
        </w:tc>
      </w:tr>
      <w:tr w14:paraId="19DA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396E3FF1">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2</w:t>
            </w:r>
          </w:p>
        </w:tc>
        <w:tc>
          <w:tcPr>
            <w:tcW w:w="2416" w:type="dxa"/>
            <w:vAlign w:val="center"/>
          </w:tcPr>
          <w:p w14:paraId="0734A2E0">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磋商时间和地点</w:t>
            </w:r>
          </w:p>
        </w:tc>
        <w:tc>
          <w:tcPr>
            <w:tcW w:w="6392" w:type="dxa"/>
            <w:vAlign w:val="center"/>
          </w:tcPr>
          <w:p w14:paraId="48897FFC">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磋商时间：同响应文件提交截止时间</w:t>
            </w:r>
          </w:p>
          <w:p w14:paraId="4430732E">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磋商地点：固始县公共资源交易中心六楼不见面第二开标室</w:t>
            </w:r>
          </w:p>
        </w:tc>
      </w:tr>
      <w:tr w14:paraId="127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AD0FEC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w:t>
            </w:r>
          </w:p>
        </w:tc>
        <w:tc>
          <w:tcPr>
            <w:tcW w:w="2416" w:type="dxa"/>
            <w:vAlign w:val="center"/>
          </w:tcPr>
          <w:p w14:paraId="55E1001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评标委员会的组建</w:t>
            </w:r>
          </w:p>
        </w:tc>
        <w:tc>
          <w:tcPr>
            <w:tcW w:w="6392" w:type="dxa"/>
            <w:vAlign w:val="center"/>
          </w:tcPr>
          <w:p w14:paraId="5A33116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磋商小组构成：3人，其中业主评委1人，技术、经济类专家2人；</w:t>
            </w:r>
          </w:p>
          <w:p w14:paraId="3BB122F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专家确定方式：磋商前从政府采购专家库中随机抽取。</w:t>
            </w:r>
          </w:p>
        </w:tc>
      </w:tr>
      <w:tr w14:paraId="670C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0DAEB5EF">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w:t>
            </w:r>
          </w:p>
        </w:tc>
        <w:tc>
          <w:tcPr>
            <w:tcW w:w="2416" w:type="dxa"/>
            <w:vAlign w:val="center"/>
          </w:tcPr>
          <w:p w14:paraId="4C271C2D">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是否授权评标委员会确定中标人</w:t>
            </w:r>
          </w:p>
        </w:tc>
        <w:tc>
          <w:tcPr>
            <w:tcW w:w="6392" w:type="dxa"/>
            <w:vAlign w:val="center"/>
          </w:tcPr>
          <w:p w14:paraId="373B901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否，推荐1-3名中标候选人。</w:t>
            </w:r>
          </w:p>
        </w:tc>
      </w:tr>
      <w:tr w14:paraId="232D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71CE3BAE">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41942F4">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履约保证金</w:t>
            </w:r>
          </w:p>
        </w:tc>
        <w:tc>
          <w:tcPr>
            <w:tcW w:w="6392" w:type="dxa"/>
            <w:vAlign w:val="center"/>
          </w:tcPr>
          <w:p w14:paraId="416D80E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1561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16D435D">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10.1</w:t>
            </w:r>
          </w:p>
        </w:tc>
        <w:tc>
          <w:tcPr>
            <w:tcW w:w="2416" w:type="dxa"/>
            <w:vAlign w:val="center"/>
          </w:tcPr>
          <w:p w14:paraId="254DB6BE">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付款方式</w:t>
            </w:r>
          </w:p>
        </w:tc>
        <w:tc>
          <w:tcPr>
            <w:tcW w:w="6392" w:type="dxa"/>
            <w:vAlign w:val="center"/>
          </w:tcPr>
          <w:p w14:paraId="3D2A27B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由采购人和中标供应商在合同中约定</w:t>
            </w:r>
          </w:p>
        </w:tc>
      </w:tr>
      <w:tr w14:paraId="7117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16" w:type="dxa"/>
            <w:vAlign w:val="center"/>
          </w:tcPr>
          <w:p w14:paraId="023A1E7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10.2</w:t>
            </w:r>
          </w:p>
        </w:tc>
        <w:tc>
          <w:tcPr>
            <w:tcW w:w="2416" w:type="dxa"/>
            <w:vAlign w:val="center"/>
          </w:tcPr>
          <w:p w14:paraId="702A4ADB">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本项目所属行业</w:t>
            </w:r>
          </w:p>
        </w:tc>
        <w:tc>
          <w:tcPr>
            <w:tcW w:w="6392" w:type="dxa"/>
            <w:vAlign w:val="center"/>
          </w:tcPr>
          <w:p w14:paraId="73CF83F9">
            <w:pPr>
              <w:wordWrap w:val="0"/>
              <w:autoSpaceDE w:val="0"/>
              <w:autoSpaceDN w:val="0"/>
              <w:adjustRightInd w:val="0"/>
              <w:spacing w:before="72" w:beforeLines="30" w:line="288" w:lineRule="auto"/>
              <w:ind w:left="21" w:leftChars="10" w:right="21" w:rightChars="1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工业</w:t>
            </w:r>
          </w:p>
        </w:tc>
      </w:tr>
      <w:tr w14:paraId="45C1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4C7AA7E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10.3</w:t>
            </w:r>
          </w:p>
        </w:tc>
        <w:tc>
          <w:tcPr>
            <w:tcW w:w="2416" w:type="dxa"/>
            <w:vAlign w:val="center"/>
          </w:tcPr>
          <w:p w14:paraId="59589C35">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本项目核心产品</w:t>
            </w:r>
          </w:p>
        </w:tc>
        <w:tc>
          <w:tcPr>
            <w:tcW w:w="6392" w:type="dxa"/>
            <w:vAlign w:val="center"/>
          </w:tcPr>
          <w:p w14:paraId="42CA1CE2">
            <w:pPr>
              <w:wordWrap w:val="0"/>
              <w:autoSpaceDE w:val="0"/>
              <w:autoSpaceDN w:val="0"/>
              <w:adjustRightInd w:val="0"/>
              <w:spacing w:before="72" w:beforeLines="30" w:line="288" w:lineRule="auto"/>
              <w:ind w:left="21" w:leftChars="10" w:right="21" w:rightChars="1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 </w:t>
            </w:r>
            <w:r>
              <w:rPr>
                <w:rFonts w:hint="eastAsia" w:asciiTheme="minorEastAsia" w:hAnsiTheme="minorEastAsia" w:cstheme="minorEastAsia"/>
                <w:b/>
                <w:bCs/>
                <w:sz w:val="24"/>
                <w:szCs w:val="24"/>
                <w:highlight w:val="none"/>
                <w:lang w:val="en-US" w:eastAsia="zh-CN"/>
              </w:rPr>
              <w:t>电梯</w:t>
            </w:r>
          </w:p>
        </w:tc>
      </w:tr>
      <w:tr w14:paraId="12ED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24" w:type="dxa"/>
            <w:gridSpan w:val="3"/>
            <w:vAlign w:val="center"/>
          </w:tcPr>
          <w:p w14:paraId="0D6E0E4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w:t>
            </w:r>
          </w:p>
        </w:tc>
      </w:tr>
      <w:tr w14:paraId="7BE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09DEA4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6392" w:type="dxa"/>
            <w:vAlign w:val="center"/>
          </w:tcPr>
          <w:p w14:paraId="09FC3F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2C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36BEEC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质疑（异议）、投诉</w:t>
            </w:r>
          </w:p>
        </w:tc>
        <w:tc>
          <w:tcPr>
            <w:tcW w:w="6392" w:type="dxa"/>
            <w:vAlign w:val="center"/>
          </w:tcPr>
          <w:p w14:paraId="57F6AFA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053F08A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操作流程详见</w:t>
            </w:r>
          </w:p>
          <w:p w14:paraId="287AC10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“质疑流程https://ggzyjy.xinyang.gov.cn/gushi//xzjd/001001/20230424/24338233-8372-48ba-9519-a74188f109aa.html”</w:t>
            </w:r>
          </w:p>
          <w:p w14:paraId="6A022BD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“投诉流程https://ggzyjy.xinyang.gov.cn/gushi//xzjd/001001/20230421/d6715f40-071e-4cb1-acf3-26d64cf67d8a.html”。采购人或采购代理机构不接受投标人对同一采购环节的多次质疑。</w:t>
            </w:r>
          </w:p>
        </w:tc>
      </w:tr>
      <w:tr w14:paraId="73FF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5F1B07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标书雷同性分析</w:t>
            </w:r>
          </w:p>
        </w:tc>
        <w:tc>
          <w:tcPr>
            <w:tcW w:w="6392" w:type="dxa"/>
            <w:vAlign w:val="center"/>
          </w:tcPr>
          <w:p w14:paraId="1304D270">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文件制作机器码、文件创建标识码有相同的按废标处理。</w:t>
            </w:r>
          </w:p>
        </w:tc>
      </w:tr>
      <w:tr w14:paraId="287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AA21D9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6392" w:type="dxa"/>
            <w:vAlign w:val="center"/>
          </w:tcPr>
          <w:p w14:paraId="3AB05559">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p>
        </w:tc>
      </w:tr>
      <w:tr w14:paraId="040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5FDAD680">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bookmarkStart w:id="14" w:name="_Toc16296"/>
            <w:bookmarkStart w:id="15" w:name="_Toc27364"/>
            <w:bookmarkStart w:id="16" w:name="_Toc3568"/>
            <w:bookmarkStart w:id="17" w:name="_Toc195921851"/>
            <w:r>
              <w:rPr>
                <w:rFonts w:hint="eastAsia" w:asciiTheme="minorEastAsia" w:hAnsiTheme="minorEastAsia" w:eastAsiaTheme="minorEastAsia" w:cstheme="minorEastAsia"/>
                <w:sz w:val="24"/>
                <w:szCs w:val="24"/>
                <w:lang w:eastAsia="zh-CN"/>
              </w:rPr>
              <w:t>相同品牌产品的处理</w:t>
            </w:r>
          </w:p>
        </w:tc>
        <w:tc>
          <w:tcPr>
            <w:tcW w:w="6392" w:type="dxa"/>
            <w:vAlign w:val="center"/>
          </w:tcPr>
          <w:p w14:paraId="046853C9">
            <w:pPr>
              <w:wordWrap w:val="0"/>
              <w:adjustRightInd w:val="0"/>
              <w:spacing w:line="340" w:lineRule="exact"/>
              <w:ind w:firstLine="420" w:firstLineChars="20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提供相同品牌产品且通过资格审查、符合性审查的不同供应商参加同一合同项目投标的，按一家供应商计算，评审后得分最高的同品牌供应商获得中标人推荐资格；评审得分相同的，确定报价较低的一个供应商获得中标人推荐资格；</w:t>
            </w:r>
          </w:p>
          <w:p w14:paraId="688189A8">
            <w:pPr>
              <w:wordWrap w:val="0"/>
              <w:adjustRightInd w:val="0"/>
              <w:spacing w:line="340" w:lineRule="exact"/>
              <w:ind w:firstLine="420" w:firstLineChars="20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2、提供相同品牌产品且通过资格审查、符合性审查的不同供应商参加同一合同项目投标的，已确定中标候选人的其他同品牌供应商不再推荐为中标候选人。</w:t>
            </w:r>
          </w:p>
          <w:p w14:paraId="135B695A">
            <w:pPr>
              <w:wordWrap w:val="0"/>
              <w:adjustRightInd w:val="0"/>
              <w:spacing w:line="340" w:lineRule="exact"/>
              <w:ind w:firstLine="420" w:firstLineChars="20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3、非单一产品采购项目，多家供应商提供的核心产品品牌相同的，视为提供相同品牌产品。</w:t>
            </w:r>
          </w:p>
        </w:tc>
      </w:tr>
    </w:tbl>
    <w:p w14:paraId="70D2EE2D">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1.总则</w:t>
      </w:r>
      <w:bookmarkEnd w:id="14"/>
      <w:bookmarkEnd w:id="15"/>
      <w:bookmarkStart w:id="18" w:name="_Toc466298092"/>
      <w:bookmarkStart w:id="19" w:name="_Toc455080109"/>
      <w:bookmarkStart w:id="20" w:name="_Toc6747"/>
      <w:bookmarkStart w:id="21" w:name="_Toc10273"/>
      <w:bookmarkStart w:id="22" w:name="_Toc274409866"/>
      <w:bookmarkStart w:id="23" w:name="_Toc29023"/>
      <w:bookmarkStart w:id="24" w:name="_Toc21458"/>
      <w:bookmarkStart w:id="25" w:name="_Toc21266"/>
      <w:bookmarkStart w:id="26" w:name="_Toc1172"/>
      <w:bookmarkStart w:id="27" w:name="_Toc658"/>
      <w:bookmarkStart w:id="28" w:name="_Toc490667828"/>
      <w:bookmarkStart w:id="29" w:name="_Toc15709"/>
      <w:bookmarkStart w:id="30" w:name="_Toc318450675"/>
      <w:bookmarkStart w:id="31" w:name="_Toc20827"/>
      <w:bookmarkStart w:id="32" w:name="_Toc9136"/>
      <w:bookmarkStart w:id="33" w:name="_Toc31404"/>
      <w:bookmarkStart w:id="34" w:name="_Toc455867769"/>
      <w:bookmarkStart w:id="35" w:name="_Toc281380952"/>
      <w:bookmarkStart w:id="36" w:name="_Toc152045531"/>
      <w:bookmarkStart w:id="37" w:name="_Toc144974499"/>
      <w:bookmarkStart w:id="38" w:name="_Toc152042307"/>
    </w:p>
    <w:p w14:paraId="69D1398F">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 xml:space="preserve">1.1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Theme="minorEastAsia" w:hAnsiTheme="minorEastAsia" w:eastAsiaTheme="minorEastAsia" w:cstheme="minorEastAsia"/>
          <w:b/>
          <w:bCs/>
          <w:sz w:val="24"/>
          <w:szCs w:val="24"/>
          <w:lang w:val="en-US" w:eastAsia="zh-CN"/>
        </w:rPr>
        <w:t>采购项目概括</w:t>
      </w:r>
    </w:p>
    <w:p w14:paraId="304A6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根据《中华人民共和国政府采购法》、《中华人民共和国政府采购法实施条例》、《政府采购竞争性磋商采购方式管理暂行办法》等有关法律、法规和规章的规定，编制本项目磋商文件。</w:t>
      </w:r>
      <w:bookmarkStart w:id="39" w:name="_Toc30891"/>
      <w:bookmarkStart w:id="40" w:name="_Toc10556"/>
      <w:bookmarkStart w:id="41" w:name="_Toc710"/>
      <w:bookmarkStart w:id="42" w:name="_Toc455867770"/>
      <w:bookmarkStart w:id="43" w:name="_Toc24852"/>
      <w:bookmarkStart w:id="44" w:name="_Toc10269"/>
      <w:bookmarkStart w:id="45" w:name="_Toc318450676"/>
      <w:bookmarkStart w:id="46" w:name="_Toc281405468"/>
      <w:bookmarkStart w:id="47" w:name="_Toc455080110"/>
      <w:bookmarkStart w:id="48" w:name="_Toc31929"/>
      <w:bookmarkStart w:id="49" w:name="_Toc274409867"/>
      <w:bookmarkStart w:id="50" w:name="_Toc490667829"/>
      <w:bookmarkStart w:id="51" w:name="_Toc32619"/>
      <w:bookmarkStart w:id="52" w:name="_Toc3336"/>
      <w:bookmarkStart w:id="53" w:name="_Toc2929"/>
      <w:bookmarkStart w:id="54" w:name="_Toc7237"/>
      <w:bookmarkStart w:id="55" w:name="_Toc466298093"/>
      <w:bookmarkStart w:id="56" w:name="_Toc25773"/>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CCDE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本项目采购人：见供应商须知前附表。</w:t>
      </w:r>
    </w:p>
    <w:p w14:paraId="5F2BF92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本项目采购代理机构：见供应商须知前附表。</w:t>
      </w:r>
    </w:p>
    <w:p w14:paraId="382D69C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本项目名称：见供应商须知前附表。</w:t>
      </w:r>
    </w:p>
    <w:p w14:paraId="645D014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本项目采购方式：见供应商须知前附表。</w:t>
      </w:r>
    </w:p>
    <w:p w14:paraId="71DC773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本项目预算价（最高限价）：见供应商须知前附表。</w:t>
      </w:r>
      <w:bookmarkStart w:id="57" w:name="_Toc274409868"/>
      <w:bookmarkStart w:id="58" w:name="_Toc318450677"/>
      <w:bookmarkStart w:id="59" w:name="_Toc18960"/>
      <w:bookmarkStart w:id="60" w:name="_Toc4563"/>
      <w:bookmarkStart w:id="61" w:name="_Toc16931"/>
      <w:bookmarkStart w:id="62" w:name="_Toc17146"/>
      <w:bookmarkStart w:id="63" w:name="_Toc490667830"/>
      <w:bookmarkStart w:id="64" w:name="_Toc4952"/>
      <w:bookmarkStart w:id="65" w:name="_Toc22979"/>
      <w:bookmarkStart w:id="66" w:name="_Toc17016"/>
      <w:bookmarkStart w:id="67" w:name="_Toc455080111"/>
      <w:bookmarkStart w:id="68" w:name="_Toc2415"/>
      <w:bookmarkStart w:id="69" w:name="_Toc4122"/>
      <w:bookmarkStart w:id="70" w:name="_Toc3477"/>
      <w:bookmarkStart w:id="71" w:name="_Toc455867771"/>
      <w:bookmarkStart w:id="72" w:name="_Toc281405469"/>
      <w:bookmarkStart w:id="73" w:name="_Toc1373"/>
      <w:bookmarkStart w:id="74" w:name="_Toc466298094"/>
    </w:p>
    <w:p w14:paraId="4CBD7954">
      <w:pPr>
        <w:wordWrap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 xml:space="preserve"> 采购项目的资金来源及付款方式</w:t>
      </w:r>
    </w:p>
    <w:p w14:paraId="171E29E5">
      <w:pPr>
        <w:wordWrap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1.2.1资金来源：</w:t>
      </w:r>
      <w:r>
        <w:rPr>
          <w:rFonts w:hint="eastAsia" w:asciiTheme="minorEastAsia" w:hAnsiTheme="minorEastAsia" w:eastAsiaTheme="minorEastAsia" w:cstheme="minorEastAsia"/>
          <w:sz w:val="24"/>
          <w:szCs w:val="24"/>
        </w:rPr>
        <w:t>见供应商须知前附表。</w:t>
      </w:r>
    </w:p>
    <w:p w14:paraId="174ED4D2">
      <w:pPr>
        <w:wordWrap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1.2.2出资比例：</w:t>
      </w:r>
      <w:r>
        <w:rPr>
          <w:rFonts w:hint="eastAsia" w:asciiTheme="minorEastAsia" w:hAnsiTheme="minorEastAsia" w:eastAsiaTheme="minorEastAsia" w:cstheme="minorEastAsia"/>
          <w:sz w:val="24"/>
          <w:szCs w:val="24"/>
        </w:rPr>
        <w:t>见供应商须知前附表。</w:t>
      </w:r>
    </w:p>
    <w:p w14:paraId="06AC93B9">
      <w:pPr>
        <w:wordWrap w:val="0"/>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1.2.3</w:t>
      </w:r>
      <w:r>
        <w:rPr>
          <w:rFonts w:hint="eastAsia" w:asciiTheme="minorEastAsia" w:hAnsiTheme="minorEastAsia" w:eastAsiaTheme="minorEastAsia" w:cstheme="minorEastAsia"/>
          <w:b w:val="0"/>
          <w:bCs/>
          <w:sz w:val="24"/>
          <w:szCs w:val="24"/>
        </w:rPr>
        <w:t>定义及解释</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E420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采购人：依法进行政府采购的国家机关、事业单位、团体组织。</w:t>
      </w:r>
    </w:p>
    <w:p w14:paraId="3436A46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 xml:space="preserve"> 采购代理机构：取得政府采购招标代理资质，受采购人委托组织招标活动的社会中介组织。</w:t>
      </w:r>
    </w:p>
    <w:p w14:paraId="51DE32D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服务：系指根据本磋商文件规定供应商须承担的服务以及其他类似的义务等。</w:t>
      </w:r>
    </w:p>
    <w:p w14:paraId="706342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供应商：供应商是响应磋商文件、参加磋商竞争的中华人民共和国境内的法人、其他组织。</w:t>
      </w:r>
    </w:p>
    <w:p w14:paraId="7EAE37E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响应文件：指供应商根据竞争性磋商文件提交的所有文件。</w:t>
      </w:r>
    </w:p>
    <w:p w14:paraId="46FAF1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磋商小组：依据《中华人民共和国政府采购法》及有关法律、法规的规定依法组建的专门负责本次评标工作的临时机构。</w:t>
      </w:r>
    </w:p>
    <w:p w14:paraId="2389285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偏离：响应文件的响应相对于竞争性磋商文件要求的偏差，该偏差优于竞争性磋商文件要求的为正偏离；劣于的，为负偏离。</w:t>
      </w:r>
    </w:p>
    <w:p w14:paraId="3BF2E2B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“日期”或“天”：指日历天。</w:t>
      </w:r>
    </w:p>
    <w:p w14:paraId="72B1997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 xml:space="preserve"> 合同：指依据本次服务采购招标结果签订的协议或合约文件。</w:t>
      </w:r>
    </w:p>
    <w:p w14:paraId="4C31B7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竞争性磋商文件中的标题或题名仅起引导作用，而不应视为对竞争性磋商文件内容的理解和解释。</w:t>
      </w:r>
      <w:bookmarkEnd w:id="36"/>
      <w:bookmarkEnd w:id="37"/>
      <w:bookmarkEnd w:id="38"/>
      <w:bookmarkStart w:id="75" w:name="_Toc144974500"/>
      <w:bookmarkStart w:id="76" w:name="_Toc14043"/>
      <w:bookmarkStart w:id="77" w:name="_Toc17908"/>
      <w:bookmarkStart w:id="78" w:name="_Toc21766"/>
      <w:bookmarkStart w:id="79" w:name="_Toc152045532"/>
      <w:bookmarkStart w:id="80" w:name="_Toc27407"/>
      <w:bookmarkStart w:id="81" w:name="_Toc32236"/>
      <w:bookmarkStart w:id="82" w:name="_Toc318450678"/>
      <w:bookmarkStart w:id="83" w:name="_Toc12752"/>
      <w:bookmarkStart w:id="84" w:name="_Toc455867772"/>
      <w:bookmarkStart w:id="85" w:name="_Toc19363"/>
      <w:bookmarkStart w:id="86" w:name="_Toc152042308"/>
      <w:bookmarkStart w:id="87" w:name="_Toc16470"/>
      <w:bookmarkStart w:id="88" w:name="_Toc466298095"/>
      <w:bookmarkStart w:id="89" w:name="_Toc26189"/>
      <w:bookmarkStart w:id="90" w:name="_Toc455080112"/>
      <w:bookmarkStart w:id="91" w:name="_Toc10894"/>
      <w:bookmarkStart w:id="92" w:name="_Toc17808"/>
      <w:bookmarkStart w:id="93" w:name="_Toc490667831"/>
    </w:p>
    <w:p w14:paraId="055B0D3A">
      <w:pPr>
        <w:wordWrap w:val="0"/>
        <w:spacing w:line="360" w:lineRule="auto"/>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采购内容、</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Theme="minorEastAsia" w:hAnsiTheme="minorEastAsia" w:eastAsiaTheme="minorEastAsia" w:cstheme="minorEastAsia"/>
          <w:b/>
          <w:sz w:val="24"/>
          <w:szCs w:val="24"/>
          <w:lang w:val="en-US" w:eastAsia="zh-CN"/>
        </w:rPr>
        <w:t>供货期</w:t>
      </w:r>
      <w:r>
        <w:rPr>
          <w:rFonts w:hint="eastAsia" w:asciiTheme="minorEastAsia" w:hAnsiTheme="minorEastAsia" w:eastAsiaTheme="minorEastAsia" w:cstheme="minorEastAsia"/>
          <w:b/>
          <w:sz w:val="24"/>
          <w:szCs w:val="24"/>
        </w:rPr>
        <w:t>、质量要求</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质保期</w:t>
      </w:r>
    </w:p>
    <w:p w14:paraId="02C9A9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本次采购内容：见供应商须知前附表。</w:t>
      </w:r>
    </w:p>
    <w:p w14:paraId="345EE9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本项目的</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：见供应商须知前附表。</w:t>
      </w:r>
    </w:p>
    <w:p w14:paraId="53268EC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 本项目的质量要求：见供应商须知前附表。</w:t>
      </w:r>
      <w:bookmarkStart w:id="94" w:name="_Toc152045534"/>
      <w:bookmarkStart w:id="95" w:name="_Toc318450679"/>
      <w:bookmarkStart w:id="96" w:name="_Toc144974502"/>
      <w:bookmarkStart w:id="97" w:name="_Toc152042310"/>
      <w:bookmarkStart w:id="98" w:name="_Toc10081"/>
      <w:bookmarkStart w:id="99" w:name="_Toc455080113"/>
      <w:bookmarkStart w:id="100" w:name="_Toc4711"/>
      <w:bookmarkStart w:id="101" w:name="_Toc490667832"/>
      <w:bookmarkStart w:id="102" w:name="_Toc7209"/>
      <w:bookmarkStart w:id="103" w:name="_Toc32156"/>
      <w:bookmarkStart w:id="104" w:name="_Toc11063"/>
      <w:bookmarkStart w:id="105" w:name="_Toc1602"/>
      <w:bookmarkStart w:id="106" w:name="_Toc466298096"/>
      <w:bookmarkStart w:id="107" w:name="_Toc18689"/>
      <w:bookmarkStart w:id="108" w:name="_Toc18004"/>
      <w:bookmarkStart w:id="109" w:name="_Toc22643"/>
      <w:bookmarkStart w:id="110" w:name="_Toc4301"/>
      <w:bookmarkStart w:id="111" w:name="_Toc5019"/>
      <w:bookmarkStart w:id="112" w:name="_Toc455867773"/>
    </w:p>
    <w:p w14:paraId="78C18A8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本项目的</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：见供应商须知前附表。</w:t>
      </w:r>
    </w:p>
    <w:p w14:paraId="2F18988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bookmarkEnd w:id="94"/>
      <w:bookmarkEnd w:id="95"/>
      <w:bookmarkEnd w:id="96"/>
      <w:bookmarkEnd w:id="97"/>
      <w:r>
        <w:rPr>
          <w:rFonts w:hint="eastAsia" w:asciiTheme="minorEastAsia" w:hAnsiTheme="minorEastAsia" w:eastAsiaTheme="minorEastAsia" w:cstheme="minorEastAsia"/>
          <w:b/>
          <w:sz w:val="24"/>
          <w:szCs w:val="24"/>
        </w:rPr>
        <w:t>供应商资质条件和能力</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07D568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供应商资质及能力要求：见供应商须知前附表。</w:t>
      </w:r>
    </w:p>
    <w:p w14:paraId="3EC02C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是否接受联合体：见供应商须知前附表。</w:t>
      </w:r>
      <w:bookmarkStart w:id="113" w:name="_Toc490667833"/>
      <w:bookmarkStart w:id="114" w:name="_Toc31854"/>
      <w:bookmarkStart w:id="115" w:name="_Toc152042311"/>
      <w:bookmarkStart w:id="116" w:name="_Toc152045535"/>
      <w:bookmarkStart w:id="117" w:name="_Toc31497"/>
      <w:bookmarkStart w:id="118" w:name="_Toc5162"/>
      <w:bookmarkStart w:id="119" w:name="_Toc9505"/>
      <w:bookmarkStart w:id="120" w:name="_Toc32446"/>
      <w:bookmarkStart w:id="121" w:name="_Toc28135"/>
      <w:bookmarkStart w:id="122" w:name="_Toc12403"/>
      <w:bookmarkStart w:id="123" w:name="_Toc466298097"/>
      <w:bookmarkStart w:id="124" w:name="_Toc144974503"/>
      <w:bookmarkStart w:id="125" w:name="_Toc981"/>
      <w:bookmarkStart w:id="126" w:name="_Toc651"/>
      <w:bookmarkStart w:id="127" w:name="_Toc455867774"/>
      <w:bookmarkStart w:id="128" w:name="_Toc455080114"/>
      <w:bookmarkStart w:id="129" w:name="_Toc11905"/>
      <w:bookmarkStart w:id="130" w:name="_Toc318450680"/>
      <w:bookmarkStart w:id="131" w:name="_Toc16889"/>
    </w:p>
    <w:p w14:paraId="408FDB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供应商不得存在下列情形之一：</w:t>
      </w:r>
    </w:p>
    <w:p w14:paraId="3615A7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（1）与采购人存在利害关系且可能影响采购公正性；</w:t>
      </w:r>
    </w:p>
    <w:p w14:paraId="1AC5D2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（2）与本采购项目的其他供应商为同一个单位负责人；</w:t>
      </w:r>
    </w:p>
    <w:p w14:paraId="0655174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（3）与本采购项目的其他供应商存在直接控股、管理关系；</w:t>
      </w:r>
    </w:p>
    <w:p w14:paraId="6CA9AF5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（4）为本采购项目提供整体设计、规范编制或者项目管理、监理、检测等服务；</w:t>
      </w:r>
    </w:p>
    <w:p w14:paraId="296DE80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（5）为本采购项目的采购代理机构或与采购代理机构同为一个法定代表人；</w:t>
      </w:r>
    </w:p>
    <w:p w14:paraId="5F81A5A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（6）被“中国政府采购”网站（www.ccgp.gov.cn）列入政府采购严重违法失信行为记录名单；</w:t>
      </w:r>
    </w:p>
    <w:p w14:paraId="5D1EF2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（7）因违法经营受到刑事处罚或者责令停产停业、吊销许可证或者执照、较大数额罚款等行政处罚；</w:t>
      </w:r>
    </w:p>
    <w:p w14:paraId="19AD16B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（8）进入清算程序，或被宣告破产，或其他丧失履约能力的情形；</w:t>
      </w:r>
    </w:p>
    <w:p w14:paraId="3919F3C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（9）被“中国执行信息公开网”（http://zxgk.court.gov.cn）列入失信被执行人、被“国家税务总局”（http://www.chinatax.gov.cn/）列入重大税收违法失信主体的；</w:t>
      </w:r>
    </w:p>
    <w:p w14:paraId="23A2CAC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（10）在近三年内供应商有行贿犯罪行为的；</w:t>
      </w:r>
    </w:p>
    <w:p w14:paraId="3A6330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（11）法律法规或供应商须知前附表规定的其他情形。</w:t>
      </w:r>
    </w:p>
    <w:p w14:paraId="000A471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 xml:space="preserve"> 费用承担</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6DA12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供应商准备和参加磋商活动发生的费用自理，不论磋商的结果如何，采购人和采购代理机构在任何情况下均无义务和责任承担这些费用。</w:t>
      </w:r>
      <w:bookmarkStart w:id="132" w:name="_Toc466298098"/>
      <w:bookmarkStart w:id="133" w:name="_Toc455080115"/>
      <w:bookmarkStart w:id="134" w:name="_Toc20145"/>
      <w:bookmarkStart w:id="135" w:name="_Toc22800"/>
      <w:bookmarkStart w:id="136" w:name="_Toc152042312"/>
      <w:bookmarkStart w:id="137" w:name="_Toc24601"/>
      <w:bookmarkStart w:id="138" w:name="_Toc1879"/>
      <w:bookmarkStart w:id="139" w:name="_Toc490667834"/>
      <w:bookmarkStart w:id="140" w:name="_Toc8598"/>
      <w:bookmarkStart w:id="141" w:name="_Toc8055"/>
      <w:bookmarkStart w:id="142" w:name="_Toc152045536"/>
      <w:bookmarkStart w:id="143" w:name="_Toc2622"/>
      <w:bookmarkStart w:id="144" w:name="_Toc318450681"/>
      <w:bookmarkStart w:id="145" w:name="_Toc32053"/>
      <w:bookmarkStart w:id="146" w:name="_Toc6014"/>
      <w:bookmarkStart w:id="147" w:name="_Toc5402"/>
      <w:bookmarkStart w:id="148" w:name="_Toc144974504"/>
      <w:bookmarkStart w:id="149" w:name="_Toc22136"/>
      <w:bookmarkStart w:id="150" w:name="_Toc455867775"/>
    </w:p>
    <w:p w14:paraId="2AC38EE0">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xml:space="preserve"> 保密</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1B2493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参与磋商活动的各方应对竞争性磋商文件和响应文件中的商业和技术等秘密保密，违者应对由此造成的后果承担法律责任。</w:t>
      </w:r>
      <w:bookmarkStart w:id="151" w:name="_Toc144974505"/>
      <w:bookmarkStart w:id="152" w:name="_Toc15673"/>
      <w:bookmarkStart w:id="153" w:name="_Toc30747"/>
      <w:bookmarkStart w:id="154" w:name="_Toc30583"/>
      <w:bookmarkStart w:id="155" w:name="_Toc3628"/>
      <w:bookmarkStart w:id="156" w:name="_Toc455080116"/>
      <w:bookmarkStart w:id="157" w:name="_Toc490667835"/>
      <w:bookmarkStart w:id="158" w:name="_Toc466298099"/>
      <w:bookmarkStart w:id="159" w:name="_Toc7031"/>
      <w:bookmarkStart w:id="160" w:name="_Toc152042313"/>
      <w:bookmarkStart w:id="161" w:name="_Toc13976"/>
      <w:bookmarkStart w:id="162" w:name="_Toc25517"/>
      <w:bookmarkStart w:id="163" w:name="_Toc21089"/>
      <w:bookmarkStart w:id="164" w:name="_Toc318450682"/>
      <w:bookmarkStart w:id="165" w:name="_Toc22226"/>
      <w:bookmarkStart w:id="166" w:name="_Toc14775"/>
      <w:bookmarkStart w:id="167" w:name="_Toc455867776"/>
      <w:bookmarkStart w:id="168" w:name="_Toc152045537"/>
      <w:bookmarkStart w:id="169" w:name="_Toc6615"/>
    </w:p>
    <w:p w14:paraId="15009E6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 xml:space="preserve"> 语言</w:t>
      </w:r>
      <w:bookmarkEnd w:id="151"/>
      <w:r>
        <w:rPr>
          <w:rFonts w:hint="eastAsia" w:asciiTheme="minorEastAsia" w:hAnsiTheme="minorEastAsia" w:eastAsiaTheme="minorEastAsia" w:cstheme="minorEastAsia"/>
          <w:b/>
          <w:sz w:val="24"/>
          <w:szCs w:val="24"/>
        </w:rPr>
        <w:t>文字</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5C444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除专用术语外，与磋商有关的语言均使用中文。必要时专用术语应附有中文注释，对不同文字文本响应文件的解释发生异议的，以中文文本为准。</w:t>
      </w:r>
      <w:bookmarkStart w:id="170" w:name="_Toc9446"/>
      <w:bookmarkStart w:id="171" w:name="_Toc144974506"/>
      <w:bookmarkStart w:id="172" w:name="_Toc18357"/>
      <w:bookmarkStart w:id="173" w:name="_Toc22415"/>
      <w:bookmarkStart w:id="174" w:name="_Toc152045538"/>
      <w:bookmarkStart w:id="175" w:name="_Toc32507"/>
      <w:bookmarkStart w:id="176" w:name="_Toc318450683"/>
      <w:bookmarkStart w:id="177" w:name="_Toc4237"/>
      <w:bookmarkStart w:id="178" w:name="_Toc22378"/>
      <w:bookmarkStart w:id="179" w:name="_Toc490667836"/>
      <w:bookmarkStart w:id="180" w:name="_Toc21543"/>
      <w:bookmarkStart w:id="181" w:name="_Toc466298100"/>
      <w:bookmarkStart w:id="182" w:name="_Toc4501"/>
      <w:bookmarkStart w:id="183" w:name="_Toc24337"/>
      <w:bookmarkStart w:id="184" w:name="_Toc152042314"/>
      <w:bookmarkStart w:id="185" w:name="_Toc455080117"/>
      <w:bookmarkStart w:id="186" w:name="_Toc14934"/>
      <w:bookmarkStart w:id="187" w:name="_Toc455867777"/>
      <w:bookmarkStart w:id="188" w:name="_Toc2702"/>
    </w:p>
    <w:p w14:paraId="07623F7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 xml:space="preserve"> 计量单位</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FDEBCD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bookmarkStart w:id="189" w:name="_Toc29845"/>
      <w:bookmarkStart w:id="190" w:name="_Toc31195"/>
      <w:bookmarkStart w:id="191" w:name="_Toc455080118"/>
      <w:bookmarkStart w:id="192" w:name="_Toc490667837"/>
      <w:bookmarkStart w:id="193" w:name="_Toc27570"/>
      <w:bookmarkStart w:id="194" w:name="_Toc338"/>
      <w:bookmarkStart w:id="195" w:name="_Toc466298101"/>
      <w:bookmarkStart w:id="196" w:name="_Toc13675"/>
      <w:bookmarkStart w:id="197" w:name="_Toc284"/>
      <w:bookmarkStart w:id="198" w:name="_Toc144974508"/>
      <w:bookmarkStart w:id="199" w:name="_Toc152045540"/>
      <w:bookmarkStart w:id="200" w:name="_Toc19685"/>
      <w:bookmarkStart w:id="201" w:name="_Toc12027"/>
      <w:bookmarkStart w:id="202" w:name="_Toc318450684"/>
      <w:bookmarkStart w:id="203" w:name="_Toc152042316"/>
      <w:bookmarkStart w:id="204" w:name="_Toc455867778"/>
      <w:bookmarkStart w:id="205" w:name="_Toc2508"/>
      <w:bookmarkStart w:id="206" w:name="_Toc18589"/>
      <w:bookmarkStart w:id="207" w:name="_Toc32253"/>
    </w:p>
    <w:p w14:paraId="56602C38">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hint="eastAsia" w:asciiTheme="minorEastAsia" w:hAnsiTheme="minorEastAsia" w:eastAsiaTheme="minorEastAsia" w:cstheme="minorEastAsia"/>
          <w:b/>
          <w:sz w:val="24"/>
          <w:szCs w:val="24"/>
        </w:rPr>
        <w:t>现场踏勘</w:t>
      </w:r>
      <w:bookmarkEnd w:id="207"/>
      <w:bookmarkStart w:id="208" w:name="_Toc28719"/>
      <w:bookmarkStart w:id="209" w:name="_Toc23678"/>
      <w:bookmarkStart w:id="210" w:name="_Toc152045541"/>
      <w:bookmarkStart w:id="211" w:name="_Toc144974509"/>
      <w:bookmarkStart w:id="212" w:name="_Toc25208"/>
      <w:bookmarkStart w:id="213" w:name="_Toc3853"/>
      <w:bookmarkStart w:id="214" w:name="_Toc318450685"/>
      <w:bookmarkStart w:id="215" w:name="_Toc23635"/>
      <w:bookmarkStart w:id="216" w:name="_Toc31725"/>
      <w:bookmarkStart w:id="217" w:name="_Toc9182"/>
      <w:bookmarkStart w:id="218" w:name="_Toc490667838"/>
      <w:bookmarkStart w:id="219" w:name="_Toc152042317"/>
      <w:bookmarkStart w:id="220" w:name="_Toc11744"/>
      <w:bookmarkStart w:id="221" w:name="_Toc466298102"/>
      <w:bookmarkStart w:id="222" w:name="_Toc24262"/>
      <w:bookmarkStart w:id="223" w:name="_Toc32757"/>
      <w:bookmarkStart w:id="224" w:name="_Toc455080119"/>
      <w:bookmarkStart w:id="225" w:name="_Toc455867779"/>
    </w:p>
    <w:p w14:paraId="7CCD88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14:paraId="677EB97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 xml:space="preserve"> 分包</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8F3B1F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是否允许分包：见供应商须知前附表。</w:t>
      </w:r>
      <w:bookmarkStart w:id="226" w:name="_Toc144974510"/>
      <w:bookmarkStart w:id="227" w:name="_Toc152045542"/>
      <w:bookmarkStart w:id="228" w:name="_Toc152042318"/>
      <w:bookmarkStart w:id="229" w:name="_Toc455080120"/>
    </w:p>
    <w:bookmarkEnd w:id="226"/>
    <w:bookmarkEnd w:id="227"/>
    <w:bookmarkEnd w:id="228"/>
    <w:bookmarkEnd w:id="229"/>
    <w:p w14:paraId="3D220A0E">
      <w:pPr>
        <w:wordWrap w:val="0"/>
        <w:spacing w:line="360" w:lineRule="auto"/>
        <w:ind w:firstLine="482" w:firstLineChars="200"/>
        <w:rPr>
          <w:rFonts w:hint="eastAsia" w:asciiTheme="minorEastAsia" w:hAnsiTheme="minorEastAsia" w:eastAsiaTheme="minorEastAsia" w:cstheme="minorEastAsia"/>
          <w:b/>
          <w:sz w:val="24"/>
          <w:szCs w:val="24"/>
        </w:rPr>
      </w:pPr>
      <w:bookmarkStart w:id="230" w:name="_Toc24635"/>
      <w:bookmarkStart w:id="231" w:name="_Toc2792"/>
      <w:r>
        <w:rPr>
          <w:rFonts w:hint="eastAsia" w:asciiTheme="minorEastAsia" w:hAnsiTheme="minorEastAsia" w:eastAsiaTheme="minorEastAsia" w:cstheme="minorEastAsia"/>
          <w:b/>
          <w:sz w:val="24"/>
          <w:szCs w:val="24"/>
        </w:rPr>
        <w:t>2.竞争性磋商文件</w:t>
      </w:r>
      <w:bookmarkEnd w:id="230"/>
      <w:bookmarkEnd w:id="231"/>
      <w:bookmarkStart w:id="232" w:name="_Toc7999"/>
      <w:bookmarkStart w:id="233" w:name="_Toc9780"/>
      <w:bookmarkStart w:id="234" w:name="_Toc455867781"/>
      <w:bookmarkStart w:id="235" w:name="_Toc455080121"/>
      <w:bookmarkStart w:id="236" w:name="_Toc490667840"/>
      <w:bookmarkStart w:id="237" w:name="_Toc144974511"/>
      <w:bookmarkStart w:id="238" w:name="_Toc1008"/>
      <w:bookmarkStart w:id="239" w:name="_Toc23649"/>
      <w:bookmarkStart w:id="240" w:name="_Toc25982"/>
      <w:bookmarkStart w:id="241" w:name="_Toc32711"/>
      <w:bookmarkStart w:id="242" w:name="_Toc12004"/>
      <w:bookmarkStart w:id="243" w:name="_Toc12640"/>
      <w:bookmarkStart w:id="244" w:name="_Toc466298104"/>
      <w:bookmarkStart w:id="245" w:name="_Toc11567"/>
      <w:bookmarkStart w:id="246" w:name="_Toc11599"/>
      <w:bookmarkStart w:id="247" w:name="_Toc152042319"/>
      <w:bookmarkStart w:id="248" w:name="_Toc3982"/>
      <w:bookmarkStart w:id="249" w:name="_Toc318450687"/>
      <w:bookmarkStart w:id="250" w:name="_Toc152045543"/>
    </w:p>
    <w:p w14:paraId="41A3987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 竞争性磋商文件的组成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345536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本竞争性磋商文件包括：</w:t>
      </w:r>
    </w:p>
    <w:p w14:paraId="55F3110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14:paraId="588A82A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14:paraId="6501E78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评标</w:t>
      </w:r>
      <w:r>
        <w:rPr>
          <w:rFonts w:hint="eastAsia" w:asciiTheme="minorEastAsia" w:hAnsiTheme="minorEastAsia" w:eastAsiaTheme="minorEastAsia" w:cstheme="minorEastAsia"/>
          <w:sz w:val="24"/>
          <w:szCs w:val="24"/>
        </w:rPr>
        <w:t>办法（综合评分法）；</w:t>
      </w:r>
    </w:p>
    <w:p w14:paraId="0F71B80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（4）河南省政府采购合同（参考文本）；</w:t>
      </w:r>
    </w:p>
    <w:p w14:paraId="3A9F49D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（5）采购要求；</w:t>
      </w:r>
    </w:p>
    <w:p w14:paraId="224633F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（6）竞争性磋商响应文件格式。</w:t>
      </w:r>
    </w:p>
    <w:p w14:paraId="5CDC52E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根据本章第2.2款和第2.3款对竞争性磋商文件所作的澄清、修改，构成竞争性磋商文件的组成部分。</w:t>
      </w:r>
      <w:bookmarkStart w:id="251" w:name="_Toc15658"/>
      <w:bookmarkStart w:id="252" w:name="_Toc6508"/>
      <w:bookmarkStart w:id="253" w:name="_Toc152045546"/>
      <w:bookmarkStart w:id="254" w:name="_Toc144974514"/>
      <w:bookmarkStart w:id="255" w:name="_Toc152042322"/>
      <w:bookmarkStart w:id="256" w:name="_Toc455080124"/>
    </w:p>
    <w:p w14:paraId="77B6108A">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 竞争性磋商文件的澄清</w:t>
      </w:r>
      <w:bookmarkEnd w:id="251"/>
      <w:bookmarkEnd w:id="252"/>
    </w:p>
    <w:p w14:paraId="6D741DF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7F1C5B0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4F9ED4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供应商应在响应文件递交截止时间前及时查看澄清内容，因供应商未及时查看而造成的后果自负。</w:t>
      </w:r>
      <w:bookmarkStart w:id="257" w:name="_Toc9923"/>
      <w:bookmarkStart w:id="258" w:name="_Toc8263"/>
    </w:p>
    <w:p w14:paraId="070EEB3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竞争性磋商文件的修改</w:t>
      </w:r>
      <w:bookmarkEnd w:id="257"/>
      <w:bookmarkEnd w:id="258"/>
    </w:p>
    <w:p w14:paraId="150C2A7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01DC972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当竞争性磋商文件的澄清、修改、补充等在同一内容的表述上不一致时，以最后在信阳市公共资源交易系统发出的文件为准。</w:t>
      </w:r>
    </w:p>
    <w:p w14:paraId="24A3F47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供应商应在响应文件递交截止时间前及时查看修改内容，因供应商未及时查看而造成的后果自负。</w:t>
      </w:r>
    </w:p>
    <w:p w14:paraId="4F7917F9">
      <w:pPr>
        <w:wordWrap w:val="0"/>
        <w:spacing w:line="360" w:lineRule="auto"/>
        <w:ind w:firstLine="482" w:firstLineChars="200"/>
        <w:rPr>
          <w:rFonts w:hint="eastAsia" w:asciiTheme="minorEastAsia" w:hAnsiTheme="minorEastAsia" w:eastAsiaTheme="minorEastAsia" w:cstheme="minorEastAsia"/>
          <w:b/>
          <w:sz w:val="24"/>
          <w:szCs w:val="24"/>
        </w:rPr>
      </w:pPr>
      <w:bookmarkStart w:id="259" w:name="_Toc4666"/>
      <w:bookmarkStart w:id="260" w:name="_Toc26311"/>
      <w:bookmarkStart w:id="261" w:name="_Toc20484"/>
      <w:r>
        <w:rPr>
          <w:rFonts w:hint="eastAsia" w:asciiTheme="minorEastAsia" w:hAnsiTheme="minorEastAsia" w:eastAsiaTheme="minorEastAsia" w:cstheme="minorEastAsia"/>
          <w:b/>
          <w:sz w:val="24"/>
          <w:szCs w:val="24"/>
        </w:rPr>
        <w:t xml:space="preserve">3. </w:t>
      </w:r>
      <w:bookmarkEnd w:id="253"/>
      <w:bookmarkEnd w:id="254"/>
      <w:bookmarkEnd w:id="255"/>
      <w:r>
        <w:rPr>
          <w:rFonts w:hint="eastAsia" w:asciiTheme="minorEastAsia" w:hAnsiTheme="minorEastAsia" w:eastAsiaTheme="minorEastAsia" w:cstheme="minorEastAsia"/>
          <w:b/>
          <w:sz w:val="24"/>
          <w:szCs w:val="24"/>
        </w:rPr>
        <w:t>响应文件</w:t>
      </w:r>
      <w:bookmarkEnd w:id="256"/>
      <w:bookmarkEnd w:id="259"/>
      <w:bookmarkEnd w:id="260"/>
      <w:bookmarkEnd w:id="261"/>
      <w:bookmarkStart w:id="262" w:name="_Toc152042323"/>
      <w:bookmarkStart w:id="263" w:name="_Toc10096"/>
      <w:bookmarkStart w:id="264" w:name="_Toc27373"/>
      <w:bookmarkStart w:id="265" w:name="_Toc1102"/>
      <w:bookmarkStart w:id="266" w:name="_Toc9273"/>
      <w:bookmarkStart w:id="267" w:name="_Toc144974515"/>
      <w:bookmarkStart w:id="268" w:name="_Toc152045547"/>
      <w:bookmarkStart w:id="269" w:name="_Toc24440"/>
      <w:bookmarkStart w:id="270" w:name="_Toc490667844"/>
      <w:bookmarkStart w:id="271" w:name="_Toc16198"/>
      <w:bookmarkStart w:id="272" w:name="_Toc318450691"/>
      <w:bookmarkStart w:id="273" w:name="_Toc15810"/>
    </w:p>
    <w:p w14:paraId="43EFF32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 响应文件的组成</w:t>
      </w:r>
      <w:bookmarkEnd w:id="262"/>
      <w:bookmarkEnd w:id="263"/>
      <w:bookmarkEnd w:id="264"/>
      <w:bookmarkEnd w:id="265"/>
      <w:bookmarkEnd w:id="266"/>
      <w:bookmarkEnd w:id="267"/>
      <w:bookmarkEnd w:id="268"/>
      <w:bookmarkEnd w:id="269"/>
      <w:bookmarkEnd w:id="270"/>
      <w:bookmarkEnd w:id="271"/>
      <w:bookmarkEnd w:id="272"/>
      <w:bookmarkEnd w:id="273"/>
    </w:p>
    <w:p w14:paraId="34ABD3D8">
      <w:pPr>
        <w:wordWrap w:val="0"/>
        <w:spacing w:line="360" w:lineRule="auto"/>
        <w:ind w:firstLine="480" w:firstLineChars="200"/>
        <w:rPr>
          <w:rFonts w:hint="eastAsia" w:asciiTheme="minorEastAsia" w:hAnsiTheme="minorEastAsia" w:eastAsiaTheme="minorEastAsia" w:cstheme="minorEastAsia"/>
          <w:sz w:val="24"/>
          <w:szCs w:val="24"/>
          <w:highlight w:val="none"/>
        </w:rPr>
      </w:pPr>
      <w:bookmarkStart w:id="274" w:name="_Toc318450692"/>
      <w:bookmarkStart w:id="275" w:name="_Toc152042324"/>
      <w:bookmarkStart w:id="276" w:name="_Toc899"/>
      <w:bookmarkStart w:id="277" w:name="_Toc152045548"/>
      <w:bookmarkStart w:id="278" w:name="_Toc26291"/>
      <w:bookmarkStart w:id="279" w:name="_Toc279156232"/>
      <w:bookmarkStart w:id="280" w:name="_Toc144974516"/>
      <w:r>
        <w:rPr>
          <w:rFonts w:hint="eastAsia" w:asciiTheme="minorEastAsia" w:hAnsiTheme="minorEastAsia" w:eastAsiaTheme="minorEastAsia" w:cstheme="minorEastAsia"/>
          <w:sz w:val="24"/>
          <w:szCs w:val="24"/>
          <w:highlight w:val="none"/>
        </w:rPr>
        <w:t>响应文件应包括下列内容：</w:t>
      </w:r>
    </w:p>
    <w:p w14:paraId="30D1CBE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bookmarkStart w:id="281" w:name="_Toc4592"/>
      <w:r>
        <w:rPr>
          <w:rFonts w:hint="eastAsia" w:asciiTheme="minorEastAsia" w:hAnsiTheme="minorEastAsia" w:eastAsiaTheme="minorEastAsia" w:cstheme="minorEastAsia"/>
          <w:b w:val="0"/>
          <w:bCs/>
          <w:sz w:val="24"/>
          <w:szCs w:val="24"/>
          <w:highlight w:val="none"/>
        </w:rPr>
        <w:t>一、响应函及响应函附录</w:t>
      </w:r>
    </w:p>
    <w:p w14:paraId="696634CB">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二、分项报价表</w:t>
      </w:r>
    </w:p>
    <w:p w14:paraId="1F9BD75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三、法定代表人（单位负责人）身份证明</w:t>
      </w:r>
    </w:p>
    <w:p w14:paraId="2A075ABC">
      <w:pPr>
        <w:wordWrap w:val="0"/>
        <w:spacing w:line="360" w:lineRule="auto"/>
        <w:ind w:firstLine="1200" w:firstLineChars="5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授权委托书</w:t>
      </w:r>
    </w:p>
    <w:p w14:paraId="443E5313">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四、商务条款偏离表</w:t>
      </w:r>
    </w:p>
    <w:p w14:paraId="66E0278D">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五、技术条款偏离表</w:t>
      </w:r>
    </w:p>
    <w:p w14:paraId="1CA31D8A">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六、资格证明材料</w:t>
      </w:r>
    </w:p>
    <w:p w14:paraId="2EB67D68">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七、技术部分</w:t>
      </w:r>
    </w:p>
    <w:p w14:paraId="1AA21FC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八、其他材料</w:t>
      </w:r>
    </w:p>
    <w:p w14:paraId="687D2557">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九、供应商认为应该提交的其他材料</w:t>
      </w:r>
    </w:p>
    <w:p w14:paraId="4A19D33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十、关于政府采购政策（有则附，没有不附）</w:t>
      </w:r>
    </w:p>
    <w:p w14:paraId="641172D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磋商报价</w:t>
      </w:r>
      <w:bookmarkEnd w:id="274"/>
      <w:bookmarkEnd w:id="275"/>
      <w:bookmarkEnd w:id="276"/>
      <w:bookmarkEnd w:id="277"/>
      <w:bookmarkEnd w:id="278"/>
      <w:bookmarkEnd w:id="279"/>
      <w:bookmarkEnd w:id="280"/>
      <w:bookmarkEnd w:id="281"/>
    </w:p>
    <w:p w14:paraId="49B48ADD">
      <w:pPr>
        <w:wordWrap w:val="0"/>
        <w:spacing w:line="360" w:lineRule="auto"/>
        <w:ind w:firstLine="480" w:firstLineChars="200"/>
        <w:rPr>
          <w:rFonts w:hint="eastAsia" w:asciiTheme="minorEastAsia" w:hAnsiTheme="minorEastAsia" w:eastAsiaTheme="minorEastAsia" w:cstheme="minorEastAsia"/>
          <w:sz w:val="24"/>
          <w:szCs w:val="24"/>
        </w:rPr>
      </w:pPr>
      <w:bookmarkStart w:id="282" w:name="_Toc12402"/>
      <w:bookmarkStart w:id="283" w:name="_Toc6105"/>
      <w:bookmarkStart w:id="284" w:name="_Toc466298109"/>
      <w:bookmarkStart w:id="285" w:name="_Toc152042325"/>
      <w:bookmarkStart w:id="286" w:name="_Toc144974517"/>
      <w:bookmarkStart w:id="287" w:name="_Toc11968"/>
      <w:bookmarkStart w:id="288" w:name="_Toc152045549"/>
      <w:bookmarkStart w:id="289" w:name="_Toc7910"/>
      <w:bookmarkStart w:id="290" w:name="_Toc21680"/>
      <w:bookmarkStart w:id="291" w:name="_Toc3624"/>
      <w:bookmarkStart w:id="292" w:name="_Toc490667846"/>
      <w:bookmarkStart w:id="293" w:name="_Toc7105"/>
      <w:bookmarkStart w:id="294" w:name="_Toc318450693"/>
      <w:bookmarkStart w:id="295" w:name="_Toc455080126"/>
      <w:bookmarkStart w:id="296" w:name="_Toc455867786"/>
      <w:bookmarkStart w:id="297" w:name="_Toc29133"/>
      <w:bookmarkStart w:id="298" w:name="_Toc21600"/>
      <w:bookmarkStart w:id="299" w:name="_Toc2425"/>
      <w:bookmarkStart w:id="300" w:name="_Toc25387"/>
      <w:r>
        <w:rPr>
          <w:rFonts w:hint="eastAsia" w:asciiTheme="minorEastAsia" w:hAnsiTheme="minorEastAsia" w:eastAsiaTheme="minorEastAsia" w:cstheme="minorEastAsia"/>
          <w:sz w:val="24"/>
          <w:szCs w:val="24"/>
        </w:rPr>
        <w:t xml:space="preserve">3.2.1 </w:t>
      </w:r>
      <w:bookmarkEnd w:id="282"/>
      <w:r>
        <w:rPr>
          <w:rFonts w:hint="eastAsia" w:asciiTheme="minorEastAsia" w:hAnsiTheme="minorEastAsia" w:eastAsiaTheme="minorEastAsia" w:cstheme="minorEastAsia"/>
          <w:sz w:val="24"/>
          <w:szCs w:val="24"/>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6B5EF9E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供应商应充分了解该项目的总体情况以及影响磋商报价的其它要素，考虑服务期间的价格风险因素，成交价在合同实施期内不得调整，同时也不因市场价格变动而调整。</w:t>
      </w:r>
    </w:p>
    <w:p w14:paraId="632FF16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响应报价表中的大写金额和小写金额不一致的，以大写金额为准。</w:t>
      </w:r>
    </w:p>
    <w:p w14:paraId="268BBDF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2506C28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注：磋商价格为含税价，供应商应充分了解该项目的总体情况以及影响磋商报价的其它要素，考虑</w:t>
      </w:r>
      <w:r>
        <w:rPr>
          <w:rFonts w:hint="eastAsia" w:asciiTheme="minorEastAsia" w:hAnsiTheme="minorEastAsia" w:eastAsiaTheme="minorEastAsia" w:cstheme="minorEastAsia"/>
          <w:b/>
          <w:sz w:val="24"/>
          <w:szCs w:val="24"/>
          <w:lang w:val="en-US" w:eastAsia="zh-CN"/>
        </w:rPr>
        <w:t>项目周期内</w:t>
      </w:r>
      <w:r>
        <w:rPr>
          <w:rFonts w:hint="eastAsia" w:asciiTheme="minorEastAsia" w:hAnsiTheme="minorEastAsia" w:eastAsiaTheme="minorEastAsia" w:cstheme="minorEastAsia"/>
          <w:b/>
          <w:sz w:val="24"/>
          <w:szCs w:val="24"/>
        </w:rPr>
        <w:t>的价格风险因素，成交价在合同实施期内不得调整，同时也不因市场价格变动而调整。</w:t>
      </w:r>
    </w:p>
    <w:p w14:paraId="664AE3EB">
      <w:pPr>
        <w:wordWrap w:val="0"/>
        <w:spacing w:line="360" w:lineRule="auto"/>
        <w:ind w:firstLine="482" w:firstLineChars="200"/>
        <w:rPr>
          <w:rFonts w:hint="eastAsia" w:asciiTheme="minorEastAsia" w:hAnsiTheme="minorEastAsia" w:eastAsiaTheme="minorEastAsia" w:cstheme="minorEastAsia"/>
          <w:b/>
          <w:sz w:val="24"/>
          <w:szCs w:val="24"/>
        </w:rPr>
      </w:pPr>
      <w:bookmarkStart w:id="301" w:name="_Toc31126"/>
      <w:r>
        <w:rPr>
          <w:rFonts w:hint="eastAsia" w:asciiTheme="minorEastAsia" w:hAnsiTheme="minorEastAsia" w:eastAsiaTheme="minorEastAsia" w:cstheme="minorEastAsia"/>
          <w:b/>
          <w:sz w:val="24"/>
          <w:szCs w:val="24"/>
        </w:rPr>
        <w:t>3.3 磋商有效期</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893FBB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在供应商须知前附表规定的磋商有效期内，供应商不得要求撤销或修改其响应文件。</w:t>
      </w:r>
    </w:p>
    <w:p w14:paraId="1B77F1C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出现特殊情况需要延长磋商有效期的，采购人以书面形式通知所有供应商延长磋商有效期。供应商同意延长的，但不得要求或被允许修改或撤销其响应文件；供应商拒绝延长的，其响应文件失效。</w:t>
      </w:r>
    </w:p>
    <w:p w14:paraId="2213BA68">
      <w:pPr>
        <w:wordWrap w:val="0"/>
        <w:spacing w:line="360" w:lineRule="auto"/>
        <w:ind w:firstLine="482" w:firstLineChars="200"/>
        <w:rPr>
          <w:rFonts w:hint="eastAsia" w:asciiTheme="minorEastAsia" w:hAnsiTheme="minorEastAsia" w:eastAsiaTheme="minorEastAsia" w:cstheme="minorEastAsia"/>
          <w:sz w:val="24"/>
          <w:szCs w:val="24"/>
        </w:rPr>
      </w:pPr>
      <w:bookmarkStart w:id="302" w:name="_Toc152045550"/>
      <w:bookmarkStart w:id="303" w:name="_Toc318450694"/>
      <w:bookmarkStart w:id="304" w:name="_Toc30697"/>
      <w:bookmarkStart w:id="305" w:name="_Toc455080127"/>
      <w:bookmarkStart w:id="306" w:name="_Toc7618"/>
      <w:bookmarkStart w:id="307" w:name="_Toc22634"/>
      <w:bookmarkStart w:id="308" w:name="_Toc8406"/>
      <w:bookmarkStart w:id="309" w:name="_Toc4165"/>
      <w:bookmarkStart w:id="310" w:name="_Toc7973"/>
      <w:bookmarkStart w:id="311" w:name="_Toc2505"/>
      <w:bookmarkStart w:id="312" w:name="_Toc7057"/>
      <w:bookmarkStart w:id="313" w:name="_Toc466298110"/>
      <w:bookmarkStart w:id="314" w:name="_Toc10370"/>
      <w:bookmarkStart w:id="315" w:name="_Toc152042326"/>
      <w:bookmarkStart w:id="316" w:name="_Toc144974518"/>
      <w:bookmarkStart w:id="317" w:name="_Toc490667847"/>
      <w:bookmarkStart w:id="318" w:name="_Toc455867787"/>
      <w:bookmarkStart w:id="319" w:name="_Toc1907"/>
      <w:bookmarkStart w:id="320" w:name="_Toc13921"/>
      <w:r>
        <w:rPr>
          <w:rFonts w:hint="eastAsia" w:asciiTheme="minorEastAsia" w:hAnsiTheme="minorEastAsia" w:eastAsiaTheme="minorEastAsia" w:cstheme="minorEastAsia"/>
          <w:b/>
          <w:sz w:val="24"/>
          <w:szCs w:val="24"/>
        </w:rPr>
        <w:t>3.4 磋商保证金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Start w:id="321" w:name="_Toc152042328"/>
      <w:bookmarkStart w:id="322" w:name="_Toc152045552"/>
      <w:bookmarkStart w:id="323" w:name="_Toc318450695"/>
      <w:bookmarkStart w:id="324" w:name="_Toc144974520"/>
    </w:p>
    <w:p w14:paraId="4189B18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bookmarkEnd w:id="319"/>
      <w:bookmarkEnd w:id="320"/>
    </w:p>
    <w:p w14:paraId="41AD7B95">
      <w:pPr>
        <w:wordWrap w:val="0"/>
        <w:spacing w:line="360" w:lineRule="auto"/>
        <w:ind w:firstLine="482" w:firstLineChars="200"/>
        <w:rPr>
          <w:rFonts w:hint="eastAsia" w:asciiTheme="minorEastAsia" w:hAnsiTheme="minorEastAsia" w:eastAsiaTheme="minorEastAsia" w:cstheme="minorEastAsia"/>
          <w:b/>
          <w:sz w:val="24"/>
          <w:szCs w:val="24"/>
        </w:rPr>
      </w:pPr>
      <w:bookmarkStart w:id="325" w:name="_Toc490667848"/>
      <w:bookmarkStart w:id="326" w:name="_Toc22527"/>
      <w:bookmarkStart w:id="327" w:name="_Toc466298111"/>
      <w:bookmarkStart w:id="328" w:name="_Toc11077"/>
      <w:bookmarkStart w:id="329" w:name="_Toc22384"/>
      <w:bookmarkStart w:id="330" w:name="_Toc27678"/>
      <w:bookmarkStart w:id="331" w:name="_Toc455867788"/>
      <w:bookmarkStart w:id="332" w:name="_Toc20328"/>
      <w:bookmarkStart w:id="333" w:name="_Toc16747"/>
      <w:bookmarkStart w:id="334" w:name="_Toc15547"/>
      <w:bookmarkStart w:id="335" w:name="_Toc27579"/>
      <w:bookmarkStart w:id="336" w:name="_Toc13680"/>
      <w:bookmarkStart w:id="337" w:name="_Toc455080128"/>
      <w:bookmarkStart w:id="338" w:name="_Toc17153"/>
      <w:r>
        <w:rPr>
          <w:rFonts w:hint="eastAsia" w:asciiTheme="minorEastAsia" w:hAnsiTheme="minorEastAsia" w:eastAsiaTheme="minorEastAsia" w:cstheme="minorEastAsia"/>
          <w:b/>
          <w:sz w:val="24"/>
          <w:szCs w:val="24"/>
        </w:rPr>
        <w:t>3.5 资格审查资料</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DD2CE2C">
      <w:pPr>
        <w:wordWrap w:val="0"/>
        <w:spacing w:line="360" w:lineRule="auto"/>
        <w:ind w:firstLine="480" w:firstLineChars="200"/>
        <w:rPr>
          <w:rFonts w:hint="eastAsia" w:asciiTheme="minorEastAsia" w:hAnsiTheme="minorEastAsia" w:eastAsiaTheme="minorEastAsia" w:cstheme="minorEastAsia"/>
          <w:sz w:val="24"/>
          <w:szCs w:val="24"/>
        </w:rPr>
      </w:pPr>
      <w:bookmarkStart w:id="339" w:name="_Toc4586"/>
      <w:bookmarkStart w:id="340" w:name="_Toc15687"/>
      <w:bookmarkStart w:id="341" w:name="_Toc144974521"/>
      <w:bookmarkStart w:id="342" w:name="_Toc1228"/>
      <w:bookmarkStart w:id="343" w:name="_Toc152045553"/>
      <w:bookmarkStart w:id="344" w:name="_Toc18915"/>
      <w:bookmarkStart w:id="345" w:name="_Toc152042329"/>
      <w:bookmarkStart w:id="346" w:name="_Toc318450696"/>
      <w:bookmarkStart w:id="347" w:name="_Toc30442"/>
      <w:bookmarkStart w:id="348" w:name="_Toc455867789"/>
      <w:bookmarkStart w:id="349" w:name="_Toc5132"/>
      <w:bookmarkStart w:id="350" w:name="_Toc466298112"/>
      <w:bookmarkStart w:id="351" w:name="_Toc9015"/>
      <w:bookmarkStart w:id="352" w:name="_Toc490667849"/>
      <w:bookmarkStart w:id="353" w:name="_Toc11694"/>
      <w:bookmarkStart w:id="354" w:name="_Toc19724"/>
      <w:bookmarkStart w:id="355" w:name="_Toc3286"/>
      <w:bookmarkStart w:id="356" w:name="_Toc26258"/>
      <w:bookmarkStart w:id="357" w:name="_Toc455080129"/>
      <w:r>
        <w:rPr>
          <w:rFonts w:hint="eastAsia" w:asciiTheme="minorEastAsia" w:hAnsiTheme="minorEastAsia" w:eastAsiaTheme="minorEastAsia" w:cstheme="minorEastAsia"/>
          <w:sz w:val="24"/>
          <w:szCs w:val="24"/>
        </w:rPr>
        <w:t>按照第二章供应商须知表“供应商须知前附表”1.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.1要求，提供其他相关材料。</w:t>
      </w:r>
      <w:bookmarkEnd w:id="339"/>
      <w:bookmarkEnd w:id="340"/>
    </w:p>
    <w:p w14:paraId="26CA284A">
      <w:pPr>
        <w:wordWrap w:val="0"/>
        <w:spacing w:line="360" w:lineRule="auto"/>
        <w:ind w:firstLine="482" w:firstLineChars="200"/>
        <w:rPr>
          <w:rFonts w:hint="eastAsia" w:asciiTheme="minorEastAsia" w:hAnsiTheme="minorEastAsia" w:eastAsiaTheme="minorEastAsia" w:cstheme="minorEastAsia"/>
          <w:b/>
          <w:sz w:val="24"/>
          <w:szCs w:val="24"/>
        </w:rPr>
      </w:pPr>
      <w:bookmarkStart w:id="358" w:name="_Toc24859"/>
      <w:bookmarkStart w:id="359" w:name="_Toc3708"/>
      <w:r>
        <w:rPr>
          <w:rFonts w:hint="eastAsia" w:asciiTheme="minorEastAsia" w:hAnsiTheme="minorEastAsia" w:eastAsiaTheme="minorEastAsia" w:cstheme="minorEastAsia"/>
          <w:b/>
          <w:sz w:val="24"/>
          <w:szCs w:val="24"/>
        </w:rPr>
        <w:t>3.6 备选方案</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39F88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除供应商须知前附表另有规定外，供应商不得递交备选磋商方案。</w:t>
      </w:r>
    </w:p>
    <w:p w14:paraId="6CB60312">
      <w:pPr>
        <w:wordWrap w:val="0"/>
        <w:spacing w:line="360" w:lineRule="auto"/>
        <w:ind w:firstLine="482" w:firstLineChars="200"/>
        <w:rPr>
          <w:rFonts w:hint="eastAsia" w:asciiTheme="minorEastAsia" w:hAnsiTheme="minorEastAsia" w:eastAsiaTheme="minorEastAsia" w:cstheme="minorEastAsia"/>
          <w:b/>
          <w:sz w:val="24"/>
          <w:szCs w:val="24"/>
        </w:rPr>
      </w:pPr>
      <w:bookmarkStart w:id="360" w:name="_Toc5516"/>
      <w:bookmarkStart w:id="361" w:name="_Toc144974522"/>
      <w:bookmarkStart w:id="362" w:name="_Toc490667850"/>
      <w:bookmarkStart w:id="363" w:name="_Toc12275"/>
      <w:bookmarkStart w:id="364" w:name="_Toc152045554"/>
      <w:bookmarkStart w:id="365" w:name="_Toc455867790"/>
      <w:bookmarkStart w:id="366" w:name="_Toc28656"/>
      <w:bookmarkStart w:id="367" w:name="_Toc152042330"/>
      <w:bookmarkStart w:id="368" w:name="_Toc466298113"/>
      <w:bookmarkStart w:id="369" w:name="_Toc18912"/>
      <w:bookmarkStart w:id="370" w:name="_Toc17697"/>
      <w:bookmarkStart w:id="371" w:name="_Toc17982"/>
      <w:bookmarkStart w:id="372" w:name="_Toc12541"/>
      <w:bookmarkStart w:id="373" w:name="_Toc7966"/>
      <w:bookmarkStart w:id="374" w:name="_Toc7626"/>
      <w:bookmarkStart w:id="375" w:name="_Toc318450697"/>
      <w:bookmarkStart w:id="376" w:name="_Toc25620"/>
      <w:bookmarkStart w:id="377" w:name="_Toc455080130"/>
      <w:bookmarkStart w:id="378" w:name="_Toc6323"/>
      <w:r>
        <w:rPr>
          <w:rFonts w:hint="eastAsia" w:asciiTheme="minorEastAsia" w:hAnsiTheme="minorEastAsia" w:eastAsiaTheme="minorEastAsia" w:cstheme="minorEastAsia"/>
          <w:b/>
          <w:sz w:val="24"/>
          <w:szCs w:val="24"/>
        </w:rPr>
        <w:t>3.7 响应文件的编制</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79" w:name="_Toc455080131"/>
      <w:bookmarkStart w:id="380" w:name="_Toc144974523"/>
      <w:bookmarkStart w:id="381" w:name="_Toc152042331"/>
      <w:bookmarkStart w:id="382" w:name="_Toc152045555"/>
    </w:p>
    <w:p w14:paraId="101BC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6D8037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响应文件应当对竞争性磋商文件有关采购内容、</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、质量要求作出响应。</w:t>
      </w:r>
    </w:p>
    <w:p w14:paraId="13386AB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 响应文件应使用信阳市公共资源交易系统响应文件制作专用工具软件编制，竞争性磋商响应文件格式为“**.</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”。电子响应文件签字或盖章的具体要求见供应商须知前附表。供应商须在响应文件递交截止时间前制作并提交。</w:t>
      </w:r>
    </w:p>
    <w:p w14:paraId="56E3B5E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 响应文件份数见供应商须知前附表。</w:t>
      </w:r>
    </w:p>
    <w:p w14:paraId="777BD29C">
      <w:pPr>
        <w:wordWrap w:val="0"/>
        <w:spacing w:line="360" w:lineRule="auto"/>
        <w:ind w:firstLine="482" w:firstLineChars="200"/>
        <w:rPr>
          <w:rFonts w:hint="eastAsia" w:asciiTheme="minorEastAsia" w:hAnsiTheme="minorEastAsia" w:eastAsiaTheme="minorEastAsia" w:cstheme="minorEastAsia"/>
          <w:b/>
          <w:sz w:val="24"/>
          <w:szCs w:val="24"/>
        </w:rPr>
      </w:pPr>
      <w:bookmarkStart w:id="383" w:name="_Toc28805"/>
      <w:bookmarkStart w:id="384" w:name="_Toc19433"/>
      <w:bookmarkStart w:id="385" w:name="_Toc10732"/>
      <w:r>
        <w:rPr>
          <w:rFonts w:hint="eastAsia" w:asciiTheme="minorEastAsia" w:hAnsiTheme="minorEastAsia" w:eastAsiaTheme="minorEastAsia" w:cstheme="minorEastAsia"/>
          <w:b/>
          <w:sz w:val="24"/>
          <w:szCs w:val="24"/>
        </w:rPr>
        <w:t xml:space="preserve">4. </w:t>
      </w:r>
      <w:bookmarkEnd w:id="379"/>
      <w:bookmarkEnd w:id="380"/>
      <w:bookmarkEnd w:id="381"/>
      <w:bookmarkEnd w:id="382"/>
      <w:r>
        <w:rPr>
          <w:rFonts w:hint="eastAsia" w:asciiTheme="minorEastAsia" w:hAnsiTheme="minorEastAsia" w:eastAsiaTheme="minorEastAsia" w:cstheme="minorEastAsia"/>
          <w:b/>
          <w:sz w:val="24"/>
          <w:szCs w:val="24"/>
        </w:rPr>
        <w:t>磋商</w:t>
      </w:r>
      <w:bookmarkEnd w:id="383"/>
      <w:bookmarkEnd w:id="384"/>
      <w:bookmarkEnd w:id="385"/>
      <w:bookmarkStart w:id="386" w:name="_Toc455867792"/>
      <w:bookmarkStart w:id="387" w:name="_Toc18820"/>
      <w:bookmarkStart w:id="388" w:name="_Toc152042332"/>
      <w:bookmarkStart w:id="389" w:name="_Toc455080132"/>
      <w:bookmarkStart w:id="390" w:name="_Toc144974524"/>
      <w:bookmarkStart w:id="391" w:name="_Toc31492"/>
      <w:bookmarkStart w:id="392" w:name="_Toc16783"/>
      <w:bookmarkStart w:id="393" w:name="_Toc466298115"/>
      <w:bookmarkStart w:id="394" w:name="_Toc152045556"/>
      <w:bookmarkStart w:id="395" w:name="_Toc16344"/>
      <w:bookmarkStart w:id="396" w:name="_Toc11243"/>
      <w:bookmarkStart w:id="397" w:name="_Toc22961"/>
      <w:bookmarkStart w:id="398" w:name="_Toc490667852"/>
      <w:bookmarkStart w:id="399" w:name="_Toc26583"/>
      <w:bookmarkStart w:id="400" w:name="_Toc26550"/>
      <w:bookmarkStart w:id="401" w:name="_Toc16962"/>
      <w:bookmarkStart w:id="402" w:name="_Toc318450699"/>
      <w:bookmarkStart w:id="403" w:name="_Toc21145"/>
      <w:bookmarkStart w:id="404" w:name="_Toc19950"/>
    </w:p>
    <w:p w14:paraId="726FB5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 响应文件的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Theme="minorEastAsia" w:hAnsiTheme="minorEastAsia" w:eastAsiaTheme="minorEastAsia" w:cstheme="minorEastAsia"/>
          <w:b/>
          <w:sz w:val="24"/>
          <w:szCs w:val="24"/>
        </w:rPr>
        <w:t>上传</w:t>
      </w:r>
      <w:bookmarkEnd w:id="403"/>
      <w:bookmarkEnd w:id="404"/>
    </w:p>
    <w:p w14:paraId="3D60536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网上上传的电子响应文件应使用供应商数字证书认证并加密。</w:t>
      </w:r>
    </w:p>
    <w:p w14:paraId="3B2F8F04">
      <w:pPr>
        <w:wordWrap w:val="0"/>
        <w:spacing w:line="360" w:lineRule="auto"/>
        <w:ind w:firstLine="482" w:firstLineChars="200"/>
        <w:rPr>
          <w:rFonts w:hint="eastAsia" w:asciiTheme="minorEastAsia" w:hAnsiTheme="minorEastAsia" w:eastAsiaTheme="minorEastAsia" w:cstheme="minorEastAsia"/>
          <w:b/>
          <w:sz w:val="24"/>
          <w:szCs w:val="24"/>
        </w:rPr>
      </w:pPr>
      <w:bookmarkStart w:id="405" w:name="_Toc8754"/>
      <w:bookmarkStart w:id="406" w:name="_Toc144974525"/>
      <w:bookmarkStart w:id="407" w:name="_Toc21072"/>
      <w:bookmarkStart w:id="408" w:name="_Toc27132"/>
      <w:bookmarkStart w:id="409" w:name="_Toc490667853"/>
      <w:bookmarkStart w:id="410" w:name="_Toc21897"/>
      <w:bookmarkStart w:id="411" w:name="_Toc4767"/>
      <w:bookmarkStart w:id="412" w:name="_Toc455080133"/>
      <w:bookmarkStart w:id="413" w:name="_Toc152042333"/>
      <w:bookmarkStart w:id="414" w:name="_Toc455867793"/>
      <w:bookmarkStart w:id="415" w:name="_Toc462"/>
      <w:bookmarkStart w:id="416" w:name="_Toc466298116"/>
      <w:bookmarkStart w:id="417" w:name="_Toc318450700"/>
      <w:bookmarkStart w:id="418" w:name="_Toc28272"/>
      <w:bookmarkStart w:id="419" w:name="_Toc20259"/>
      <w:bookmarkStart w:id="420" w:name="_Toc5518"/>
      <w:bookmarkStart w:id="421" w:name="_Toc152045557"/>
      <w:bookmarkStart w:id="422" w:name="_Toc7663"/>
      <w:bookmarkStart w:id="423" w:name="_Toc16832"/>
      <w:r>
        <w:rPr>
          <w:rFonts w:hint="eastAsia" w:asciiTheme="minorEastAsia" w:hAnsiTheme="minorEastAsia" w:eastAsiaTheme="minorEastAsia" w:cstheme="minorEastAsia"/>
          <w:b/>
          <w:sz w:val="24"/>
          <w:szCs w:val="24"/>
        </w:rPr>
        <w:t>4.2 响应文件的递交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B7CFA5A">
      <w:pPr>
        <w:wordWrap w:val="0"/>
        <w:spacing w:line="360" w:lineRule="auto"/>
        <w:ind w:firstLine="480" w:firstLineChars="200"/>
        <w:rPr>
          <w:rFonts w:hint="eastAsia" w:asciiTheme="minorEastAsia" w:hAnsiTheme="minorEastAsia" w:eastAsiaTheme="minorEastAsia" w:cstheme="minorEastAsia"/>
          <w:sz w:val="24"/>
          <w:szCs w:val="24"/>
        </w:rPr>
      </w:pPr>
      <w:bookmarkStart w:id="424" w:name="_Toc11817"/>
      <w:bookmarkStart w:id="425" w:name="_Toc5102"/>
      <w:bookmarkStart w:id="426" w:name="_Toc144974526"/>
      <w:bookmarkStart w:id="427" w:name="_Toc21890"/>
      <w:bookmarkStart w:id="428" w:name="_Toc30860"/>
      <w:bookmarkStart w:id="429" w:name="_Toc318450701"/>
      <w:bookmarkStart w:id="430" w:name="_Toc17161"/>
      <w:bookmarkStart w:id="431" w:name="_Toc26684"/>
      <w:bookmarkStart w:id="432" w:name="_Toc19951"/>
      <w:bookmarkStart w:id="433" w:name="_Toc152042334"/>
      <w:bookmarkStart w:id="434" w:name="_Toc455867794"/>
      <w:bookmarkStart w:id="435" w:name="_Toc466298117"/>
      <w:bookmarkStart w:id="436" w:name="_Toc490667854"/>
      <w:bookmarkStart w:id="437" w:name="_Toc20281"/>
      <w:bookmarkStart w:id="438" w:name="_Toc152045558"/>
      <w:bookmarkStart w:id="439" w:name="_Toc455080134"/>
      <w:bookmarkStart w:id="440" w:name="_Toc2952"/>
      <w:r>
        <w:rPr>
          <w:rFonts w:hint="eastAsia" w:asciiTheme="minorEastAsia" w:hAnsiTheme="minorEastAsia" w:eastAsiaTheme="minorEastAsia" w:cstheme="minorEastAsia"/>
          <w:sz w:val="24"/>
          <w:szCs w:val="24"/>
        </w:rPr>
        <w:t>4.2.1 电子响应文件的递交</w:t>
      </w:r>
    </w:p>
    <w:p w14:paraId="2CCB1B3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各供应商应在响应文件提交截止时间前上传加密的电子响应文件（**.</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41" w:name="_Toc1790"/>
      <w:bookmarkStart w:id="442" w:name="_Toc30434"/>
    </w:p>
    <w:p w14:paraId="60E07C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逾期上传的投标文件，招标人不予受理。</w:t>
      </w:r>
    </w:p>
    <w:p w14:paraId="1E07C242">
      <w:pPr>
        <w:wordWrap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4.2.3</w:t>
      </w:r>
      <w:r>
        <w:rPr>
          <w:rFonts w:hint="eastAsia" w:asciiTheme="minorEastAsia" w:hAnsiTheme="minorEastAsia" w:eastAsiaTheme="minorEastAsia" w:cstheme="minorEastAsia"/>
          <w:b/>
          <w:bCs/>
          <w:sz w:val="24"/>
          <w:szCs w:val="24"/>
        </w:rPr>
        <w:t>投标人因电子招投标交易平台问题无法上传电子投标文件时，请及时与固始县公共资源交易中心联系，新点软件技术人员联系电话：1</w:t>
      </w:r>
      <w:r>
        <w:rPr>
          <w:rFonts w:hint="eastAsia" w:asciiTheme="minorEastAsia" w:hAnsiTheme="minorEastAsia" w:eastAsiaTheme="minorEastAsia" w:cstheme="minorEastAsia"/>
          <w:b/>
          <w:bCs/>
          <w:sz w:val="24"/>
          <w:szCs w:val="24"/>
          <w:lang w:val="en-US" w:eastAsia="zh-CN"/>
        </w:rPr>
        <w:t>8537677109</w:t>
      </w:r>
      <w:r>
        <w:rPr>
          <w:rFonts w:hint="eastAsia" w:asciiTheme="minorEastAsia" w:hAnsiTheme="minorEastAsia" w:eastAsiaTheme="minorEastAsia" w:cstheme="minorEastAsia"/>
          <w:b/>
          <w:bCs/>
          <w:sz w:val="24"/>
          <w:szCs w:val="24"/>
        </w:rPr>
        <w:t>，交易中心信息科：4096606。</w:t>
      </w:r>
    </w:p>
    <w:p w14:paraId="06E633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FF30A2D">
      <w:pPr>
        <w:wordWrap w:val="0"/>
        <w:spacing w:line="360" w:lineRule="auto"/>
        <w:ind w:firstLine="480" w:firstLineChars="200"/>
        <w:rPr>
          <w:rFonts w:hint="eastAsia" w:asciiTheme="minorEastAsia" w:hAnsiTheme="minorEastAsia" w:eastAsiaTheme="minorEastAsia" w:cstheme="minorEastAsia"/>
          <w:sz w:val="24"/>
          <w:szCs w:val="24"/>
        </w:rPr>
      </w:pPr>
      <w:bookmarkStart w:id="443" w:name="_Toc152042335"/>
      <w:bookmarkStart w:id="444" w:name="_Toc152045559"/>
      <w:bookmarkStart w:id="445" w:name="_Toc144974527"/>
      <w:bookmarkStart w:id="446" w:name="_Toc455080135"/>
      <w:r>
        <w:rPr>
          <w:rFonts w:hint="eastAsia" w:asciiTheme="minorEastAsia" w:hAnsiTheme="minorEastAsia" w:eastAsiaTheme="minorEastAsia" w:cstheme="minorEastAsia"/>
          <w:sz w:val="24"/>
          <w:szCs w:val="24"/>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587BCE8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修改的响应文件应按照本章第3.7条、第4.2条规定进行编制和递交。</w:t>
      </w:r>
    </w:p>
    <w:bookmarkEnd w:id="443"/>
    <w:bookmarkEnd w:id="444"/>
    <w:bookmarkEnd w:id="445"/>
    <w:p w14:paraId="4B6F32AA">
      <w:pPr>
        <w:wordWrap w:val="0"/>
        <w:spacing w:line="360" w:lineRule="auto"/>
        <w:ind w:firstLine="482" w:firstLineChars="200"/>
        <w:rPr>
          <w:rFonts w:hint="eastAsia" w:asciiTheme="minorEastAsia" w:hAnsiTheme="minorEastAsia" w:eastAsiaTheme="minorEastAsia" w:cstheme="minorEastAsia"/>
          <w:b/>
          <w:sz w:val="24"/>
          <w:szCs w:val="24"/>
        </w:rPr>
      </w:pPr>
      <w:bookmarkStart w:id="447" w:name="_Toc14969"/>
      <w:bookmarkStart w:id="448" w:name="_Toc5719"/>
      <w:bookmarkStart w:id="449" w:name="_Toc31291"/>
      <w:r>
        <w:rPr>
          <w:rFonts w:hint="eastAsia" w:asciiTheme="minorEastAsia" w:hAnsiTheme="minorEastAsia" w:eastAsiaTheme="minorEastAsia" w:cstheme="minorEastAsia"/>
          <w:b/>
          <w:sz w:val="24"/>
          <w:szCs w:val="24"/>
        </w:rPr>
        <w:t>5. 磋商开始</w:t>
      </w:r>
      <w:bookmarkEnd w:id="446"/>
      <w:bookmarkEnd w:id="447"/>
      <w:bookmarkEnd w:id="448"/>
      <w:bookmarkEnd w:id="449"/>
      <w:bookmarkStart w:id="450" w:name="_Toc6763"/>
      <w:bookmarkStart w:id="451" w:name="_Toc144974528"/>
      <w:bookmarkStart w:id="452" w:name="_Toc466298119"/>
      <w:bookmarkStart w:id="453" w:name="_Toc25809"/>
      <w:bookmarkStart w:id="454" w:name="_Toc14"/>
      <w:bookmarkStart w:id="455" w:name="_Toc20333"/>
      <w:bookmarkStart w:id="456" w:name="_Toc9969"/>
      <w:bookmarkStart w:id="457" w:name="_Toc455080136"/>
      <w:bookmarkStart w:id="458" w:name="_Toc455867796"/>
      <w:bookmarkStart w:id="459" w:name="_Toc318450703"/>
      <w:bookmarkStart w:id="460" w:name="_Toc26426"/>
      <w:bookmarkStart w:id="461" w:name="_Toc16040"/>
      <w:bookmarkStart w:id="462" w:name="_Toc152042336"/>
      <w:bookmarkStart w:id="463" w:name="_Toc152045560"/>
      <w:bookmarkStart w:id="464" w:name="_Toc490667856"/>
      <w:bookmarkStart w:id="465" w:name="_Toc25533"/>
      <w:bookmarkStart w:id="466" w:name="_Toc20660"/>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4C00CEF5">
      <w:pPr>
        <w:wordWrap w:val="0"/>
        <w:spacing w:line="360" w:lineRule="auto"/>
        <w:ind w:firstLine="482" w:firstLineChars="200"/>
        <w:rPr>
          <w:rFonts w:hint="eastAsia" w:asciiTheme="minorEastAsia" w:hAnsiTheme="minorEastAsia" w:eastAsiaTheme="minorEastAsia" w:cstheme="minorEastAsia"/>
          <w:b/>
          <w:sz w:val="24"/>
          <w:szCs w:val="24"/>
        </w:rPr>
      </w:pPr>
      <w:bookmarkStart w:id="467" w:name="_Toc19037"/>
      <w:bookmarkStart w:id="468" w:name="_Toc144974529"/>
      <w:bookmarkStart w:id="469" w:name="_Toc9328"/>
      <w:bookmarkStart w:id="470" w:name="_Toc30965"/>
      <w:bookmarkStart w:id="471" w:name="_Toc490667857"/>
      <w:bookmarkStart w:id="472" w:name="_Toc17491"/>
      <w:bookmarkStart w:id="473" w:name="_Toc18582"/>
      <w:bookmarkStart w:id="474" w:name="_Toc747"/>
      <w:bookmarkStart w:id="475" w:name="_Toc30074"/>
      <w:bookmarkStart w:id="476" w:name="_Toc3865"/>
      <w:bookmarkStart w:id="477" w:name="_Toc455867797"/>
      <w:bookmarkStart w:id="478" w:name="_Toc30792"/>
      <w:bookmarkStart w:id="479" w:name="_Toc152045561"/>
      <w:bookmarkStart w:id="480" w:name="_Toc11148"/>
      <w:bookmarkStart w:id="481" w:name="_Toc25911"/>
      <w:bookmarkStart w:id="482" w:name="_Toc152042337"/>
      <w:bookmarkStart w:id="483" w:name="_Toc318450704"/>
      <w:bookmarkStart w:id="484" w:name="_Toc466298120"/>
      <w:bookmarkStart w:id="485" w:name="_Toc455080137"/>
      <w:r>
        <w:rPr>
          <w:rFonts w:hint="eastAsia" w:asciiTheme="minorEastAsia" w:hAnsiTheme="minorEastAsia" w:eastAsiaTheme="minorEastAsia" w:cstheme="minorEastAsia"/>
          <w:b/>
          <w:sz w:val="24"/>
          <w:szCs w:val="24"/>
        </w:rPr>
        <w:t>5.1 磋商时间和地点</w:t>
      </w:r>
      <w:bookmarkEnd w:id="467"/>
    </w:p>
    <w:p w14:paraId="61B9A41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采购人在本章规定的投标截止时间（开标时间）和供应商须知前附表规定的地点开标。</w:t>
      </w:r>
    </w:p>
    <w:p w14:paraId="193FD23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本项目采用“不见面开标”交易方式，不见面开标大厅网址为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https://ggzyjy.xinyang.gov.cn/BidOpening/bidhall/xinyang/login.html，供应商无需寄送和递交非加密的电子响应文件，无需到现场参加开标会议，无需到达现场提交原件资料。</w:t>
      </w:r>
      <w:r>
        <w:rPr>
          <w:rFonts w:hint="eastAsia" w:asciiTheme="minorEastAsia" w:hAnsiTheme="minorEastAsia" w:eastAsiaTheme="minorEastAsia" w:cstheme="minorEastAsia"/>
          <w:sz w:val="24"/>
          <w:szCs w:val="24"/>
        </w:rPr>
        <w:fldChar w:fldCharType="end"/>
      </w:r>
    </w:p>
    <w:p w14:paraId="17255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供应商应当在响应文件提交截止时间前，使用供应商CA数字证书登录不见面开标大厅，在线签到并准时参加开标活动，并在规定时间内完成响应文件解密、答疑澄清等。</w:t>
      </w:r>
    </w:p>
    <w:p w14:paraId="1961BC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81C10F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不见面开标服务的具体事宜，请查阅信阳市公共资源交易中心网站首页—下载中心—信阳市不见面开标大厅系统操作手册。</w:t>
      </w:r>
    </w:p>
    <w:p w14:paraId="314A562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开标过程中，供应商如有异议，须在开标结束前通过系统提出，否则视同认可开标记录。开标结束后，对开标记录的任何异议不再接受。</w:t>
      </w:r>
    </w:p>
    <w:p w14:paraId="0BEDC11B">
      <w:pPr>
        <w:wordWrap w:val="0"/>
        <w:spacing w:line="360" w:lineRule="auto"/>
        <w:ind w:firstLine="482" w:firstLineChars="200"/>
        <w:rPr>
          <w:rFonts w:hint="eastAsia" w:asciiTheme="minorEastAsia" w:hAnsiTheme="minorEastAsia" w:eastAsiaTheme="minorEastAsia" w:cstheme="minorEastAsia"/>
          <w:b/>
          <w:sz w:val="24"/>
          <w:szCs w:val="24"/>
        </w:rPr>
      </w:pPr>
      <w:bookmarkStart w:id="486" w:name="_Toc6880"/>
      <w:r>
        <w:rPr>
          <w:rFonts w:hint="eastAsia" w:asciiTheme="minorEastAsia" w:hAnsiTheme="minorEastAsia" w:eastAsiaTheme="minorEastAsia" w:cstheme="minorEastAsia"/>
          <w:b/>
          <w:sz w:val="24"/>
          <w:szCs w:val="24"/>
        </w:rPr>
        <w:t>5.2 磋商程序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Start w:id="487" w:name="_Toc30403"/>
      <w:bookmarkStart w:id="488" w:name="_Toc14413"/>
    </w:p>
    <w:p w14:paraId="50642E4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磋商小组对竞争性磋商文件进行熟悉确认。</w:t>
      </w:r>
      <w:bookmarkEnd w:id="487"/>
      <w:bookmarkEnd w:id="488"/>
    </w:p>
    <w:p w14:paraId="5B2CBDDB">
      <w:pPr>
        <w:wordWrap w:val="0"/>
        <w:spacing w:line="360" w:lineRule="auto"/>
        <w:ind w:firstLine="480" w:firstLineChars="200"/>
        <w:rPr>
          <w:rFonts w:hint="eastAsia" w:asciiTheme="minorEastAsia" w:hAnsiTheme="minorEastAsia" w:eastAsiaTheme="minorEastAsia" w:cstheme="minorEastAsia"/>
          <w:sz w:val="24"/>
          <w:szCs w:val="24"/>
        </w:rPr>
      </w:pPr>
      <w:bookmarkStart w:id="489" w:name="_Toc152042338"/>
      <w:bookmarkStart w:id="490" w:name="_Toc152045562"/>
      <w:bookmarkStart w:id="491" w:name="_Toc144974530"/>
      <w:r>
        <w:rPr>
          <w:rFonts w:hint="eastAsia" w:asciiTheme="minorEastAsia" w:hAnsiTheme="minorEastAsia" w:eastAsiaTheme="minorEastAsia" w:cstheme="minorEastAsia"/>
          <w:sz w:val="24"/>
          <w:szCs w:val="24"/>
        </w:rPr>
        <w:t>5.2.2 磋商小组推选组长，讨论、通过磋商工作流程和磋商要点。</w:t>
      </w:r>
    </w:p>
    <w:p w14:paraId="2724AF5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资格评审审查：采购人依据竞争性磋商文件规定，对供应商进行审查，以确定磋商供应商是否具备参与磋商的资格。</w:t>
      </w:r>
    </w:p>
    <w:p w14:paraId="1D57880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符合性评审审查：磋商开始后，磋商小组依据竞争性磋商文件规定，对通过资格评审的供应商进行审查，以确定磋商供应商是否具备参与磋商的资格。</w:t>
      </w:r>
    </w:p>
    <w:p w14:paraId="5FD713EB">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 磋商小组对通过资格性和符合性审查的响应文件进行评估，确定与各竞标人磋商的具体内容。</w:t>
      </w:r>
    </w:p>
    <w:p w14:paraId="05CEEC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 磋商过程中，磋商小组可以根据磋商情况实质性变动招标需求中的技术、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以及合同草案条款，则供应商的最后报价不得高于首次报价，否则按无效报价处理。</w:t>
      </w:r>
    </w:p>
    <w:p w14:paraId="7A4E7E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 磋商小组对符合招标需求的供应商进行两轮报价；供应商只有通过资格评审及符合性评审后方可进入下一轮报价，在规定的时间内同时提交报价，最终报价不得超过响应文件中报价。</w:t>
      </w:r>
    </w:p>
    <w:p w14:paraId="322072A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 经磋商确定最终招标需求，由磋商小组采用综合评分法对通过初步评审的供应商的响应文件进行综合评分。</w:t>
      </w:r>
    </w:p>
    <w:p w14:paraId="7E4FA014">
      <w:pPr>
        <w:wordWrap w:val="0"/>
        <w:spacing w:line="360" w:lineRule="auto"/>
        <w:ind w:firstLine="482" w:firstLineChars="200"/>
        <w:rPr>
          <w:rFonts w:hint="eastAsia" w:asciiTheme="minorEastAsia" w:hAnsiTheme="minorEastAsia" w:eastAsiaTheme="minorEastAsia" w:cstheme="minorEastAsia"/>
          <w:b/>
          <w:sz w:val="24"/>
          <w:szCs w:val="24"/>
        </w:rPr>
      </w:pPr>
      <w:bookmarkStart w:id="492" w:name="_Toc455080138"/>
      <w:bookmarkStart w:id="493" w:name="_Toc14039"/>
      <w:bookmarkStart w:id="494" w:name="_Toc32276"/>
      <w:bookmarkStart w:id="495" w:name="_Toc16609"/>
      <w:r>
        <w:rPr>
          <w:rFonts w:hint="eastAsia" w:asciiTheme="minorEastAsia" w:hAnsiTheme="minorEastAsia" w:eastAsiaTheme="minorEastAsia" w:cstheme="minorEastAsia"/>
          <w:b/>
          <w:sz w:val="24"/>
          <w:szCs w:val="24"/>
        </w:rPr>
        <w:t xml:space="preserve">6. </w:t>
      </w:r>
      <w:bookmarkEnd w:id="489"/>
      <w:bookmarkEnd w:id="490"/>
      <w:bookmarkEnd w:id="491"/>
      <w:r>
        <w:rPr>
          <w:rFonts w:hint="eastAsia" w:asciiTheme="minorEastAsia" w:hAnsiTheme="minorEastAsia" w:eastAsiaTheme="minorEastAsia" w:cstheme="minorEastAsia"/>
          <w:b/>
          <w:sz w:val="24"/>
          <w:szCs w:val="24"/>
        </w:rPr>
        <w:t>磋商</w:t>
      </w:r>
      <w:bookmarkEnd w:id="492"/>
      <w:r>
        <w:rPr>
          <w:rFonts w:hint="eastAsia" w:asciiTheme="minorEastAsia" w:hAnsiTheme="minorEastAsia" w:eastAsiaTheme="minorEastAsia" w:cstheme="minorEastAsia"/>
          <w:b/>
          <w:sz w:val="24"/>
          <w:szCs w:val="24"/>
        </w:rPr>
        <w:t>小组</w:t>
      </w:r>
      <w:bookmarkEnd w:id="493"/>
      <w:bookmarkEnd w:id="494"/>
      <w:bookmarkEnd w:id="495"/>
    </w:p>
    <w:p w14:paraId="5112D715">
      <w:pPr>
        <w:wordWrap w:val="0"/>
        <w:spacing w:line="360" w:lineRule="auto"/>
        <w:ind w:firstLine="482" w:firstLineChars="200"/>
        <w:rPr>
          <w:rFonts w:hint="eastAsia" w:asciiTheme="minorEastAsia" w:hAnsiTheme="minorEastAsia" w:eastAsiaTheme="minorEastAsia" w:cstheme="minorEastAsia"/>
          <w:b/>
          <w:sz w:val="24"/>
          <w:szCs w:val="24"/>
        </w:rPr>
      </w:pPr>
      <w:bookmarkStart w:id="496" w:name="_Toc22250"/>
      <w:bookmarkStart w:id="497" w:name="_Toc152045563"/>
      <w:bookmarkStart w:id="498" w:name="_Toc26098"/>
      <w:bookmarkStart w:id="499" w:name="_Toc144974531"/>
      <w:bookmarkStart w:id="500" w:name="_Toc152042339"/>
      <w:bookmarkStart w:id="501" w:name="_Toc318450706"/>
      <w:bookmarkStart w:id="502" w:name="_Toc9808"/>
      <w:bookmarkStart w:id="503" w:name="_Toc455080139"/>
      <w:bookmarkStart w:id="504" w:name="_Toc18985"/>
      <w:bookmarkStart w:id="505" w:name="_Toc13978"/>
      <w:bookmarkStart w:id="506" w:name="_Toc466298122"/>
      <w:bookmarkStart w:id="507" w:name="_Toc12742"/>
      <w:bookmarkStart w:id="508" w:name="_Toc455867799"/>
      <w:bookmarkStart w:id="509" w:name="_Toc1546"/>
      <w:bookmarkStart w:id="510" w:name="_Toc490667859"/>
      <w:bookmarkStart w:id="511" w:name="_Toc1574"/>
      <w:bookmarkStart w:id="512" w:name="_Toc8157"/>
      <w:bookmarkStart w:id="513" w:name="_Toc8725"/>
      <w:bookmarkStart w:id="514" w:name="_Toc23138"/>
      <w:r>
        <w:rPr>
          <w:rFonts w:hint="eastAsia" w:asciiTheme="minorEastAsia" w:hAnsiTheme="minorEastAsia" w:eastAsiaTheme="minorEastAsia" w:cstheme="minorEastAsia"/>
          <w:b/>
          <w:sz w:val="24"/>
          <w:szCs w:val="24"/>
        </w:rPr>
        <w:t>6.1</w:t>
      </w:r>
      <w:bookmarkEnd w:id="496"/>
      <w:bookmarkEnd w:id="497"/>
      <w:bookmarkEnd w:id="498"/>
      <w:bookmarkEnd w:id="499"/>
      <w:bookmarkEnd w:id="500"/>
      <w:bookmarkEnd w:id="501"/>
      <w:bookmarkEnd w:id="502"/>
      <w:r>
        <w:rPr>
          <w:rFonts w:hint="eastAsia" w:asciiTheme="minorEastAsia" w:hAnsiTheme="minorEastAsia" w:eastAsiaTheme="minorEastAsia" w:cstheme="minorEastAsia"/>
          <w:b/>
          <w:sz w:val="24"/>
          <w:szCs w:val="24"/>
        </w:rPr>
        <w:t xml:space="preserve"> 磋商小组</w:t>
      </w:r>
      <w:bookmarkEnd w:id="503"/>
      <w:bookmarkEnd w:id="504"/>
      <w:bookmarkEnd w:id="505"/>
      <w:bookmarkEnd w:id="506"/>
      <w:bookmarkEnd w:id="507"/>
      <w:bookmarkEnd w:id="508"/>
      <w:bookmarkEnd w:id="509"/>
      <w:bookmarkEnd w:id="510"/>
      <w:bookmarkEnd w:id="511"/>
      <w:bookmarkEnd w:id="512"/>
      <w:bookmarkEnd w:id="513"/>
      <w:bookmarkEnd w:id="514"/>
    </w:p>
    <w:p w14:paraId="5382964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磋商由采购人依法组建的磋商小组负责。磋商小组由采购人代表以及有关技术、经济等方面的专家组成。磋商小组成员人数以及技术、经济等方面专家的确定方式见供应商须知前附表。</w:t>
      </w:r>
      <w:bookmarkStart w:id="515" w:name="_Toc152045564"/>
      <w:bookmarkStart w:id="516" w:name="_Toc144974532"/>
      <w:bookmarkStart w:id="517" w:name="_Toc21102"/>
      <w:bookmarkStart w:id="518" w:name="_Toc318450707"/>
      <w:bookmarkStart w:id="519" w:name="_Toc7286"/>
      <w:bookmarkStart w:id="520" w:name="_Toc22143"/>
      <w:bookmarkStart w:id="521" w:name="_Toc152042340"/>
      <w:bookmarkStart w:id="522" w:name="_Toc490667860"/>
      <w:bookmarkStart w:id="523" w:name="_Toc455080140"/>
      <w:bookmarkStart w:id="524" w:name="_Toc25721"/>
      <w:bookmarkStart w:id="525" w:name="_Toc8240"/>
      <w:bookmarkStart w:id="526" w:name="_Toc466298123"/>
      <w:bookmarkStart w:id="527" w:name="_Toc13368"/>
      <w:bookmarkStart w:id="528" w:name="_Toc455867800"/>
      <w:bookmarkStart w:id="529" w:name="_Toc27035"/>
      <w:bookmarkStart w:id="530" w:name="_Toc4435"/>
      <w:bookmarkStart w:id="531" w:name="_Toc9532"/>
      <w:bookmarkStart w:id="532" w:name="_Toc10765"/>
      <w:bookmarkStart w:id="533" w:name="_Toc8248"/>
    </w:p>
    <w:p w14:paraId="79887F97">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 磋商原则</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3A02C8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磋商活动遵循公平、公正、科学和择优的原则。</w:t>
      </w:r>
      <w:bookmarkStart w:id="534" w:name="_Toc8705"/>
      <w:bookmarkStart w:id="535" w:name="_Toc152045565"/>
      <w:bookmarkStart w:id="536" w:name="_Toc318450708"/>
      <w:bookmarkStart w:id="537" w:name="_Toc16725"/>
      <w:bookmarkStart w:id="538" w:name="_Toc152042341"/>
      <w:bookmarkStart w:id="539" w:name="_Toc15595"/>
      <w:bookmarkStart w:id="540" w:name="_Toc144974533"/>
      <w:bookmarkStart w:id="541" w:name="_Toc24526"/>
      <w:bookmarkStart w:id="542" w:name="_Toc24358"/>
      <w:bookmarkStart w:id="543" w:name="_Toc3606"/>
      <w:bookmarkStart w:id="544" w:name="_Toc7890"/>
      <w:bookmarkStart w:id="545" w:name="_Toc455080141"/>
      <w:bookmarkStart w:id="546" w:name="_Toc18756"/>
      <w:bookmarkStart w:id="547" w:name="_Toc27036"/>
      <w:bookmarkStart w:id="548" w:name="_Toc28734"/>
      <w:bookmarkStart w:id="549" w:name="_Toc466298124"/>
      <w:bookmarkStart w:id="550" w:name="_Toc20062"/>
      <w:bookmarkStart w:id="551" w:name="_Toc455867801"/>
      <w:bookmarkStart w:id="552" w:name="_Toc490667861"/>
    </w:p>
    <w:p w14:paraId="4CEEE99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6.3 </w:t>
      </w:r>
      <w:bookmarkEnd w:id="534"/>
      <w:bookmarkEnd w:id="535"/>
      <w:bookmarkEnd w:id="536"/>
      <w:bookmarkEnd w:id="537"/>
      <w:bookmarkEnd w:id="538"/>
      <w:bookmarkEnd w:id="539"/>
      <w:bookmarkEnd w:id="540"/>
      <w:r>
        <w:rPr>
          <w:rFonts w:hint="eastAsia" w:asciiTheme="minorEastAsia" w:hAnsiTheme="minorEastAsia" w:eastAsiaTheme="minorEastAsia" w:cstheme="minorEastAsia"/>
          <w:b/>
          <w:sz w:val="24"/>
          <w:szCs w:val="24"/>
        </w:rPr>
        <w:t>磋商</w:t>
      </w:r>
      <w:bookmarkEnd w:id="541"/>
      <w:bookmarkEnd w:id="542"/>
      <w:bookmarkEnd w:id="543"/>
      <w:bookmarkEnd w:id="544"/>
      <w:bookmarkEnd w:id="545"/>
      <w:bookmarkEnd w:id="546"/>
      <w:bookmarkEnd w:id="547"/>
      <w:bookmarkEnd w:id="548"/>
      <w:bookmarkEnd w:id="549"/>
      <w:bookmarkEnd w:id="550"/>
      <w:bookmarkEnd w:id="551"/>
      <w:bookmarkEnd w:id="552"/>
    </w:p>
    <w:p w14:paraId="1849DCE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磋商小组按照第三章“评审办法”规定的方法、评审因素、标准和程序对响应文件进行评审。第三章“评审办法”没有规定的方法、评审因素和标准，不作为评标依据。</w:t>
      </w:r>
      <w:bookmarkStart w:id="553" w:name="_Toc152042342"/>
      <w:bookmarkStart w:id="554" w:name="_Toc6334"/>
      <w:bookmarkStart w:id="555" w:name="_Toc144974534"/>
      <w:bookmarkStart w:id="556" w:name="_Toc5971"/>
      <w:bookmarkStart w:id="557" w:name="_Toc455080142"/>
      <w:bookmarkStart w:id="558" w:name="_Toc9522"/>
      <w:bookmarkStart w:id="559" w:name="_Toc152045566"/>
    </w:p>
    <w:p w14:paraId="4FF7491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 合同授予</w:t>
      </w:r>
      <w:bookmarkEnd w:id="553"/>
      <w:bookmarkEnd w:id="554"/>
      <w:bookmarkEnd w:id="555"/>
      <w:bookmarkEnd w:id="556"/>
      <w:bookmarkEnd w:id="557"/>
      <w:bookmarkEnd w:id="558"/>
      <w:bookmarkEnd w:id="559"/>
    </w:p>
    <w:p w14:paraId="3402C8EE">
      <w:pPr>
        <w:wordWrap w:val="0"/>
        <w:spacing w:line="360" w:lineRule="auto"/>
        <w:ind w:firstLine="482" w:firstLineChars="200"/>
        <w:rPr>
          <w:rFonts w:hint="eastAsia" w:asciiTheme="minorEastAsia" w:hAnsiTheme="minorEastAsia" w:eastAsiaTheme="minorEastAsia" w:cstheme="minorEastAsia"/>
          <w:b/>
          <w:sz w:val="24"/>
          <w:szCs w:val="24"/>
        </w:rPr>
      </w:pPr>
      <w:bookmarkStart w:id="560" w:name="_Toc318450710"/>
      <w:bookmarkStart w:id="561" w:name="_Toc455867803"/>
      <w:bookmarkStart w:id="562" w:name="_Toc144974535"/>
      <w:bookmarkStart w:id="563" w:name="_Toc25316"/>
      <w:bookmarkStart w:id="564" w:name="_Toc29664"/>
      <w:bookmarkStart w:id="565" w:name="_Toc20777"/>
      <w:bookmarkStart w:id="566" w:name="_Toc28919"/>
      <w:bookmarkStart w:id="567" w:name="_Toc152045567"/>
      <w:bookmarkStart w:id="568" w:name="_Toc466298126"/>
      <w:bookmarkStart w:id="569" w:name="_Toc14528"/>
      <w:bookmarkStart w:id="570" w:name="_Toc22461"/>
      <w:bookmarkStart w:id="571" w:name="_Toc29686"/>
      <w:bookmarkStart w:id="572" w:name="_Toc32135"/>
      <w:bookmarkStart w:id="573" w:name="_Toc490667863"/>
      <w:bookmarkStart w:id="574" w:name="_Toc455080143"/>
      <w:bookmarkStart w:id="575" w:name="_Toc7358"/>
      <w:bookmarkStart w:id="576" w:name="_Toc17660"/>
      <w:bookmarkStart w:id="577" w:name="_Toc11409"/>
      <w:bookmarkStart w:id="578" w:name="_Toc152042343"/>
      <w:r>
        <w:rPr>
          <w:rFonts w:hint="eastAsia" w:asciiTheme="minorEastAsia" w:hAnsiTheme="minorEastAsia" w:eastAsiaTheme="minorEastAsia" w:cstheme="minorEastAsia"/>
          <w:b/>
          <w:sz w:val="24"/>
          <w:szCs w:val="24"/>
        </w:rPr>
        <w:t>7.1 定标方式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D334A23">
      <w:pPr>
        <w:wordWrap w:val="0"/>
        <w:spacing w:line="360" w:lineRule="auto"/>
        <w:ind w:firstLine="480" w:firstLineChars="200"/>
        <w:rPr>
          <w:rFonts w:hint="eastAsia" w:asciiTheme="minorEastAsia" w:hAnsiTheme="minorEastAsia" w:eastAsiaTheme="minorEastAsia" w:cstheme="minorEastAsia"/>
          <w:sz w:val="24"/>
          <w:szCs w:val="24"/>
        </w:rPr>
      </w:pPr>
      <w:bookmarkStart w:id="579" w:name="_Toc152042344"/>
      <w:bookmarkStart w:id="580" w:name="_Toc10868"/>
      <w:bookmarkStart w:id="581" w:name="_Toc318450711"/>
      <w:bookmarkStart w:id="582" w:name="_Toc152045568"/>
      <w:bookmarkStart w:id="583" w:name="_Toc144974536"/>
      <w:bookmarkStart w:id="584" w:name="_Toc28254"/>
      <w:bookmarkStart w:id="585" w:name="_Toc7066"/>
      <w:r>
        <w:rPr>
          <w:rFonts w:hint="eastAsia" w:asciiTheme="minorEastAsia" w:hAnsiTheme="minorEastAsia" w:eastAsiaTheme="minorEastAsia" w:cstheme="minorEastAsia"/>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92F7A57">
      <w:pPr>
        <w:wordWrap w:val="0"/>
        <w:spacing w:line="360" w:lineRule="auto"/>
        <w:ind w:firstLine="482" w:firstLineChars="200"/>
        <w:rPr>
          <w:rFonts w:hint="eastAsia" w:asciiTheme="minorEastAsia" w:hAnsiTheme="minorEastAsia" w:eastAsiaTheme="minorEastAsia" w:cstheme="minorEastAsia"/>
          <w:b/>
          <w:sz w:val="24"/>
          <w:szCs w:val="24"/>
        </w:rPr>
      </w:pPr>
      <w:bookmarkStart w:id="586" w:name="_Toc28177"/>
      <w:bookmarkStart w:id="587" w:name="_Toc5668"/>
      <w:bookmarkStart w:id="588" w:name="_Toc455080144"/>
      <w:bookmarkStart w:id="589" w:name="_Toc490667864"/>
      <w:bookmarkStart w:id="590" w:name="_Toc5428"/>
      <w:bookmarkStart w:id="591" w:name="_Toc9897"/>
      <w:bookmarkStart w:id="592" w:name="_Toc15825"/>
      <w:bookmarkStart w:id="593" w:name="_Toc9775"/>
      <w:bookmarkStart w:id="594" w:name="_Toc16163"/>
      <w:bookmarkStart w:id="595" w:name="_Toc455867804"/>
      <w:bookmarkStart w:id="596" w:name="_Toc1484"/>
      <w:bookmarkStart w:id="597" w:name="_Toc466298127"/>
      <w:r>
        <w:rPr>
          <w:rFonts w:hint="eastAsia" w:asciiTheme="minorEastAsia" w:hAnsiTheme="minorEastAsia" w:eastAsiaTheme="minorEastAsia" w:cstheme="minorEastAsia"/>
          <w:b/>
          <w:sz w:val="24"/>
          <w:szCs w:val="24"/>
        </w:rPr>
        <w:t>7.2 成交通知</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ED4EE9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在本章第3.3.1款规定的磋商有效期内，采购人以书面形式向成交人发出成交通知书，同时将成交结果通知未成交的供应商。</w:t>
      </w:r>
    </w:p>
    <w:p w14:paraId="24F82B62">
      <w:pPr>
        <w:wordWrap w:val="0"/>
        <w:spacing w:line="360" w:lineRule="auto"/>
        <w:ind w:firstLine="482" w:firstLineChars="200"/>
        <w:rPr>
          <w:rFonts w:hint="eastAsia" w:asciiTheme="minorEastAsia" w:hAnsiTheme="minorEastAsia" w:eastAsiaTheme="minorEastAsia" w:cstheme="minorEastAsia"/>
          <w:b/>
          <w:sz w:val="24"/>
          <w:szCs w:val="24"/>
        </w:rPr>
      </w:pPr>
      <w:bookmarkStart w:id="598" w:name="_Toc22732"/>
      <w:r>
        <w:rPr>
          <w:rFonts w:hint="eastAsia" w:asciiTheme="minorEastAsia" w:hAnsiTheme="minorEastAsia" w:eastAsiaTheme="minorEastAsia" w:cstheme="minorEastAsia"/>
          <w:b/>
          <w:sz w:val="24"/>
          <w:szCs w:val="24"/>
        </w:rPr>
        <w:t>7.3 履约保证金</w:t>
      </w:r>
      <w:bookmarkEnd w:id="598"/>
    </w:p>
    <w:p w14:paraId="0CEBC6B1">
      <w:pPr>
        <w:wordWrap w:val="0"/>
        <w:spacing w:line="360" w:lineRule="auto"/>
        <w:ind w:firstLine="480" w:firstLineChars="200"/>
        <w:rPr>
          <w:rFonts w:hint="eastAsia" w:asciiTheme="minorEastAsia" w:hAnsiTheme="minorEastAsia" w:eastAsiaTheme="minorEastAsia" w:cstheme="minorEastAsia"/>
          <w:sz w:val="24"/>
          <w:szCs w:val="24"/>
        </w:rPr>
      </w:pPr>
      <w:bookmarkStart w:id="599" w:name="_Toc21617"/>
      <w:bookmarkStart w:id="600" w:name="_Toc26915"/>
      <w:bookmarkStart w:id="601" w:name="_Toc10082"/>
      <w:bookmarkStart w:id="602" w:name="_Toc318450712"/>
      <w:bookmarkStart w:id="603" w:name="_Toc21271"/>
      <w:bookmarkStart w:id="604" w:name="_Toc490667865"/>
      <w:bookmarkStart w:id="605" w:name="_Toc152045570"/>
      <w:bookmarkStart w:id="606" w:name="_Toc26760"/>
      <w:bookmarkStart w:id="607" w:name="_Toc144974538"/>
      <w:bookmarkStart w:id="608" w:name="_Toc12663"/>
      <w:bookmarkStart w:id="609" w:name="_Toc8886"/>
      <w:bookmarkStart w:id="610" w:name="_Toc466298128"/>
      <w:bookmarkStart w:id="611" w:name="_Toc26655"/>
      <w:bookmarkStart w:id="612" w:name="_Toc13147"/>
      <w:bookmarkStart w:id="613" w:name="_Toc24026"/>
      <w:bookmarkStart w:id="614" w:name="_Toc455867805"/>
      <w:bookmarkStart w:id="615" w:name="_Toc152042346"/>
      <w:bookmarkStart w:id="616" w:name="_Toc15458"/>
      <w:bookmarkStart w:id="617" w:name="_Toc455080145"/>
      <w:r>
        <w:rPr>
          <w:rFonts w:hint="eastAsia" w:asciiTheme="minorEastAsia" w:hAnsiTheme="minorEastAsia" w:eastAsiaTheme="minorEastAsia" w:cstheme="minorEastAsia"/>
          <w:sz w:val="24"/>
          <w:szCs w:val="24"/>
        </w:rPr>
        <w:t>免收履约保证金</w:t>
      </w:r>
      <w:bookmarkEnd w:id="599"/>
    </w:p>
    <w:p w14:paraId="2ED46351">
      <w:pPr>
        <w:wordWrap w:val="0"/>
        <w:spacing w:line="360" w:lineRule="auto"/>
        <w:ind w:firstLine="482" w:firstLineChars="200"/>
        <w:rPr>
          <w:rFonts w:hint="eastAsia" w:asciiTheme="minorEastAsia" w:hAnsiTheme="minorEastAsia" w:eastAsiaTheme="minorEastAsia" w:cstheme="minorEastAsia"/>
          <w:b/>
          <w:sz w:val="24"/>
          <w:szCs w:val="24"/>
        </w:rPr>
      </w:pPr>
      <w:bookmarkStart w:id="618" w:name="_Toc25032"/>
      <w:r>
        <w:rPr>
          <w:rFonts w:hint="eastAsia" w:asciiTheme="minorEastAsia" w:hAnsiTheme="minorEastAsia" w:eastAsiaTheme="minorEastAsia" w:cstheme="minorEastAsia"/>
          <w:b/>
          <w:sz w:val="24"/>
          <w:szCs w:val="24"/>
        </w:rPr>
        <w:t>7.4 签订合同</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284018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7925871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发出成交通知书后，采购人无正当理由拒签合同的，采购人向成交人退还磋商保证金；给成交人造成损失的，还应当赔偿损失。</w:t>
      </w:r>
      <w:bookmarkStart w:id="619" w:name="_Toc152045574"/>
      <w:bookmarkStart w:id="620" w:name="_Toc152042350"/>
      <w:bookmarkStart w:id="621" w:name="_Toc144974542"/>
    </w:p>
    <w:p w14:paraId="665FFF5E">
      <w:pPr>
        <w:wordWrap w:val="0"/>
        <w:spacing w:line="360" w:lineRule="auto"/>
        <w:ind w:firstLine="482" w:firstLineChars="200"/>
        <w:rPr>
          <w:rFonts w:hint="eastAsia" w:asciiTheme="minorEastAsia" w:hAnsiTheme="minorEastAsia" w:eastAsiaTheme="minorEastAsia" w:cstheme="minorEastAsia"/>
          <w:b/>
          <w:sz w:val="24"/>
          <w:szCs w:val="24"/>
        </w:rPr>
      </w:pPr>
      <w:bookmarkStart w:id="622" w:name="_Toc20121"/>
      <w:bookmarkStart w:id="623" w:name="_Toc455080146"/>
      <w:bookmarkStart w:id="624" w:name="_Toc16866"/>
      <w:bookmarkStart w:id="625" w:name="_Toc24956"/>
      <w:r>
        <w:rPr>
          <w:rFonts w:hint="eastAsia" w:asciiTheme="minorEastAsia" w:hAnsiTheme="minorEastAsia" w:eastAsiaTheme="minorEastAsia" w:cstheme="minorEastAsia"/>
          <w:b/>
          <w:sz w:val="24"/>
          <w:szCs w:val="24"/>
        </w:rPr>
        <w:t>8. 重新招标</w:t>
      </w:r>
      <w:bookmarkEnd w:id="622"/>
      <w:bookmarkEnd w:id="623"/>
      <w:bookmarkEnd w:id="624"/>
      <w:bookmarkEnd w:id="625"/>
    </w:p>
    <w:p w14:paraId="70B789BF">
      <w:pPr>
        <w:wordWrap w:val="0"/>
        <w:spacing w:line="360" w:lineRule="auto"/>
        <w:ind w:firstLine="482" w:firstLineChars="200"/>
        <w:rPr>
          <w:rFonts w:hint="eastAsia" w:asciiTheme="minorEastAsia" w:hAnsiTheme="minorEastAsia" w:eastAsiaTheme="minorEastAsia" w:cstheme="minorEastAsia"/>
          <w:b/>
          <w:sz w:val="24"/>
          <w:szCs w:val="24"/>
        </w:rPr>
      </w:pPr>
      <w:bookmarkStart w:id="626" w:name="_Toc21278"/>
      <w:bookmarkStart w:id="627" w:name="_Toc16556"/>
      <w:r>
        <w:rPr>
          <w:rFonts w:hint="eastAsia" w:asciiTheme="minorEastAsia" w:hAnsiTheme="minorEastAsia" w:eastAsiaTheme="minorEastAsia" w:cstheme="minorEastAsia"/>
          <w:b/>
          <w:sz w:val="24"/>
          <w:szCs w:val="24"/>
        </w:rPr>
        <w:t>8.1 重新招标</w:t>
      </w:r>
      <w:bookmarkEnd w:id="626"/>
      <w:bookmarkEnd w:id="627"/>
    </w:p>
    <w:p w14:paraId="7BCFCF54">
      <w:pPr>
        <w:wordWrap w:val="0"/>
        <w:spacing w:line="360" w:lineRule="auto"/>
        <w:ind w:firstLine="480" w:firstLineChars="200"/>
        <w:rPr>
          <w:rFonts w:hint="eastAsia" w:asciiTheme="minorEastAsia" w:hAnsiTheme="minorEastAsia" w:eastAsiaTheme="minorEastAsia" w:cstheme="minorEastAsia"/>
          <w:sz w:val="24"/>
          <w:szCs w:val="24"/>
        </w:rPr>
      </w:pPr>
      <w:bookmarkStart w:id="628" w:name="_Toc9985"/>
      <w:r>
        <w:rPr>
          <w:rFonts w:hint="eastAsia" w:asciiTheme="minorEastAsia" w:hAnsiTheme="minorEastAsia" w:eastAsiaTheme="minorEastAsia" w:cstheme="minorEastAsia"/>
          <w:sz w:val="24"/>
          <w:szCs w:val="24"/>
        </w:rPr>
        <w:t>有下列情形之一的，采购人将重新招标：</w:t>
      </w:r>
      <w:bookmarkEnd w:id="628"/>
    </w:p>
    <w:p w14:paraId="59ED9CCA">
      <w:pPr>
        <w:wordWrap w:val="0"/>
        <w:spacing w:line="360" w:lineRule="auto"/>
        <w:ind w:firstLine="480" w:firstLineChars="200"/>
        <w:rPr>
          <w:rFonts w:hint="eastAsia" w:asciiTheme="minorEastAsia" w:hAnsiTheme="minorEastAsia" w:eastAsiaTheme="minorEastAsia" w:cstheme="minorEastAsia"/>
          <w:sz w:val="24"/>
          <w:szCs w:val="24"/>
        </w:rPr>
      </w:pPr>
      <w:bookmarkStart w:id="629" w:name="_Toc25063"/>
      <w:r>
        <w:rPr>
          <w:rFonts w:hint="eastAsia" w:asciiTheme="minorEastAsia" w:hAnsiTheme="minorEastAsia" w:eastAsiaTheme="minorEastAsia" w:cstheme="minorEastAsia"/>
          <w:sz w:val="24"/>
          <w:szCs w:val="24"/>
        </w:rPr>
        <w:t>（1）提交响应文件截止时间止，供应商少于3个的；</w:t>
      </w:r>
      <w:bookmarkEnd w:id="629"/>
    </w:p>
    <w:p w14:paraId="475A0ECD">
      <w:pPr>
        <w:wordWrap w:val="0"/>
        <w:spacing w:line="360" w:lineRule="auto"/>
        <w:ind w:firstLine="480" w:firstLineChars="200"/>
        <w:rPr>
          <w:rFonts w:hint="eastAsia" w:asciiTheme="minorEastAsia" w:hAnsiTheme="minorEastAsia" w:eastAsiaTheme="minorEastAsia" w:cstheme="minorEastAsia"/>
          <w:sz w:val="24"/>
          <w:szCs w:val="24"/>
        </w:rPr>
      </w:pPr>
      <w:bookmarkStart w:id="630" w:name="_Toc17911"/>
      <w:r>
        <w:rPr>
          <w:rFonts w:hint="eastAsia" w:asciiTheme="minorEastAsia" w:hAnsiTheme="minorEastAsia" w:eastAsiaTheme="minorEastAsia" w:cstheme="minorEastAsia"/>
          <w:sz w:val="24"/>
          <w:szCs w:val="24"/>
        </w:rPr>
        <w:t>（2）经磋商小组评审后否决所有响应文件的。</w:t>
      </w:r>
      <w:bookmarkEnd w:id="630"/>
    </w:p>
    <w:p w14:paraId="7FD6277A">
      <w:pPr>
        <w:wordWrap w:val="0"/>
        <w:spacing w:line="360" w:lineRule="auto"/>
        <w:ind w:firstLine="482" w:firstLineChars="200"/>
        <w:rPr>
          <w:rFonts w:hint="eastAsia" w:asciiTheme="minorEastAsia" w:hAnsiTheme="minorEastAsia" w:eastAsiaTheme="minorEastAsia" w:cstheme="minorEastAsia"/>
          <w:b/>
          <w:sz w:val="24"/>
          <w:szCs w:val="24"/>
        </w:rPr>
      </w:pPr>
      <w:bookmarkStart w:id="631" w:name="_Toc8213"/>
      <w:bookmarkStart w:id="632" w:name="_Toc9996"/>
      <w:bookmarkStart w:id="633" w:name="_Toc27506"/>
      <w:bookmarkStart w:id="634" w:name="_Toc455080147"/>
      <w:r>
        <w:rPr>
          <w:rFonts w:hint="eastAsia" w:asciiTheme="minorEastAsia" w:hAnsiTheme="minorEastAsia" w:eastAsiaTheme="minorEastAsia" w:cstheme="minorEastAsia"/>
          <w:b/>
          <w:sz w:val="24"/>
          <w:szCs w:val="24"/>
        </w:rPr>
        <w:t>9. 纪律和监督</w:t>
      </w:r>
      <w:bookmarkEnd w:id="619"/>
      <w:bookmarkEnd w:id="620"/>
      <w:bookmarkEnd w:id="621"/>
      <w:bookmarkEnd w:id="631"/>
      <w:bookmarkEnd w:id="632"/>
      <w:bookmarkEnd w:id="633"/>
      <w:bookmarkEnd w:id="634"/>
    </w:p>
    <w:p w14:paraId="79EA37C0">
      <w:pPr>
        <w:wordWrap w:val="0"/>
        <w:spacing w:line="360" w:lineRule="auto"/>
        <w:ind w:firstLine="482" w:firstLineChars="200"/>
        <w:rPr>
          <w:rFonts w:hint="eastAsia" w:asciiTheme="minorEastAsia" w:hAnsiTheme="minorEastAsia" w:eastAsiaTheme="minorEastAsia" w:cstheme="minorEastAsia"/>
          <w:b/>
          <w:sz w:val="24"/>
          <w:szCs w:val="24"/>
        </w:rPr>
      </w:pPr>
      <w:bookmarkStart w:id="635" w:name="_Toc19159"/>
      <w:bookmarkStart w:id="636" w:name="_Toc152042351"/>
      <w:bookmarkStart w:id="637" w:name="_Toc697"/>
      <w:bookmarkStart w:id="638" w:name="_Toc269"/>
      <w:bookmarkStart w:id="639" w:name="_Toc27836"/>
      <w:bookmarkStart w:id="640" w:name="_Toc318450714"/>
      <w:bookmarkStart w:id="641" w:name="_Toc1282"/>
      <w:bookmarkStart w:id="642" w:name="_Toc152045575"/>
      <w:bookmarkStart w:id="643" w:name="_Toc12992"/>
      <w:bookmarkStart w:id="644" w:name="_Toc15592"/>
      <w:bookmarkStart w:id="645" w:name="_Toc455080148"/>
      <w:bookmarkStart w:id="646" w:name="_Toc466298131"/>
      <w:bookmarkStart w:id="647" w:name="_Toc144974543"/>
      <w:bookmarkStart w:id="648" w:name="_Toc15769"/>
      <w:bookmarkStart w:id="649" w:name="_Toc13970"/>
      <w:bookmarkStart w:id="650" w:name="_Toc455867808"/>
      <w:bookmarkStart w:id="651" w:name="_Toc490667868"/>
      <w:bookmarkStart w:id="652" w:name="_Toc14155"/>
      <w:bookmarkStart w:id="653" w:name="_Toc20009"/>
      <w:r>
        <w:rPr>
          <w:rFonts w:hint="eastAsia" w:asciiTheme="minorEastAsia" w:hAnsiTheme="minorEastAsia" w:eastAsiaTheme="minorEastAsia" w:cstheme="minorEastAsia"/>
          <w:b/>
          <w:sz w:val="24"/>
          <w:szCs w:val="24"/>
        </w:rPr>
        <w:t>9.1 对采购人的纪律要求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B8B80E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采购人不得泄露磋商活动中应当保密的情况和资料，不得与供应商串通损害国家利益、社会公共利益或者他人合法权益。</w:t>
      </w:r>
    </w:p>
    <w:p w14:paraId="08CE98AC">
      <w:pPr>
        <w:wordWrap w:val="0"/>
        <w:spacing w:line="360" w:lineRule="auto"/>
        <w:ind w:firstLine="482" w:firstLineChars="200"/>
        <w:rPr>
          <w:rFonts w:hint="eastAsia" w:asciiTheme="minorEastAsia" w:hAnsiTheme="minorEastAsia" w:eastAsiaTheme="minorEastAsia" w:cstheme="minorEastAsia"/>
          <w:b/>
          <w:sz w:val="24"/>
          <w:szCs w:val="24"/>
        </w:rPr>
      </w:pPr>
      <w:bookmarkStart w:id="654" w:name="_Toc20261"/>
      <w:bookmarkStart w:id="655" w:name="_Toc3662"/>
      <w:bookmarkStart w:id="656" w:name="_Toc455080149"/>
      <w:bookmarkStart w:id="657" w:name="_Toc17040"/>
      <w:bookmarkStart w:id="658" w:name="_Toc21646"/>
      <w:bookmarkStart w:id="659" w:name="_Toc19167"/>
      <w:bookmarkStart w:id="660" w:name="_Toc152042352"/>
      <w:bookmarkStart w:id="661" w:name="_Toc455867809"/>
      <w:bookmarkStart w:id="662" w:name="_Toc3089"/>
      <w:bookmarkStart w:id="663" w:name="_Toc152045576"/>
      <w:bookmarkStart w:id="664" w:name="_Toc7572"/>
      <w:bookmarkStart w:id="665" w:name="_Toc18604"/>
      <w:bookmarkStart w:id="666" w:name="_Toc490667869"/>
      <w:bookmarkStart w:id="667" w:name="_Toc318450715"/>
      <w:bookmarkStart w:id="668" w:name="_Toc27698"/>
      <w:bookmarkStart w:id="669" w:name="_Toc1743"/>
      <w:bookmarkStart w:id="670" w:name="_Toc144974544"/>
      <w:bookmarkStart w:id="671" w:name="_Toc466298132"/>
      <w:bookmarkStart w:id="672" w:name="_Toc18204"/>
      <w:r>
        <w:rPr>
          <w:rFonts w:hint="eastAsia" w:asciiTheme="minorEastAsia" w:hAnsiTheme="minorEastAsia" w:eastAsiaTheme="minorEastAsia" w:cstheme="minorEastAsia"/>
          <w:b/>
          <w:sz w:val="24"/>
          <w:szCs w:val="24"/>
        </w:rPr>
        <w:t>9.2 对供应商的纪律要求</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20C567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供应商不得相互串通或者与采购人串通，不得向采购人或者谈判小组行贿谋取成交，不得以他人名义或者以其他方式弄虚作假骗取成交；供应商不得以任何方式干扰、影响评审工作。</w:t>
      </w:r>
    </w:p>
    <w:p w14:paraId="7416CA92">
      <w:pPr>
        <w:wordWrap w:val="0"/>
        <w:spacing w:line="360" w:lineRule="auto"/>
        <w:ind w:firstLine="482" w:firstLineChars="200"/>
        <w:rPr>
          <w:rFonts w:hint="eastAsia" w:asciiTheme="minorEastAsia" w:hAnsiTheme="minorEastAsia" w:eastAsiaTheme="minorEastAsia" w:cstheme="minorEastAsia"/>
          <w:b/>
          <w:sz w:val="24"/>
          <w:szCs w:val="24"/>
        </w:rPr>
      </w:pPr>
      <w:bookmarkStart w:id="673" w:name="_Toc32320"/>
      <w:bookmarkStart w:id="674" w:name="_Toc455080150"/>
      <w:bookmarkStart w:id="675" w:name="_Toc455867810"/>
      <w:bookmarkStart w:id="676" w:name="_Toc19965"/>
      <w:bookmarkStart w:id="677" w:name="_Toc7107"/>
      <w:bookmarkStart w:id="678" w:name="_Toc466298133"/>
      <w:bookmarkStart w:id="679" w:name="_Toc25211"/>
      <w:bookmarkStart w:id="680" w:name="_Toc30153"/>
      <w:bookmarkStart w:id="681" w:name="_Toc28813"/>
      <w:bookmarkStart w:id="682" w:name="_Toc152045577"/>
      <w:bookmarkStart w:id="683" w:name="_Toc12177"/>
      <w:bookmarkStart w:id="684" w:name="_Toc7439"/>
      <w:bookmarkStart w:id="685" w:name="_Toc144974545"/>
      <w:bookmarkStart w:id="686" w:name="_Toc490667870"/>
      <w:bookmarkStart w:id="687" w:name="_Toc11909"/>
      <w:bookmarkStart w:id="688" w:name="_Toc25241"/>
      <w:bookmarkStart w:id="689" w:name="_Toc318450716"/>
      <w:bookmarkStart w:id="690" w:name="_Toc152042353"/>
      <w:bookmarkStart w:id="691" w:name="_Toc31001"/>
      <w:r>
        <w:rPr>
          <w:rFonts w:hint="eastAsia" w:asciiTheme="minorEastAsia" w:hAnsiTheme="minorEastAsia" w:eastAsiaTheme="minorEastAsia" w:cstheme="minorEastAsia"/>
          <w:b/>
          <w:sz w:val="24"/>
          <w:szCs w:val="24"/>
        </w:rPr>
        <w:t>9.3 对磋商小组成员的纪律要求</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36353D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B4238DB">
      <w:pPr>
        <w:wordWrap w:val="0"/>
        <w:spacing w:line="360" w:lineRule="auto"/>
        <w:ind w:firstLine="482" w:firstLineChars="200"/>
        <w:rPr>
          <w:rFonts w:hint="eastAsia" w:asciiTheme="minorEastAsia" w:hAnsiTheme="minorEastAsia" w:eastAsiaTheme="minorEastAsia" w:cstheme="minorEastAsia"/>
          <w:b/>
          <w:sz w:val="24"/>
          <w:szCs w:val="24"/>
        </w:rPr>
      </w:pPr>
      <w:bookmarkStart w:id="692" w:name="_Toc152042354"/>
      <w:bookmarkStart w:id="693" w:name="_Toc9063"/>
      <w:bookmarkStart w:id="694" w:name="_Toc7368"/>
      <w:bookmarkStart w:id="695" w:name="_Toc318450717"/>
      <w:bookmarkStart w:id="696" w:name="_Toc26462"/>
      <w:bookmarkStart w:id="697" w:name="_Toc455867811"/>
      <w:bookmarkStart w:id="698" w:name="_Toc23717"/>
      <w:bookmarkStart w:id="699" w:name="_Toc1295"/>
      <w:bookmarkStart w:id="700" w:name="_Toc20546"/>
      <w:bookmarkStart w:id="701" w:name="_Toc490667871"/>
      <w:bookmarkStart w:id="702" w:name="_Toc466298134"/>
      <w:bookmarkStart w:id="703" w:name="_Toc27559"/>
      <w:bookmarkStart w:id="704" w:name="_Toc19485"/>
      <w:bookmarkStart w:id="705" w:name="_Toc24"/>
      <w:bookmarkStart w:id="706" w:name="_Toc235"/>
      <w:bookmarkStart w:id="707" w:name="_Toc455080151"/>
      <w:bookmarkStart w:id="708" w:name="_Toc11405"/>
      <w:bookmarkStart w:id="709" w:name="_Toc152045578"/>
      <w:bookmarkStart w:id="710" w:name="_Toc144974546"/>
      <w:r>
        <w:rPr>
          <w:rFonts w:hint="eastAsia" w:asciiTheme="minorEastAsia" w:hAnsiTheme="minorEastAsia" w:eastAsiaTheme="minorEastAsia" w:cstheme="minorEastAsia"/>
          <w:b/>
          <w:sz w:val="24"/>
          <w:szCs w:val="24"/>
        </w:rPr>
        <w:t>9.4 对与评标活动有关的工作人员的纪律要求</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41BBDAA">
      <w:pPr>
        <w:wordWrap w:val="0"/>
        <w:spacing w:line="360" w:lineRule="auto"/>
        <w:ind w:firstLine="480" w:firstLineChars="200"/>
        <w:rPr>
          <w:rFonts w:hint="eastAsia" w:asciiTheme="minorEastAsia" w:hAnsiTheme="minorEastAsia" w:eastAsiaTheme="minorEastAsia" w:cstheme="minorEastAsia"/>
          <w:sz w:val="24"/>
          <w:szCs w:val="24"/>
        </w:rPr>
      </w:pPr>
      <w:bookmarkStart w:id="711" w:name="_Toc152042355"/>
      <w:r>
        <w:rPr>
          <w:rFonts w:hint="eastAsia" w:asciiTheme="minorEastAsia" w:hAnsiTheme="minorEastAsia" w:eastAsiaTheme="minorEastAsia" w:cstheme="minorEastAsia"/>
          <w:sz w:val="24"/>
          <w:szCs w:val="24"/>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11"/>
    </w:p>
    <w:p w14:paraId="219BDD2D">
      <w:pPr>
        <w:wordWrap w:val="0"/>
        <w:spacing w:line="360" w:lineRule="auto"/>
        <w:ind w:firstLine="482" w:firstLineChars="200"/>
        <w:rPr>
          <w:rFonts w:hint="eastAsia" w:asciiTheme="minorEastAsia" w:hAnsiTheme="minorEastAsia" w:eastAsiaTheme="minorEastAsia" w:cstheme="minorEastAsia"/>
          <w:b/>
          <w:sz w:val="24"/>
          <w:szCs w:val="24"/>
        </w:rPr>
      </w:pPr>
      <w:bookmarkStart w:id="712" w:name="_Toc318450718"/>
      <w:bookmarkStart w:id="713" w:name="_Toc1820"/>
      <w:bookmarkStart w:id="714" w:name="_Toc455867812"/>
      <w:bookmarkStart w:id="715" w:name="_Toc31010"/>
      <w:bookmarkStart w:id="716" w:name="_Toc152042356"/>
      <w:bookmarkStart w:id="717" w:name="_Toc25751"/>
      <w:bookmarkStart w:id="718" w:name="_Toc32675"/>
      <w:bookmarkStart w:id="719" w:name="_Toc6199"/>
      <w:bookmarkStart w:id="720" w:name="_Toc455080152"/>
      <w:bookmarkStart w:id="721" w:name="_Toc152045579"/>
      <w:bookmarkStart w:id="722" w:name="_Toc3617"/>
      <w:bookmarkStart w:id="723" w:name="_Toc27420"/>
      <w:bookmarkStart w:id="724" w:name="_Toc5504"/>
      <w:bookmarkStart w:id="725" w:name="_Toc466298135"/>
      <w:bookmarkStart w:id="726" w:name="_Toc490667872"/>
      <w:bookmarkStart w:id="727" w:name="_Toc3303"/>
      <w:bookmarkStart w:id="728" w:name="_Toc17735"/>
      <w:bookmarkStart w:id="729" w:name="_Toc8074"/>
      <w:r>
        <w:rPr>
          <w:rFonts w:hint="eastAsia" w:asciiTheme="minorEastAsia" w:hAnsiTheme="minorEastAsia" w:eastAsiaTheme="minorEastAsia" w:cstheme="minorEastAsia"/>
          <w:b/>
          <w:sz w:val="24"/>
          <w:szCs w:val="24"/>
        </w:rPr>
        <w:t>9.5 投诉</w:t>
      </w:r>
      <w:bookmarkEnd w:id="710"/>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7EE1FF2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供应商和其他利害关系人认为本次磋商活动违反法律、法规和规章规定的，有权向有关行政监督部门投诉。</w:t>
      </w:r>
    </w:p>
    <w:p w14:paraId="211BC261">
      <w:pPr>
        <w:wordWrap w:val="0"/>
        <w:spacing w:line="360" w:lineRule="auto"/>
        <w:ind w:firstLine="482" w:firstLineChars="200"/>
        <w:rPr>
          <w:rFonts w:hint="eastAsia"/>
        </w:rPr>
      </w:pPr>
      <w:bookmarkStart w:id="730" w:name="_Toc14221"/>
      <w:bookmarkStart w:id="731" w:name="_Toc18280"/>
      <w:bookmarkStart w:id="732" w:name="_Toc455080153"/>
      <w:bookmarkStart w:id="733" w:name="_Toc24942"/>
      <w:bookmarkStart w:id="734" w:name="_Toc144974547"/>
      <w:bookmarkStart w:id="735" w:name="_Toc152042357"/>
      <w:bookmarkStart w:id="736" w:name="_Toc152045580"/>
      <w:r>
        <w:rPr>
          <w:rFonts w:hint="eastAsia" w:asciiTheme="minorEastAsia" w:hAnsiTheme="minorEastAsia" w:eastAsiaTheme="minorEastAsia" w:cstheme="minorEastAsia"/>
          <w:b/>
          <w:sz w:val="24"/>
          <w:szCs w:val="24"/>
        </w:rPr>
        <w:t>10. 需要补充的其他内容</w:t>
      </w:r>
      <w:bookmarkEnd w:id="730"/>
      <w:bookmarkEnd w:id="731"/>
      <w:bookmarkEnd w:id="732"/>
      <w:bookmarkEnd w:id="733"/>
      <w:bookmarkEnd w:id="734"/>
      <w:bookmarkEnd w:id="735"/>
      <w:bookmarkEnd w:id="736"/>
      <w:bookmarkStart w:id="737" w:name="_Toc22213"/>
      <w:bookmarkStart w:id="738" w:name="_Toc16648"/>
    </w:p>
    <w:p w14:paraId="23270F32">
      <w:pPr>
        <w:wordWrap w:val="0"/>
        <w:spacing w:line="360" w:lineRule="auto"/>
        <w:ind w:firstLine="480" w:firstLineChars="200"/>
        <w:rPr>
          <w:rFonts w:hint="eastAsia" w:asciiTheme="minorEastAsia" w:hAnsiTheme="minorEastAsia" w:eastAsiaTheme="minorEastAsia" w:cstheme="minorEastAsia"/>
          <w:sz w:val="24"/>
          <w:szCs w:val="24"/>
        </w:rPr>
      </w:pPr>
      <w:bookmarkStart w:id="739" w:name="_Toc29331"/>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采购人不承诺最低价中标，而且采购人没有义务解释说明未中标原因。</w:t>
      </w:r>
      <w:bookmarkEnd w:id="739"/>
    </w:p>
    <w:p w14:paraId="2E54CD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其他未尽事宜，按国家有关法律、法规执行。</w:t>
      </w:r>
    </w:p>
    <w:p w14:paraId="23F6582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本</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文件解释权归</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固始县</w:t>
      </w:r>
      <w:r>
        <w:rPr>
          <w:rFonts w:hint="eastAsia" w:asciiTheme="minorEastAsia" w:hAnsiTheme="minorEastAsia" w:eastAsiaTheme="minorEastAsia" w:cstheme="minorEastAsia"/>
          <w:sz w:val="24"/>
          <w:szCs w:val="24"/>
          <w:lang w:val="en-US" w:eastAsia="zh-CN"/>
        </w:rPr>
        <w:t>公安</w:t>
      </w:r>
      <w:r>
        <w:rPr>
          <w:rFonts w:hint="eastAsia" w:asciiTheme="minorEastAsia" w:hAnsiTheme="minorEastAsia" w:eastAsiaTheme="minorEastAsia" w:cstheme="minorEastAsia"/>
          <w:sz w:val="24"/>
          <w:szCs w:val="24"/>
        </w:rPr>
        <w:t>局。</w:t>
      </w:r>
    </w:p>
    <w:p w14:paraId="109E61D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 监督单位：固始县财政局政府采购监督科。</w:t>
      </w:r>
    </w:p>
    <w:p w14:paraId="728BBC96">
      <w:pPr>
        <w:rPr>
          <w:rFonts w:hint="eastAsia" w:ascii="宋体" w:hAnsi="宋体" w:cs="宋体"/>
          <w:b/>
          <w:bCs/>
          <w:kern w:val="44"/>
          <w:sz w:val="44"/>
          <w:szCs w:val="44"/>
        </w:rPr>
      </w:pPr>
    </w:p>
    <w:p w14:paraId="1130A682">
      <w:pPr>
        <w:rPr>
          <w:rFonts w:hint="eastAsia" w:ascii="宋体" w:hAnsi="宋体" w:cs="宋体"/>
          <w:b/>
          <w:bCs/>
          <w:kern w:val="44"/>
          <w:sz w:val="44"/>
          <w:szCs w:val="44"/>
        </w:rPr>
      </w:pPr>
    </w:p>
    <w:p w14:paraId="4D041AE2">
      <w:pPr>
        <w:rPr>
          <w:rFonts w:hint="eastAsia" w:ascii="宋体" w:hAnsi="宋体" w:cs="宋体"/>
          <w:b/>
          <w:bCs/>
          <w:kern w:val="44"/>
          <w:sz w:val="44"/>
          <w:szCs w:val="44"/>
        </w:rPr>
      </w:pPr>
    </w:p>
    <w:p w14:paraId="649F7CE4">
      <w:pPr>
        <w:rPr>
          <w:rFonts w:hint="eastAsia" w:ascii="宋体" w:hAnsi="宋体" w:cs="宋体"/>
          <w:b/>
          <w:bCs/>
          <w:kern w:val="44"/>
          <w:sz w:val="44"/>
          <w:szCs w:val="44"/>
        </w:rPr>
      </w:pPr>
    </w:p>
    <w:p w14:paraId="49C8E203">
      <w:pPr>
        <w:rPr>
          <w:rFonts w:hint="eastAsia" w:ascii="宋体" w:hAnsi="宋体" w:cs="宋体"/>
          <w:b/>
          <w:bCs/>
          <w:kern w:val="44"/>
          <w:sz w:val="44"/>
          <w:szCs w:val="44"/>
        </w:rPr>
      </w:pPr>
    </w:p>
    <w:p w14:paraId="03925EB8">
      <w:pPr>
        <w:rPr>
          <w:rFonts w:hint="eastAsia" w:ascii="宋体" w:hAnsi="宋体" w:cs="宋体"/>
          <w:b/>
          <w:bCs/>
          <w:kern w:val="44"/>
          <w:sz w:val="44"/>
          <w:szCs w:val="44"/>
        </w:rPr>
      </w:pPr>
    </w:p>
    <w:p w14:paraId="29A2EAE3">
      <w:pPr>
        <w:rPr>
          <w:rFonts w:hint="eastAsia" w:ascii="宋体" w:hAnsi="宋体" w:cs="宋体"/>
          <w:b/>
          <w:bCs/>
          <w:kern w:val="44"/>
          <w:sz w:val="44"/>
          <w:szCs w:val="44"/>
        </w:rPr>
      </w:pPr>
    </w:p>
    <w:p w14:paraId="75399B3A">
      <w:pPr>
        <w:rPr>
          <w:rFonts w:hint="eastAsia" w:ascii="宋体" w:hAnsi="宋体" w:cs="宋体"/>
          <w:b/>
          <w:bCs/>
          <w:kern w:val="44"/>
          <w:sz w:val="44"/>
          <w:szCs w:val="44"/>
        </w:rPr>
      </w:pPr>
    </w:p>
    <w:p w14:paraId="0DFF23D2">
      <w:pPr>
        <w:rPr>
          <w:rFonts w:hint="eastAsia" w:ascii="宋体" w:hAnsi="宋体" w:cs="宋体"/>
          <w:b/>
          <w:bCs/>
          <w:kern w:val="44"/>
          <w:sz w:val="44"/>
          <w:szCs w:val="44"/>
        </w:rPr>
      </w:pPr>
    </w:p>
    <w:p w14:paraId="23CDD529">
      <w:pPr>
        <w:rPr>
          <w:rFonts w:hint="eastAsia" w:ascii="宋体" w:hAnsi="宋体" w:cs="宋体"/>
          <w:b/>
          <w:bCs/>
          <w:kern w:val="44"/>
          <w:sz w:val="44"/>
          <w:szCs w:val="44"/>
        </w:rPr>
      </w:pPr>
    </w:p>
    <w:p w14:paraId="22FF6A1E">
      <w:pPr>
        <w:rPr>
          <w:rFonts w:hint="eastAsia" w:ascii="宋体" w:hAnsi="宋体" w:cs="宋体"/>
          <w:b/>
          <w:bCs/>
          <w:kern w:val="44"/>
          <w:sz w:val="44"/>
          <w:szCs w:val="44"/>
        </w:rPr>
      </w:pPr>
    </w:p>
    <w:p w14:paraId="5001B7C6">
      <w:pPr>
        <w:rPr>
          <w:rFonts w:hint="eastAsia" w:ascii="宋体" w:hAnsi="宋体" w:cs="宋体"/>
          <w:b/>
          <w:bCs/>
          <w:kern w:val="44"/>
          <w:sz w:val="44"/>
          <w:szCs w:val="44"/>
        </w:rPr>
      </w:pPr>
    </w:p>
    <w:p w14:paraId="263E9F4C">
      <w:pPr>
        <w:rPr>
          <w:rFonts w:hint="eastAsia" w:ascii="宋体" w:hAnsi="宋体" w:cs="宋体"/>
          <w:b/>
          <w:bCs/>
          <w:kern w:val="44"/>
          <w:sz w:val="44"/>
          <w:szCs w:val="44"/>
        </w:rPr>
      </w:pPr>
    </w:p>
    <w:p w14:paraId="2DB58091">
      <w:pPr>
        <w:rPr>
          <w:rFonts w:hint="eastAsia" w:ascii="宋体" w:hAnsi="宋体" w:cs="宋体"/>
          <w:b/>
          <w:bCs/>
          <w:kern w:val="44"/>
          <w:sz w:val="44"/>
          <w:szCs w:val="44"/>
        </w:rPr>
      </w:pPr>
    </w:p>
    <w:p w14:paraId="19D54E75">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r>
        <w:rPr>
          <w:rFonts w:hint="eastAsia" w:ascii="宋体" w:hAnsi="宋体" w:cs="宋体"/>
          <w:b/>
          <w:bCs/>
          <w:kern w:val="44"/>
          <w:sz w:val="44"/>
          <w:szCs w:val="44"/>
        </w:rPr>
        <w:t>第三章 评标办法</w:t>
      </w:r>
      <w:bookmarkEnd w:id="16"/>
      <w:bookmarkEnd w:id="17"/>
      <w:r>
        <w:rPr>
          <w:rFonts w:hint="eastAsia" w:ascii="宋体" w:hAnsi="宋体" w:cs="宋体"/>
          <w:b/>
          <w:bCs/>
          <w:kern w:val="44"/>
          <w:sz w:val="44"/>
          <w:szCs w:val="44"/>
        </w:rPr>
        <w:t>（综合评分法）</w:t>
      </w:r>
      <w:bookmarkEnd w:id="737"/>
      <w:bookmarkEnd w:id="738"/>
      <w:bookmarkStart w:id="740" w:name="_Toc455080156"/>
      <w:bookmarkStart w:id="741" w:name="_Toc466298139"/>
      <w:bookmarkStart w:id="742" w:name="_Toc27806"/>
      <w:bookmarkStart w:id="743" w:name="_Toc281405527"/>
      <w:bookmarkStart w:id="744" w:name="_Toc455867816"/>
      <w:bookmarkStart w:id="745" w:name="_Toc922"/>
      <w:bookmarkStart w:id="746" w:name="_Toc152045599"/>
      <w:bookmarkStart w:id="747" w:name="_Toc482"/>
      <w:bookmarkStart w:id="748" w:name="_Toc152042376"/>
      <w:bookmarkStart w:id="749" w:name="_Toc144974566"/>
      <w:bookmarkStart w:id="750" w:name="_Toc318450721"/>
      <w:bookmarkStart w:id="751" w:name="_Toc28069"/>
    </w:p>
    <w:p w14:paraId="4F4F4E31">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bookmarkStart w:id="752" w:name="_Toc27153"/>
    </w:p>
    <w:p w14:paraId="2EF248A1">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一、初步评审</w:t>
      </w:r>
      <w:bookmarkEnd w:id="752"/>
    </w:p>
    <w:p w14:paraId="05440AC3">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初步评审分为资格性检查和符合性检查。</w:t>
      </w:r>
    </w:p>
    <w:p w14:paraId="746290E6">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bookmarkStart w:id="753" w:name="_Toc16543"/>
      <w:r>
        <w:rPr>
          <w:rFonts w:hint="eastAsia" w:ascii="宋体" w:hAnsi="宋体" w:eastAsia="宋体" w:cs="宋体"/>
          <w:sz w:val="22"/>
          <w:szCs w:val="24"/>
          <w:lang w:val="en-US" w:eastAsia="zh-CN"/>
        </w:rPr>
        <w:t>1.资格性检查</w:t>
      </w:r>
      <w:bookmarkEnd w:id="753"/>
    </w:p>
    <w:p w14:paraId="2C491574">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p>
    <w:p w14:paraId="27953331">
      <w:pPr>
        <w:keepNext w:val="0"/>
        <w:keepLines w:val="0"/>
        <w:pageBreakBefore w:val="0"/>
        <w:kinsoku/>
        <w:wordWrap w:val="0"/>
        <w:overflowPunct/>
        <w:topLinePunct/>
        <w:autoSpaceDE w:val="0"/>
        <w:autoSpaceDN w:val="0"/>
        <w:bidi w:val="0"/>
        <w:spacing w:line="109" w:lineRule="exact"/>
        <w:rPr>
          <w:rFonts w:hint="eastAsia" w:ascii="宋体" w:hAnsi="宋体" w:eastAsia="宋体" w:cs="宋体"/>
          <w:color w:val="auto"/>
          <w:highlight w:val="none"/>
        </w:rPr>
      </w:pPr>
    </w:p>
    <w:tbl>
      <w:tblPr>
        <w:tblStyle w:val="23"/>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2"/>
        <w:gridCol w:w="886"/>
        <w:gridCol w:w="2930"/>
        <w:gridCol w:w="4171"/>
      </w:tblGrid>
      <w:tr w14:paraId="6F9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578" w:type="dxa"/>
            <w:gridSpan w:val="2"/>
            <w:tcBorders>
              <w:tl2br w:val="nil"/>
              <w:tr2bl w:val="nil"/>
            </w:tcBorders>
            <w:noWrap w:val="0"/>
            <w:vAlign w:val="center"/>
          </w:tcPr>
          <w:p w14:paraId="5ECF59A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930" w:type="dxa"/>
            <w:tcBorders>
              <w:tl2br w:val="nil"/>
              <w:tr2bl w:val="nil"/>
            </w:tcBorders>
            <w:noWrap w:val="0"/>
            <w:vAlign w:val="center"/>
          </w:tcPr>
          <w:p w14:paraId="6B94519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171" w:type="dxa"/>
            <w:tcBorders>
              <w:tl2br w:val="nil"/>
              <w:tr2bl w:val="nil"/>
            </w:tcBorders>
            <w:noWrap w:val="0"/>
            <w:vAlign w:val="center"/>
          </w:tcPr>
          <w:p w14:paraId="05A31B0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1B06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692" w:type="dxa"/>
            <w:vMerge w:val="restart"/>
            <w:tcBorders>
              <w:tl2br w:val="nil"/>
              <w:tr2bl w:val="nil"/>
            </w:tcBorders>
            <w:noWrap w:val="0"/>
            <w:vAlign w:val="center"/>
          </w:tcPr>
          <w:p w14:paraId="044D55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2E502E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11A7F80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886" w:type="dxa"/>
            <w:vMerge w:val="restart"/>
            <w:tcBorders>
              <w:tl2br w:val="nil"/>
              <w:tr2bl w:val="nil"/>
            </w:tcBorders>
            <w:noWrap w:val="0"/>
            <w:vAlign w:val="center"/>
          </w:tcPr>
          <w:p w14:paraId="11FE9AFE">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74D55A5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02FD122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930" w:type="dxa"/>
            <w:tcBorders>
              <w:tl2br w:val="nil"/>
              <w:tr2bl w:val="nil"/>
            </w:tcBorders>
            <w:noWrap w:val="0"/>
            <w:vAlign w:val="center"/>
          </w:tcPr>
          <w:p w14:paraId="148DDBD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4171" w:type="dxa"/>
            <w:tcBorders>
              <w:tl2br w:val="nil"/>
              <w:tr2bl w:val="nil"/>
            </w:tcBorders>
            <w:noWrap w:val="0"/>
            <w:vAlign w:val="center"/>
          </w:tcPr>
          <w:p w14:paraId="62A8743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提供有效的营业执照（三证合一）</w:t>
            </w:r>
          </w:p>
        </w:tc>
      </w:tr>
      <w:tr w14:paraId="11F9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692" w:type="dxa"/>
            <w:vMerge w:val="continue"/>
            <w:tcBorders>
              <w:tl2br w:val="nil"/>
              <w:tr2bl w:val="nil"/>
            </w:tcBorders>
            <w:noWrap w:val="0"/>
            <w:vAlign w:val="center"/>
          </w:tcPr>
          <w:p w14:paraId="246412A9">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86" w:type="dxa"/>
            <w:vMerge w:val="continue"/>
            <w:tcBorders>
              <w:tl2br w:val="nil"/>
              <w:tr2bl w:val="nil"/>
            </w:tcBorders>
            <w:noWrap w:val="0"/>
            <w:vAlign w:val="center"/>
          </w:tcPr>
          <w:p w14:paraId="19DDCCC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30" w:type="dxa"/>
            <w:tcBorders>
              <w:tl2br w:val="nil"/>
              <w:tr2bl w:val="nil"/>
            </w:tcBorders>
            <w:noWrap w:val="0"/>
            <w:vAlign w:val="center"/>
          </w:tcPr>
          <w:p w14:paraId="32F9E01D">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4171" w:type="dxa"/>
            <w:tcBorders>
              <w:tl2br w:val="nil"/>
              <w:tr2bl w:val="nil"/>
            </w:tcBorders>
            <w:noWrap w:val="0"/>
            <w:vAlign w:val="center"/>
          </w:tcPr>
          <w:p w14:paraId="6B8E2D5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提供2024年度或2025年度经审计的财务审计报告或提供基本户的开户行开具的银行资信证明</w:t>
            </w:r>
          </w:p>
        </w:tc>
      </w:tr>
      <w:tr w14:paraId="5142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92" w:type="dxa"/>
            <w:vMerge w:val="continue"/>
            <w:tcBorders>
              <w:tl2br w:val="nil"/>
              <w:tr2bl w:val="nil"/>
            </w:tcBorders>
            <w:noWrap w:val="0"/>
            <w:vAlign w:val="center"/>
          </w:tcPr>
          <w:p w14:paraId="1B7DB94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86" w:type="dxa"/>
            <w:vMerge w:val="continue"/>
            <w:tcBorders>
              <w:tl2br w:val="nil"/>
              <w:tr2bl w:val="nil"/>
            </w:tcBorders>
            <w:noWrap w:val="0"/>
            <w:vAlign w:val="center"/>
          </w:tcPr>
          <w:p w14:paraId="7248130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30" w:type="dxa"/>
            <w:tcBorders>
              <w:tl2br w:val="nil"/>
              <w:tr2bl w:val="nil"/>
            </w:tcBorders>
            <w:noWrap w:val="0"/>
            <w:vAlign w:val="center"/>
          </w:tcPr>
          <w:p w14:paraId="58D3D69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tc>
        <w:tc>
          <w:tcPr>
            <w:tcW w:w="4171" w:type="dxa"/>
            <w:tcBorders>
              <w:tl2br w:val="nil"/>
              <w:tr2bl w:val="nil"/>
            </w:tcBorders>
            <w:noWrap w:val="0"/>
            <w:vAlign w:val="center"/>
          </w:tcPr>
          <w:p w14:paraId="017D8D6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0B0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jc w:val="center"/>
        </w:trPr>
        <w:tc>
          <w:tcPr>
            <w:tcW w:w="692" w:type="dxa"/>
            <w:vMerge w:val="continue"/>
            <w:tcBorders>
              <w:tl2br w:val="nil"/>
              <w:tr2bl w:val="nil"/>
            </w:tcBorders>
            <w:noWrap w:val="0"/>
            <w:vAlign w:val="center"/>
          </w:tcPr>
          <w:p w14:paraId="59EA1995">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86" w:type="dxa"/>
            <w:vMerge w:val="continue"/>
            <w:tcBorders>
              <w:tl2br w:val="nil"/>
              <w:tr2bl w:val="nil"/>
            </w:tcBorders>
            <w:noWrap w:val="0"/>
            <w:vAlign w:val="center"/>
          </w:tcPr>
          <w:p w14:paraId="14DA819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30" w:type="dxa"/>
            <w:tcBorders>
              <w:tl2br w:val="nil"/>
              <w:tr2bl w:val="nil"/>
            </w:tcBorders>
            <w:noWrap w:val="0"/>
            <w:vAlign w:val="center"/>
          </w:tcPr>
          <w:p w14:paraId="0FCB848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4171" w:type="dxa"/>
            <w:tcBorders>
              <w:tl2br w:val="nil"/>
              <w:tr2bl w:val="nil"/>
            </w:tcBorders>
            <w:noWrap w:val="0"/>
            <w:vAlign w:val="center"/>
          </w:tcPr>
          <w:p w14:paraId="4AC62357">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000000"/>
                <w:kern w:val="0"/>
                <w:sz w:val="21"/>
                <w:szCs w:val="21"/>
                <w:highlight w:val="none"/>
                <w:lang w:val="en-US" w:eastAsia="zh-CN" w:bidi="ar-SA"/>
              </w:rPr>
              <w:t>提供2025年01月以来任意3个月依法缴纳税收和社会保险的证明，成立不足三个月的提供自成立日以来的依法缴纳税收和社会保险的证明，依法免税和免缴纳社会保障金的须提供依法免缴纳证明</w:t>
            </w:r>
          </w:p>
        </w:tc>
      </w:tr>
      <w:tr w14:paraId="0A72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692" w:type="dxa"/>
            <w:vMerge w:val="continue"/>
            <w:tcBorders>
              <w:tl2br w:val="nil"/>
              <w:tr2bl w:val="nil"/>
            </w:tcBorders>
            <w:noWrap w:val="0"/>
            <w:vAlign w:val="center"/>
          </w:tcPr>
          <w:p w14:paraId="22833E6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86" w:type="dxa"/>
            <w:vMerge w:val="continue"/>
            <w:tcBorders>
              <w:tl2br w:val="nil"/>
              <w:tr2bl w:val="nil"/>
            </w:tcBorders>
            <w:noWrap w:val="0"/>
            <w:vAlign w:val="center"/>
          </w:tcPr>
          <w:p w14:paraId="2680643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30" w:type="dxa"/>
            <w:tcBorders>
              <w:tl2br w:val="nil"/>
              <w:tr2bl w:val="nil"/>
            </w:tcBorders>
            <w:noWrap w:val="0"/>
            <w:vAlign w:val="center"/>
          </w:tcPr>
          <w:p w14:paraId="417E07A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tc>
        <w:tc>
          <w:tcPr>
            <w:tcW w:w="4171" w:type="dxa"/>
            <w:tcBorders>
              <w:tl2br w:val="nil"/>
              <w:tr2bl w:val="nil"/>
            </w:tcBorders>
            <w:noWrap w:val="0"/>
            <w:vAlign w:val="center"/>
          </w:tcPr>
          <w:p w14:paraId="7077E83D">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19F0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692" w:type="dxa"/>
            <w:vMerge w:val="continue"/>
            <w:tcBorders>
              <w:tl2br w:val="nil"/>
              <w:tr2bl w:val="nil"/>
            </w:tcBorders>
            <w:noWrap w:val="0"/>
            <w:vAlign w:val="center"/>
          </w:tcPr>
          <w:p w14:paraId="1BC27CB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86" w:type="dxa"/>
            <w:vMerge w:val="continue"/>
            <w:tcBorders>
              <w:tl2br w:val="nil"/>
              <w:tr2bl w:val="nil"/>
            </w:tcBorders>
            <w:noWrap w:val="0"/>
            <w:vAlign w:val="center"/>
          </w:tcPr>
          <w:p w14:paraId="2B960E65">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30" w:type="dxa"/>
            <w:tcBorders>
              <w:tl2br w:val="nil"/>
              <w:tr2bl w:val="nil"/>
            </w:tcBorders>
            <w:noWrap w:val="0"/>
            <w:vAlign w:val="center"/>
          </w:tcPr>
          <w:p w14:paraId="49D73983">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法律、行政法规规定的其他条件</w:t>
            </w:r>
          </w:p>
        </w:tc>
        <w:tc>
          <w:tcPr>
            <w:tcW w:w="4171" w:type="dxa"/>
            <w:tcBorders>
              <w:tl2br w:val="nil"/>
              <w:tr2bl w:val="nil"/>
            </w:tcBorders>
            <w:noWrap w:val="0"/>
            <w:vAlign w:val="center"/>
          </w:tcPr>
          <w:p w14:paraId="742392D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060E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5" w:hRule="atLeast"/>
          <w:jc w:val="center"/>
        </w:trPr>
        <w:tc>
          <w:tcPr>
            <w:tcW w:w="692" w:type="dxa"/>
            <w:vMerge w:val="continue"/>
            <w:tcBorders>
              <w:tl2br w:val="nil"/>
              <w:tr2bl w:val="nil"/>
            </w:tcBorders>
            <w:noWrap w:val="0"/>
            <w:vAlign w:val="center"/>
          </w:tcPr>
          <w:p w14:paraId="6DE062F5">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86" w:type="dxa"/>
            <w:vMerge w:val="continue"/>
            <w:tcBorders>
              <w:tl2br w:val="nil"/>
              <w:tr2bl w:val="nil"/>
            </w:tcBorders>
            <w:noWrap w:val="0"/>
            <w:vAlign w:val="center"/>
          </w:tcPr>
          <w:p w14:paraId="0A8CAA7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30" w:type="dxa"/>
            <w:tcBorders>
              <w:tl2br w:val="nil"/>
              <w:tr2bl w:val="nil"/>
            </w:tcBorders>
            <w:noWrap w:val="0"/>
            <w:vAlign w:val="center"/>
          </w:tcPr>
          <w:p w14:paraId="2110D3F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信用记录</w:t>
            </w:r>
          </w:p>
        </w:tc>
        <w:tc>
          <w:tcPr>
            <w:tcW w:w="4171" w:type="dxa"/>
            <w:tcBorders>
              <w:tl2br w:val="nil"/>
              <w:tr2bl w:val="nil"/>
            </w:tcBorders>
            <w:noWrap w:val="0"/>
            <w:vAlign w:val="center"/>
          </w:tcPr>
          <w:p w14:paraId="40DEE5E3">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1116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3" w:hRule="atLeast"/>
          <w:jc w:val="center"/>
        </w:trPr>
        <w:tc>
          <w:tcPr>
            <w:tcW w:w="692" w:type="dxa"/>
            <w:vMerge w:val="continue"/>
            <w:tcBorders>
              <w:tl2br w:val="nil"/>
              <w:tr2bl w:val="nil"/>
            </w:tcBorders>
            <w:noWrap w:val="0"/>
            <w:vAlign w:val="center"/>
          </w:tcPr>
          <w:p w14:paraId="0425B83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86" w:type="dxa"/>
            <w:vMerge w:val="continue"/>
            <w:tcBorders>
              <w:tl2br w:val="nil"/>
              <w:tr2bl w:val="nil"/>
            </w:tcBorders>
            <w:noWrap w:val="0"/>
            <w:vAlign w:val="center"/>
          </w:tcPr>
          <w:p w14:paraId="6C301E3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930" w:type="dxa"/>
            <w:tcBorders>
              <w:tl2br w:val="nil"/>
              <w:tr2bl w:val="nil"/>
            </w:tcBorders>
            <w:noWrap w:val="0"/>
            <w:vAlign w:val="center"/>
          </w:tcPr>
          <w:p w14:paraId="26936E4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单位负责人为同一人或者存在直接控股、管理关系的不同供应商，不得参加同一合同项下的政府采购活动</w:t>
            </w:r>
          </w:p>
        </w:tc>
        <w:tc>
          <w:tcPr>
            <w:tcW w:w="4171" w:type="dxa"/>
            <w:tcBorders>
              <w:tl2br w:val="nil"/>
              <w:tr2bl w:val="nil"/>
            </w:tcBorders>
            <w:noWrap w:val="0"/>
            <w:vAlign w:val="center"/>
          </w:tcPr>
          <w:p w14:paraId="1F9F588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提供企业承诺书，</w:t>
            </w:r>
            <w:r>
              <w:rPr>
                <w:rFonts w:hint="eastAsia" w:ascii="宋体" w:hAnsi="宋体" w:eastAsia="宋体" w:cs="宋体"/>
                <w:color w:val="auto"/>
                <w:highlight w:val="none"/>
                <w:lang w:val="en-US" w:eastAsia="zh-CN"/>
              </w:rPr>
              <w:t>格式自拟</w:t>
            </w:r>
          </w:p>
        </w:tc>
      </w:tr>
    </w:tbl>
    <w:p w14:paraId="31F1968A">
      <w:pPr>
        <w:pageBreakBefore w:val="0"/>
        <w:kinsoku/>
        <w:wordWrap w:val="0"/>
        <w:overflowPunct/>
        <w:bidi w:val="0"/>
        <w:spacing w:line="360" w:lineRule="auto"/>
        <w:ind w:firstLine="420" w:firstLineChars="200"/>
        <w:rPr>
          <w:rFonts w:hint="eastAsia" w:ascii="宋体" w:hAnsi="宋体" w:eastAsia="宋体" w:cs="宋体"/>
          <w:lang w:val="en-US" w:eastAsia="zh-CN"/>
        </w:rPr>
      </w:pPr>
    </w:p>
    <w:p w14:paraId="14AE85A8">
      <w:pPr>
        <w:pageBreakBefore w:val="0"/>
        <w:kinsoku/>
        <w:wordWrap w:val="0"/>
        <w:overflowPunct/>
        <w:bidi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注： 本项目为资格后审，由采购人代表或代理机构人员进行资格性审查。</w:t>
      </w:r>
    </w:p>
    <w:p w14:paraId="540D8AC1">
      <w:pPr>
        <w:pageBreakBefore w:val="0"/>
        <w:kinsoku/>
        <w:wordWrap w:val="0"/>
        <w:overflowPunct/>
        <w:bidi w:val="0"/>
        <w:rPr>
          <w:rFonts w:hint="eastAsia" w:ascii="宋体" w:hAnsi="宋体" w:eastAsia="宋体" w:cs="宋体"/>
          <w:b/>
          <w:bCs/>
          <w:color w:val="auto"/>
          <w:highlight w:val="none"/>
        </w:rPr>
      </w:pPr>
    </w:p>
    <w:p w14:paraId="595164C2">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rPr>
      </w:pPr>
    </w:p>
    <w:p w14:paraId="3C243F0A">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p>
    <w:p w14:paraId="6561E7FB">
      <w:pPr>
        <w:keepNext w:val="0"/>
        <w:keepLines w:val="0"/>
        <w:pageBreakBefore w:val="0"/>
        <w:kinsoku/>
        <w:wordWrap w:val="0"/>
        <w:overflowPunct/>
        <w:topLinePunct/>
        <w:autoSpaceDE w:val="0"/>
        <w:autoSpaceDN w:val="0"/>
        <w:bidi w:val="0"/>
        <w:spacing w:line="95" w:lineRule="exact"/>
        <w:rPr>
          <w:rFonts w:hint="eastAsia" w:ascii="宋体" w:hAnsi="宋体" w:eastAsia="宋体" w:cs="宋体"/>
          <w:color w:val="auto"/>
          <w:highlight w:val="none"/>
        </w:rPr>
      </w:pPr>
    </w:p>
    <w:tbl>
      <w:tblPr>
        <w:tblStyle w:val="46"/>
        <w:tblW w:w="8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9"/>
        <w:gridCol w:w="1185"/>
        <w:gridCol w:w="2349"/>
        <w:gridCol w:w="3885"/>
      </w:tblGrid>
      <w:tr w14:paraId="5835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219" w:type="dxa"/>
            <w:tcBorders>
              <w:top w:val="single" w:color="000000" w:sz="2" w:space="0"/>
              <w:bottom w:val="single" w:color="000000" w:sz="2" w:space="0"/>
            </w:tcBorders>
            <w:vAlign w:val="center"/>
          </w:tcPr>
          <w:p w14:paraId="251ECA27">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85" w:type="dxa"/>
            <w:tcBorders>
              <w:top w:val="single" w:color="000000" w:sz="2" w:space="0"/>
              <w:bottom w:val="single" w:color="000000" w:sz="2" w:space="0"/>
            </w:tcBorders>
            <w:vAlign w:val="center"/>
          </w:tcPr>
          <w:p w14:paraId="49789F53">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234" w:type="dxa"/>
            <w:gridSpan w:val="2"/>
            <w:tcBorders>
              <w:top w:val="single" w:color="000000" w:sz="2" w:space="0"/>
              <w:bottom w:val="single" w:color="000000" w:sz="2" w:space="0"/>
            </w:tcBorders>
            <w:vAlign w:val="center"/>
          </w:tcPr>
          <w:p w14:paraId="173538F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36B2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1219" w:type="dxa"/>
            <w:vMerge w:val="restart"/>
            <w:tcBorders>
              <w:top w:val="single" w:color="000000" w:sz="2" w:space="0"/>
            </w:tcBorders>
            <w:vAlign w:val="center"/>
          </w:tcPr>
          <w:p w14:paraId="7494FC80">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185" w:type="dxa"/>
            <w:vMerge w:val="restart"/>
            <w:tcBorders>
              <w:top w:val="single" w:color="000000" w:sz="2" w:space="0"/>
            </w:tcBorders>
            <w:vAlign w:val="center"/>
          </w:tcPr>
          <w:p w14:paraId="797C66AC">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2349" w:type="dxa"/>
            <w:tcBorders>
              <w:top w:val="single" w:color="000000" w:sz="2" w:space="0"/>
              <w:bottom w:val="single" w:color="000000" w:sz="2" w:space="0"/>
            </w:tcBorders>
            <w:vAlign w:val="center"/>
          </w:tcPr>
          <w:p w14:paraId="33CC349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3885" w:type="dxa"/>
            <w:tcBorders>
              <w:top w:val="single" w:color="000000" w:sz="2" w:space="0"/>
              <w:bottom w:val="single" w:color="000000" w:sz="2" w:space="0"/>
            </w:tcBorders>
            <w:vAlign w:val="center"/>
          </w:tcPr>
          <w:p w14:paraId="235C8D9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与营业执照等证明文件一致</w:t>
            </w:r>
          </w:p>
        </w:tc>
      </w:tr>
      <w:tr w14:paraId="1316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19" w:type="dxa"/>
            <w:vMerge w:val="continue"/>
            <w:vAlign w:val="center"/>
          </w:tcPr>
          <w:p w14:paraId="5370896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3EB31DF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075AA2A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函签字盖章</w:t>
            </w:r>
          </w:p>
        </w:tc>
        <w:tc>
          <w:tcPr>
            <w:tcW w:w="3885" w:type="dxa"/>
            <w:tcBorders>
              <w:top w:val="single" w:color="000000" w:sz="2" w:space="0"/>
              <w:bottom w:val="single" w:color="000000" w:sz="2" w:space="0"/>
            </w:tcBorders>
            <w:vAlign w:val="center"/>
          </w:tcPr>
          <w:p w14:paraId="0B0A7EC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签字盖章的要求</w:t>
            </w:r>
          </w:p>
        </w:tc>
      </w:tr>
      <w:tr w14:paraId="3045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19" w:type="dxa"/>
            <w:vMerge w:val="continue"/>
            <w:vAlign w:val="center"/>
          </w:tcPr>
          <w:p w14:paraId="5CD8130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7915298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16CB126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p>
        </w:tc>
        <w:tc>
          <w:tcPr>
            <w:tcW w:w="3885" w:type="dxa"/>
            <w:tcBorders>
              <w:top w:val="single" w:color="000000" w:sz="2" w:space="0"/>
              <w:bottom w:val="single" w:color="000000" w:sz="2" w:space="0"/>
            </w:tcBorders>
            <w:vAlign w:val="center"/>
          </w:tcPr>
          <w:p w14:paraId="5CD1039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格式”的要求</w:t>
            </w:r>
          </w:p>
        </w:tc>
      </w:tr>
      <w:tr w14:paraId="6B13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19" w:type="dxa"/>
            <w:vMerge w:val="continue"/>
            <w:vAlign w:val="center"/>
          </w:tcPr>
          <w:p w14:paraId="23AFB58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58F677F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5363591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质量要求</w:t>
            </w:r>
          </w:p>
        </w:tc>
        <w:tc>
          <w:tcPr>
            <w:tcW w:w="3885" w:type="dxa"/>
            <w:tcBorders>
              <w:top w:val="single" w:color="000000" w:sz="2" w:space="0"/>
              <w:bottom w:val="single" w:color="000000" w:sz="2" w:space="0"/>
            </w:tcBorders>
            <w:vAlign w:val="center"/>
          </w:tcPr>
          <w:p w14:paraId="6A0B8FB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文件要求</w:t>
            </w:r>
          </w:p>
        </w:tc>
      </w:tr>
      <w:tr w14:paraId="4180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219" w:type="dxa"/>
            <w:vMerge w:val="continue"/>
            <w:vAlign w:val="center"/>
          </w:tcPr>
          <w:p w14:paraId="6C3B3593">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64AC927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2322646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交货期</w:t>
            </w:r>
          </w:p>
        </w:tc>
        <w:tc>
          <w:tcPr>
            <w:tcW w:w="3885" w:type="dxa"/>
            <w:tcBorders>
              <w:top w:val="single" w:color="000000" w:sz="2" w:space="0"/>
              <w:bottom w:val="single" w:color="000000" w:sz="2" w:space="0"/>
            </w:tcBorders>
            <w:vAlign w:val="center"/>
          </w:tcPr>
          <w:p w14:paraId="4F4D0C4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660E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219" w:type="dxa"/>
            <w:vMerge w:val="continue"/>
            <w:vAlign w:val="center"/>
          </w:tcPr>
          <w:p w14:paraId="166E125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vAlign w:val="center"/>
          </w:tcPr>
          <w:p w14:paraId="3CAD55E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vAlign w:val="center"/>
          </w:tcPr>
          <w:p w14:paraId="6D68D329">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885" w:type="dxa"/>
            <w:tcBorders>
              <w:top w:val="single" w:color="000000" w:sz="2" w:space="0"/>
              <w:bottom w:val="single" w:color="000000" w:sz="2" w:space="0"/>
            </w:tcBorders>
            <w:vAlign w:val="center"/>
          </w:tcPr>
          <w:p w14:paraId="153B22B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14E9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jc w:val="center"/>
        </w:trPr>
        <w:tc>
          <w:tcPr>
            <w:tcW w:w="1219" w:type="dxa"/>
            <w:vMerge w:val="continue"/>
            <w:vAlign w:val="center"/>
          </w:tcPr>
          <w:p w14:paraId="3F3137D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185" w:type="dxa"/>
            <w:vMerge w:val="continue"/>
            <w:tcBorders>
              <w:bottom w:val="single" w:color="000000" w:sz="2" w:space="0"/>
            </w:tcBorders>
            <w:vAlign w:val="center"/>
          </w:tcPr>
          <w:p w14:paraId="128B93E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349" w:type="dxa"/>
            <w:tcBorders>
              <w:top w:val="single" w:color="000000" w:sz="2" w:space="0"/>
              <w:bottom w:val="single" w:color="000000" w:sz="2" w:space="0"/>
            </w:tcBorders>
            <w:shd w:val="clear" w:color="auto" w:fill="auto"/>
            <w:vAlign w:val="center"/>
          </w:tcPr>
          <w:p w14:paraId="5631BDA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信用记录</w:t>
            </w:r>
          </w:p>
        </w:tc>
        <w:tc>
          <w:tcPr>
            <w:tcW w:w="3885" w:type="dxa"/>
            <w:tcBorders>
              <w:top w:val="single" w:color="000000" w:sz="2" w:space="0"/>
              <w:bottom w:val="single" w:color="000000" w:sz="2" w:space="0"/>
            </w:tcBorders>
            <w:shd w:val="clear" w:color="auto" w:fill="auto"/>
            <w:vAlign w:val="center"/>
          </w:tcPr>
          <w:p w14:paraId="7D15D0D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3C295E9C">
      <w:pPr>
        <w:keepNext w:val="0"/>
        <w:keepLines w:val="0"/>
        <w:pageBreakBefore w:val="0"/>
        <w:kinsoku/>
        <w:wordWrap w:val="0"/>
        <w:overflowPunct/>
        <w:topLinePunct/>
        <w:autoSpaceDE w:val="0"/>
        <w:autoSpaceDN w:val="0"/>
        <w:bidi w:val="0"/>
        <w:spacing w:line="363" w:lineRule="auto"/>
        <w:rPr>
          <w:rFonts w:hint="eastAsia" w:ascii="宋体" w:hAnsi="宋体" w:eastAsia="宋体" w:cs="宋体"/>
          <w:color w:val="auto"/>
          <w:sz w:val="21"/>
          <w:highlight w:val="none"/>
        </w:rPr>
      </w:pPr>
    </w:p>
    <w:p w14:paraId="55F0D4CF">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p>
    <w:p w14:paraId="6C467EBD">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bookmarkEnd w:id="740"/>
    <w:bookmarkEnd w:id="741"/>
    <w:bookmarkEnd w:id="742"/>
    <w:bookmarkEnd w:id="743"/>
    <w:bookmarkEnd w:id="744"/>
    <w:bookmarkEnd w:id="745"/>
    <w:bookmarkEnd w:id="746"/>
    <w:bookmarkEnd w:id="747"/>
    <w:bookmarkEnd w:id="748"/>
    <w:bookmarkEnd w:id="749"/>
    <w:bookmarkEnd w:id="750"/>
    <w:bookmarkEnd w:id="751"/>
    <w:tbl>
      <w:tblPr>
        <w:tblStyle w:val="23"/>
        <w:tblW w:w="8897" w:type="dxa"/>
        <w:jc w:val="center"/>
        <w:tblLayout w:type="fixed"/>
        <w:tblCellMar>
          <w:top w:w="15" w:type="dxa"/>
          <w:left w:w="15" w:type="dxa"/>
          <w:bottom w:w="15" w:type="dxa"/>
          <w:right w:w="15" w:type="dxa"/>
        </w:tblCellMar>
      </w:tblPr>
      <w:tblGrid>
        <w:gridCol w:w="882"/>
        <w:gridCol w:w="996"/>
        <w:gridCol w:w="6278"/>
        <w:gridCol w:w="741"/>
      </w:tblGrid>
      <w:tr w14:paraId="33B6D2A1">
        <w:tblPrEx>
          <w:tblCellMar>
            <w:top w:w="15" w:type="dxa"/>
            <w:left w:w="15" w:type="dxa"/>
            <w:bottom w:w="15" w:type="dxa"/>
            <w:right w:w="15" w:type="dxa"/>
          </w:tblCellMar>
        </w:tblPrEx>
        <w:trPr>
          <w:trHeight w:val="162"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top"/>
          </w:tcPr>
          <w:p w14:paraId="054F3177">
            <w:pPr>
              <w:widowControl/>
              <w:tabs>
                <w:tab w:val="left" w:pos="210"/>
              </w:tabs>
              <w:spacing w:line="360" w:lineRule="auto"/>
              <w:ind w:left="0" w:leftChars="0" w:hanging="10" w:firstLineChars="0"/>
              <w:jc w:val="center"/>
              <w:textAlignment w:val="top"/>
              <w:rPr>
                <w:rFonts w:hint="eastAsia" w:hAnsi="宋体" w:cs="宋体"/>
                <w:b/>
                <w:color w:val="auto"/>
                <w:sz w:val="24"/>
                <w:szCs w:val="24"/>
              </w:rPr>
            </w:pPr>
            <w:bookmarkStart w:id="754" w:name="_Toc18239"/>
            <w:bookmarkStart w:id="755" w:name="_Toc19375"/>
            <w:bookmarkStart w:id="756" w:name="_Toc12267"/>
            <w:r>
              <w:rPr>
                <w:rFonts w:hint="eastAsia" w:hAnsi="宋体" w:cs="宋体"/>
                <w:b/>
                <w:color w:val="auto"/>
                <w:sz w:val="24"/>
                <w:szCs w:val="24"/>
              </w:rPr>
              <w:t>评分</w:t>
            </w:r>
          </w:p>
          <w:p w14:paraId="7BB5DCC1">
            <w:pPr>
              <w:widowControl/>
              <w:tabs>
                <w:tab w:val="left" w:pos="210"/>
              </w:tabs>
              <w:spacing w:line="360" w:lineRule="auto"/>
              <w:ind w:left="0" w:leftChars="0" w:hanging="10" w:firstLineChars="0"/>
              <w:jc w:val="center"/>
              <w:textAlignment w:val="top"/>
              <w:rPr>
                <w:rFonts w:hint="eastAsia" w:hAnsi="宋体" w:cs="宋体"/>
                <w:b/>
                <w:color w:val="auto"/>
                <w:sz w:val="24"/>
                <w:szCs w:val="24"/>
              </w:rPr>
            </w:pPr>
            <w:r>
              <w:rPr>
                <w:rFonts w:hint="eastAsia" w:hAnsi="宋体" w:cs="宋体"/>
                <w:b/>
                <w:color w:val="auto"/>
                <w:sz w:val="24"/>
                <w:szCs w:val="24"/>
              </w:rPr>
              <w:t>因素</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FEEF3B3">
            <w:pPr>
              <w:widowControl/>
              <w:tabs>
                <w:tab w:val="left" w:pos="210"/>
              </w:tabs>
              <w:spacing w:line="360" w:lineRule="auto"/>
              <w:ind w:left="212" w:leftChars="101" w:right="126" w:rightChars="60" w:firstLine="6" w:firstLineChars="0"/>
              <w:jc w:val="center"/>
              <w:textAlignment w:val="center"/>
              <w:rPr>
                <w:rFonts w:hint="eastAsia" w:hAnsi="宋体" w:cs="宋体"/>
                <w:b/>
                <w:color w:val="auto"/>
                <w:sz w:val="24"/>
                <w:szCs w:val="24"/>
              </w:rPr>
            </w:pPr>
            <w:r>
              <w:rPr>
                <w:rFonts w:hint="eastAsia" w:hAnsi="宋体" w:cs="宋体"/>
                <w:b/>
                <w:color w:val="auto"/>
                <w:sz w:val="24"/>
                <w:szCs w:val="24"/>
              </w:rPr>
              <w:t>评分</w:t>
            </w:r>
          </w:p>
          <w:p w14:paraId="1CBD7B18">
            <w:pPr>
              <w:widowControl/>
              <w:tabs>
                <w:tab w:val="left" w:pos="210"/>
              </w:tabs>
              <w:spacing w:line="360" w:lineRule="auto"/>
              <w:ind w:left="212" w:leftChars="101" w:right="126" w:rightChars="60" w:firstLine="6" w:firstLineChars="0"/>
              <w:jc w:val="center"/>
              <w:textAlignment w:val="center"/>
              <w:rPr>
                <w:rFonts w:hint="eastAsia" w:hAnsi="宋体" w:cs="宋体"/>
                <w:b/>
                <w:color w:val="auto"/>
                <w:sz w:val="24"/>
                <w:szCs w:val="24"/>
              </w:rPr>
            </w:pPr>
            <w:r>
              <w:rPr>
                <w:rFonts w:hint="eastAsia" w:hAnsi="宋体" w:cs="宋体"/>
                <w:b/>
                <w:color w:val="auto"/>
                <w:sz w:val="24"/>
                <w:szCs w:val="24"/>
              </w:rPr>
              <w:t>内容</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C359503">
            <w:pPr>
              <w:widowControl/>
              <w:tabs>
                <w:tab w:val="left" w:pos="-40"/>
              </w:tabs>
              <w:spacing w:line="360" w:lineRule="auto"/>
              <w:ind w:left="10" w:leftChars="5" w:firstLine="8" w:firstLineChars="0"/>
              <w:jc w:val="center"/>
              <w:textAlignment w:val="center"/>
              <w:rPr>
                <w:rFonts w:hint="eastAsia" w:hAnsi="宋体" w:cs="宋体"/>
                <w:b/>
                <w:color w:val="auto"/>
                <w:sz w:val="24"/>
                <w:szCs w:val="24"/>
              </w:rPr>
            </w:pPr>
            <w:r>
              <w:rPr>
                <w:rFonts w:hint="eastAsia" w:hAnsi="宋体" w:cs="宋体"/>
                <w:b/>
                <w:color w:val="auto"/>
                <w:sz w:val="24"/>
                <w:szCs w:val="24"/>
              </w:rPr>
              <w:t>评分标准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4E276C8">
            <w:pPr>
              <w:widowControl/>
              <w:spacing w:line="360" w:lineRule="auto"/>
              <w:ind w:left="-36" w:leftChars="-17" w:firstLine="17" w:firstLineChars="0"/>
              <w:jc w:val="center"/>
              <w:textAlignment w:val="center"/>
              <w:rPr>
                <w:rFonts w:hint="eastAsia" w:hAnsi="宋体" w:cs="宋体"/>
                <w:b/>
                <w:color w:val="auto"/>
                <w:sz w:val="24"/>
                <w:szCs w:val="24"/>
              </w:rPr>
            </w:pPr>
            <w:r>
              <w:rPr>
                <w:rFonts w:hint="eastAsia" w:hAnsi="宋体" w:cs="宋体"/>
                <w:b/>
                <w:color w:val="auto"/>
                <w:sz w:val="24"/>
                <w:szCs w:val="24"/>
              </w:rPr>
              <w:t>分值</w:t>
            </w:r>
          </w:p>
        </w:tc>
      </w:tr>
      <w:tr w14:paraId="4915EF4E">
        <w:tblPrEx>
          <w:tblCellMar>
            <w:top w:w="15" w:type="dxa"/>
            <w:left w:w="15" w:type="dxa"/>
            <w:bottom w:w="15" w:type="dxa"/>
            <w:right w:w="15" w:type="dxa"/>
          </w:tblCellMar>
        </w:tblPrEx>
        <w:trPr>
          <w:trHeight w:val="907"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74AD4B66">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p w14:paraId="1F69F5F6">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（30分）</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EABC26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3060C4D">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highlight w:val="none"/>
                <w:lang w:val="en-US" w:eastAsia="zh-CN"/>
              </w:rPr>
              <w:t>、价格扣除：①投标人的货物全部由符合政策要求的小微企业承接，则给予该投标人的报价20%的扣除，用扣除后的价格参与评审。参加投标的中小微企业，应当按照《政府采购促进中小企业发展管理办法》（财库﹝2020﹞46号）的规定提供《中小微企业声明函》（中小企业划型标准符合国家最新信管规定）。投标人所提供的货物为大型和中型企业的不适用本款规定。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货物的价格给予20%的扣除。</w:t>
            </w:r>
            <w:r>
              <w:rPr>
                <w:rFonts w:hint="eastAsia" w:ascii="宋体" w:hAnsi="宋体" w:eastAsia="宋体" w:cs="宋体"/>
                <w:color w:val="auto"/>
                <w:highlight w:val="none"/>
                <w:lang w:eastAsia="zh-CN"/>
              </w:rPr>
              <w:t>②投标人所投设备属于本国产品</w:t>
            </w:r>
            <w:r>
              <w:rPr>
                <w:rFonts w:hint="eastAsia" w:ascii="宋体" w:hAnsi="宋体" w:eastAsia="宋体" w:cs="宋体"/>
                <w:color w:val="auto"/>
                <w:highlight w:val="none"/>
                <w:lang w:val="en-US" w:eastAsia="zh-CN"/>
              </w:rPr>
              <w:t>参与竞争，同时出具</w:t>
            </w:r>
            <w:r>
              <w:rPr>
                <w:rFonts w:hint="eastAsia" w:ascii="宋体" w:hAnsi="宋体" w:eastAsia="宋体" w:cs="宋体"/>
                <w:color w:val="auto"/>
                <w:highlight w:val="none"/>
                <w:lang w:eastAsia="zh-CN"/>
              </w:rPr>
              <w:t>《关于符合本国产品标准的声明函》</w:t>
            </w:r>
            <w:r>
              <w:rPr>
                <w:rFonts w:hint="eastAsia" w:ascii="宋体" w:hAnsi="宋体" w:eastAsia="宋体" w:cs="宋体"/>
                <w:color w:val="auto"/>
                <w:highlight w:val="none"/>
                <w:lang w:val="en-US" w:eastAsia="zh-CN"/>
              </w:rPr>
              <w:t>时</w:t>
            </w:r>
            <w:r>
              <w:rPr>
                <w:rFonts w:hint="eastAsia" w:ascii="宋体" w:hAnsi="宋体" w:eastAsia="宋体" w:cs="宋体"/>
                <w:color w:val="auto"/>
                <w:highlight w:val="none"/>
                <w:lang w:eastAsia="zh-CN"/>
              </w:rPr>
              <w:t>，该产品视为本国产品，依法对本国产品给予价格评审优惠，对本国产品的报价给予20%的价格扣除，用扣除后的价格参与评审。</w:t>
            </w:r>
          </w:p>
          <w:p w14:paraId="553DE55A">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2、价格分统一采用低价优先法计算，即满足招标文件要求且投标价格最低的投标报价为评标基准价，其价格分为满分30分。其他供应商的价格分统一按照下列公式计算：</w:t>
            </w:r>
          </w:p>
          <w:p w14:paraId="615CB8B1">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投标报价得分=(评标基准价/投标报价)×30。</w:t>
            </w:r>
          </w:p>
          <w:p w14:paraId="5DF0EB9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最终得分计算保留小数点两位。</w:t>
            </w:r>
          </w:p>
          <w:p w14:paraId="59190698">
            <w:pPr>
              <w:tabs>
                <w:tab w:val="left" w:pos="-40"/>
              </w:tabs>
              <w:autoSpaceDE w:val="0"/>
              <w:autoSpaceDN w:val="0"/>
              <w:adjustRightInd w:val="0"/>
              <w:snapToGrid w:val="0"/>
              <w:spacing w:line="340" w:lineRule="exact"/>
              <w:ind w:left="10" w:leftChars="5" w:firstLine="8" w:firstLineChars="0"/>
              <w:jc w:val="left"/>
              <w:rPr>
                <w:rFonts w:hint="eastAsia" w:hAnsi="宋体" w:cs="宋体"/>
                <w:color w:val="auto"/>
                <w:sz w:val="24"/>
                <w:szCs w:val="24"/>
                <w:lang w:eastAsia="zh-CN"/>
              </w:rPr>
            </w:pPr>
            <w:r>
              <w:rPr>
                <w:rFonts w:hint="eastAsia" w:ascii="宋体" w:hAnsi="宋体" w:eastAsia="宋体" w:cs="宋体"/>
                <w:color w:val="auto"/>
                <w:highlight w:val="none"/>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hAnsi="宋体" w:cs="宋体"/>
                <w:color w:val="auto"/>
                <w:sz w:val="24"/>
                <w:szCs w:val="24"/>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B11A8BA">
            <w:pPr>
              <w:widowControl/>
              <w:spacing w:line="288" w:lineRule="auto"/>
              <w:ind w:left="-36" w:leftChars="-17" w:firstLine="17" w:firstLineChars="0"/>
              <w:jc w:val="center"/>
              <w:textAlignment w:val="center"/>
              <w:rPr>
                <w:rFonts w:hint="eastAsia" w:hAnsi="宋体" w:cs="宋体"/>
                <w:color w:val="auto"/>
                <w:sz w:val="24"/>
                <w:szCs w:val="24"/>
              </w:rPr>
            </w:pPr>
            <w:r>
              <w:rPr>
                <w:rFonts w:hint="eastAsia" w:hAnsi="宋体" w:cs="宋体"/>
                <w:color w:val="auto"/>
                <w:sz w:val="24"/>
                <w:szCs w:val="24"/>
              </w:rPr>
              <w:t>30分</w:t>
            </w:r>
          </w:p>
        </w:tc>
      </w:tr>
      <w:tr w14:paraId="0EF07E58">
        <w:tblPrEx>
          <w:tblCellMar>
            <w:top w:w="15" w:type="dxa"/>
            <w:left w:w="15" w:type="dxa"/>
            <w:bottom w:w="15" w:type="dxa"/>
            <w:right w:w="15" w:type="dxa"/>
          </w:tblCellMar>
        </w:tblPrEx>
        <w:trPr>
          <w:trHeight w:val="176" w:hRule="atLeast"/>
          <w:jc w:val="center"/>
        </w:trPr>
        <w:tc>
          <w:tcPr>
            <w:tcW w:w="882" w:type="dxa"/>
            <w:vMerge w:val="restart"/>
            <w:tcBorders>
              <w:top w:val="single" w:color="auto" w:sz="4" w:space="0"/>
              <w:left w:val="single" w:color="auto" w:sz="4" w:space="0"/>
              <w:right w:val="single" w:color="auto" w:sz="4" w:space="0"/>
            </w:tcBorders>
            <w:noWrap w:val="0"/>
            <w:vAlign w:val="center"/>
          </w:tcPr>
          <w:p w14:paraId="7FE5F00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技术</w:t>
            </w:r>
          </w:p>
          <w:p w14:paraId="498B791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53</w:t>
            </w:r>
            <w:r>
              <w:rPr>
                <w:rFonts w:hint="eastAsia" w:ascii="宋体" w:hAnsi="宋体" w:eastAsia="宋体" w:cs="宋体"/>
                <w:color w:val="auto"/>
                <w:highlight w:val="none"/>
              </w:rPr>
              <w:t>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B84267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技术指标</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4314F37D">
            <w:pPr>
              <w:tabs>
                <w:tab w:val="left" w:pos="-40"/>
              </w:tabs>
              <w:autoSpaceDE w:val="0"/>
              <w:autoSpaceDN w:val="0"/>
              <w:adjustRightInd w:val="0"/>
              <w:snapToGrid w:val="0"/>
              <w:spacing w:line="340" w:lineRule="exact"/>
              <w:ind w:left="10" w:leftChars="5" w:firstLine="8" w:firstLineChars="0"/>
              <w:jc w:val="left"/>
              <w:rPr>
                <w:rFonts w:hint="eastAsia" w:hAnsi="宋体" w:cs="宋体"/>
                <w:color w:val="auto"/>
                <w:sz w:val="24"/>
                <w:szCs w:val="24"/>
                <w:highlight w:val="none"/>
              </w:rPr>
            </w:pPr>
            <w:r>
              <w:rPr>
                <w:rFonts w:hint="eastAsia" w:ascii="宋体" w:hAnsi="宋体" w:eastAsia="宋体" w:cs="宋体"/>
                <w:color w:val="auto"/>
                <w:highlight w:val="none"/>
                <w:lang w:eastAsia="zh-CN"/>
              </w:rPr>
              <w:t>投标货物技术参数完全满足招标文件技术要求，得基本分</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分；每项负偏离扣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分，扣完为止。（</w:t>
            </w:r>
            <w:r>
              <w:rPr>
                <w:rFonts w:hint="eastAsia" w:ascii="宋体" w:hAnsi="宋体" w:eastAsia="宋体" w:cs="宋体"/>
                <w:b/>
                <w:bCs/>
                <w:color w:val="auto"/>
                <w:highlight w:val="none"/>
                <w:lang w:eastAsia="zh-CN"/>
              </w:rPr>
              <w:t>合同签定前及履行过程中发现参数有虚假者，取消其资格，并追究相应的法律责任和经济赔偿</w:t>
            </w:r>
            <w:r>
              <w:rPr>
                <w:rFonts w:hint="eastAsia" w:ascii="宋体" w:hAnsi="宋体" w:eastAsia="宋体" w:cs="宋体"/>
                <w:color w:val="auto"/>
                <w:highlight w:val="none"/>
                <w:lang w:eastAsia="zh-CN"/>
              </w:rPr>
              <w:t>）</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366FC22">
            <w:pPr>
              <w:autoSpaceDE w:val="0"/>
              <w:autoSpaceDN w:val="0"/>
              <w:adjustRightInd w:val="0"/>
              <w:snapToGrid w:val="0"/>
              <w:spacing w:line="340" w:lineRule="exact"/>
              <w:ind w:left="-36" w:leftChars="-17" w:firstLine="17" w:firstLineChars="0"/>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5</w:t>
            </w:r>
            <w:r>
              <w:rPr>
                <w:rFonts w:hint="eastAsia" w:hAnsi="宋体" w:cs="宋体"/>
                <w:color w:val="auto"/>
                <w:sz w:val="24"/>
                <w:szCs w:val="24"/>
                <w:highlight w:val="none"/>
              </w:rPr>
              <w:t>分</w:t>
            </w:r>
          </w:p>
        </w:tc>
      </w:tr>
      <w:tr w14:paraId="37703121">
        <w:tblPrEx>
          <w:tblCellMar>
            <w:top w:w="15" w:type="dxa"/>
            <w:left w:w="15" w:type="dxa"/>
            <w:bottom w:w="15" w:type="dxa"/>
            <w:right w:w="15" w:type="dxa"/>
          </w:tblCellMar>
        </w:tblPrEx>
        <w:trPr>
          <w:trHeight w:val="851" w:hRule="atLeast"/>
          <w:jc w:val="center"/>
        </w:trPr>
        <w:tc>
          <w:tcPr>
            <w:tcW w:w="882" w:type="dxa"/>
            <w:vMerge w:val="continue"/>
            <w:tcBorders>
              <w:left w:val="single" w:color="auto" w:sz="4" w:space="0"/>
              <w:right w:val="single" w:color="auto" w:sz="4" w:space="0"/>
            </w:tcBorders>
            <w:noWrap w:val="0"/>
            <w:vAlign w:val="center"/>
          </w:tcPr>
          <w:p w14:paraId="4A574227">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17E795A">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产品技术性能</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CA4E270">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1、所投电梯曳引机、控制柜、门机、安全钳、限速器与所投电梯原厂同品牌的，每项计2分，最多计10分；（需提供相关证明的型式试验报告，否则不计分）</w:t>
            </w:r>
          </w:p>
          <w:p w14:paraId="6C23E48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2、所投产品主机温升不高于80K的得5分，主机温升不高于95K的得2分，主机温升不高于105K得1分，其余不得分；（提供所投电梯制造厂家委托的第三方检测机构提供的证明材料，不提供不得分）</w:t>
            </w:r>
          </w:p>
          <w:p w14:paraId="0D38A137">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主机静载制动力矩制动器按轿厢载重&gt;=240%设计制造，得4分；主机静载制动力矩制动器按轿厢载重&gt;=200%设计制造，得2分；主机静载制动力矩制动器按轿厢载重&gt;=180%设计制造，得1分；其余不得分。（提供所投产品型号对应的主机制动器试验报告，否则不计分）</w:t>
            </w:r>
          </w:p>
          <w:p w14:paraId="02963FC7">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所投产品具有信息系统安全等级保护三级及以上的得3分；信息系统安全等级保护二级的得2分；信息系统安全等级保护一级的得1分。（需提供中华人民共和国公安部监制的信息系统安全等级保护证明，不提供不得分）</w:t>
            </w:r>
          </w:p>
          <w:p w14:paraId="0D30DBDD">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注：以上检测报告或证书需扫描附至响应文件，否则不得分。</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A79028A">
            <w:pPr>
              <w:autoSpaceDE w:val="0"/>
              <w:autoSpaceDN w:val="0"/>
              <w:adjustRightInd w:val="0"/>
              <w:snapToGrid w:val="0"/>
              <w:spacing w:line="340" w:lineRule="exact"/>
              <w:ind w:left="-36" w:leftChars="-17" w:firstLine="17" w:firstLineChars="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22分</w:t>
            </w:r>
          </w:p>
        </w:tc>
      </w:tr>
      <w:tr w14:paraId="6E2EB9D5">
        <w:tblPrEx>
          <w:tblCellMar>
            <w:top w:w="15" w:type="dxa"/>
            <w:left w:w="15" w:type="dxa"/>
            <w:bottom w:w="15" w:type="dxa"/>
            <w:right w:w="15" w:type="dxa"/>
          </w:tblCellMar>
        </w:tblPrEx>
        <w:trPr>
          <w:trHeight w:val="288" w:hRule="atLeast"/>
          <w:jc w:val="center"/>
        </w:trPr>
        <w:tc>
          <w:tcPr>
            <w:tcW w:w="882" w:type="dxa"/>
            <w:vMerge w:val="continue"/>
            <w:tcBorders>
              <w:left w:val="single" w:color="auto" w:sz="4" w:space="0"/>
              <w:right w:val="single" w:color="auto" w:sz="4" w:space="0"/>
            </w:tcBorders>
            <w:noWrap w:val="0"/>
            <w:vAlign w:val="center"/>
          </w:tcPr>
          <w:p w14:paraId="6DF283EE">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D4CD99B">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电梯安装调试方案</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204BA0AD">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评委根据供应商提供的安装调试</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lang w:eastAsia="zh-CN"/>
              </w:rPr>
              <w:t>进行评分：</w:t>
            </w:r>
          </w:p>
          <w:p w14:paraId="7C94AD7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lang w:eastAsia="zh-CN"/>
              </w:rPr>
              <w:t>供应商安装、调试方案程序合理、措施得当</w:t>
            </w:r>
            <w:r>
              <w:rPr>
                <w:rFonts w:hint="eastAsia" w:ascii="宋体" w:hAnsi="宋体" w:eastAsia="宋体" w:cs="宋体"/>
                <w:color w:val="auto"/>
                <w:highlight w:val="none"/>
                <w:lang w:val="en-US" w:eastAsia="zh-CN"/>
              </w:rPr>
              <w:t>的得5</w:t>
            </w:r>
            <w:r>
              <w:rPr>
                <w:rFonts w:hint="eastAsia" w:ascii="宋体" w:hAnsi="宋体" w:eastAsia="宋体" w:cs="宋体"/>
                <w:color w:val="auto"/>
                <w:highlight w:val="none"/>
                <w:lang w:eastAsia="zh-CN"/>
              </w:rPr>
              <w:t>分；</w:t>
            </w:r>
          </w:p>
          <w:p w14:paraId="5E1E6D5A">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②供应商安装、调试</w:t>
            </w:r>
            <w:r>
              <w:rPr>
                <w:rFonts w:hint="eastAsia" w:ascii="宋体" w:hAnsi="宋体" w:eastAsia="宋体" w:cs="宋体"/>
                <w:color w:val="auto"/>
                <w:highlight w:val="none"/>
                <w:lang w:val="en-US" w:eastAsia="zh-CN"/>
              </w:rPr>
              <w:t>方案内容不完善，合理性一般的</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27A54878">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③供应商安装、调试</w:t>
            </w:r>
            <w:r>
              <w:rPr>
                <w:rFonts w:hint="eastAsia" w:ascii="宋体" w:hAnsi="宋体" w:eastAsia="宋体" w:cs="宋体"/>
                <w:color w:val="auto"/>
                <w:highlight w:val="none"/>
                <w:lang w:val="en-US" w:eastAsia="zh-CN"/>
              </w:rPr>
              <w:t>方案合理性和可行性差的得1</w:t>
            </w:r>
            <w:r>
              <w:rPr>
                <w:rFonts w:hint="eastAsia" w:ascii="宋体" w:hAnsi="宋体" w:eastAsia="宋体" w:cs="宋体"/>
                <w:color w:val="auto"/>
                <w:highlight w:val="none"/>
                <w:lang w:eastAsia="zh-CN"/>
              </w:rPr>
              <w:t>分；</w:t>
            </w:r>
          </w:p>
          <w:p w14:paraId="3AA4A1F1">
            <w:pPr>
              <w:tabs>
                <w:tab w:val="left" w:pos="-40"/>
              </w:tabs>
              <w:autoSpaceDE w:val="0"/>
              <w:autoSpaceDN w:val="0"/>
              <w:adjustRightInd w:val="0"/>
              <w:snapToGrid w:val="0"/>
              <w:spacing w:line="340" w:lineRule="exact"/>
              <w:ind w:left="10" w:leftChars="5" w:firstLine="8" w:firstLineChars="0"/>
              <w:jc w:val="left"/>
              <w:rPr>
                <w:rFonts w:hint="eastAsia" w:hAnsi="宋体" w:cs="宋体"/>
                <w:color w:val="auto"/>
                <w:sz w:val="24"/>
                <w:szCs w:val="24"/>
                <w:highlight w:val="none"/>
              </w:rPr>
            </w:pPr>
            <w:r>
              <w:rPr>
                <w:rFonts w:hint="eastAsia" w:ascii="仿宋" w:hAnsi="仿宋" w:eastAsia="仿宋" w:cs="仿宋"/>
                <w:color w:val="auto"/>
                <w:highlight w:val="none"/>
                <w:lang w:val="en-US" w:eastAsia="zh-CN"/>
              </w:rPr>
              <w:t>④</w:t>
            </w:r>
            <w:r>
              <w:rPr>
                <w:rFonts w:hint="eastAsia" w:ascii="宋体" w:hAnsi="宋体" w:eastAsia="宋体" w:cs="宋体"/>
                <w:color w:val="auto"/>
                <w:highlight w:val="none"/>
                <w:lang w:val="en-US" w:eastAsia="zh-CN"/>
              </w:rPr>
              <w:t>不提供不得分。</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3562D6B7">
            <w:pPr>
              <w:autoSpaceDE w:val="0"/>
              <w:autoSpaceDN w:val="0"/>
              <w:adjustRightInd w:val="0"/>
              <w:snapToGrid w:val="0"/>
              <w:spacing w:line="340" w:lineRule="exact"/>
              <w:ind w:left="-36" w:leftChars="-17" w:firstLine="17" w:firstLineChars="0"/>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5分</w:t>
            </w:r>
          </w:p>
        </w:tc>
      </w:tr>
      <w:tr w14:paraId="1681C668">
        <w:tblPrEx>
          <w:tblCellMar>
            <w:top w:w="15" w:type="dxa"/>
            <w:left w:w="15" w:type="dxa"/>
            <w:bottom w:w="15" w:type="dxa"/>
            <w:right w:w="15" w:type="dxa"/>
          </w:tblCellMar>
        </w:tblPrEx>
        <w:trPr>
          <w:trHeight w:val="513" w:hRule="atLeast"/>
          <w:jc w:val="center"/>
        </w:trPr>
        <w:tc>
          <w:tcPr>
            <w:tcW w:w="882" w:type="dxa"/>
            <w:vMerge w:val="continue"/>
            <w:tcBorders>
              <w:left w:val="single" w:color="auto" w:sz="4" w:space="0"/>
              <w:right w:val="single" w:color="auto" w:sz="4" w:space="0"/>
            </w:tcBorders>
            <w:noWrap w:val="0"/>
            <w:vAlign w:val="center"/>
          </w:tcPr>
          <w:p w14:paraId="5552A39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A068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拟投入资源配备计划</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3D4F1">
            <w:pPr>
              <w:tabs>
                <w:tab w:val="left" w:pos="-40"/>
              </w:tabs>
              <w:autoSpaceDE w:val="0"/>
              <w:autoSpaceDN w:val="0"/>
              <w:adjustRightInd w:val="0"/>
              <w:snapToGrid w:val="0"/>
              <w:spacing w:line="340" w:lineRule="exact"/>
              <w:ind w:left="0" w:leftChars="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根据供应商提供的安装、调试、检测人员</w:t>
            </w:r>
            <w:r>
              <w:rPr>
                <w:rFonts w:hint="eastAsia" w:ascii="宋体" w:hAnsi="宋体" w:eastAsia="宋体" w:cs="宋体"/>
                <w:color w:val="auto"/>
                <w:highlight w:val="none"/>
                <w:lang w:val="en-US" w:eastAsia="zh-CN"/>
              </w:rPr>
              <w:t>及相关设备</w:t>
            </w:r>
            <w:r>
              <w:rPr>
                <w:rFonts w:hint="eastAsia" w:ascii="宋体" w:hAnsi="宋体" w:eastAsia="宋体" w:cs="宋体"/>
                <w:color w:val="auto"/>
                <w:highlight w:val="none"/>
                <w:lang w:eastAsia="zh-CN"/>
              </w:rPr>
              <w:t>配备方案进行评分：</w:t>
            </w:r>
          </w:p>
          <w:p w14:paraId="67D696A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lang w:eastAsia="zh-CN"/>
              </w:rPr>
              <w:t>供应商安装、调试、检测人员配备方案科学合理、可实施性强，检测设备齐全得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p w14:paraId="7028E407">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②供应商安装、调试、检测人员配备方案较合理、可实施性</w:t>
            </w:r>
            <w:r>
              <w:rPr>
                <w:rFonts w:hint="eastAsia" w:ascii="宋体" w:hAnsi="宋体" w:eastAsia="宋体" w:cs="宋体"/>
                <w:color w:val="auto"/>
                <w:highlight w:val="none"/>
                <w:lang w:val="en-US" w:eastAsia="zh-CN"/>
              </w:rPr>
              <w:t>一般的</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55DFD880">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③供应商安装、调试、检测人员配备服务方案</w:t>
            </w:r>
            <w:r>
              <w:rPr>
                <w:rFonts w:hint="eastAsia" w:ascii="宋体" w:hAnsi="宋体" w:eastAsia="宋体" w:cs="宋体"/>
                <w:color w:val="auto"/>
                <w:highlight w:val="none"/>
                <w:lang w:val="en-US" w:eastAsia="zh-CN"/>
              </w:rPr>
              <w:t>不全面</w:t>
            </w:r>
            <w:r>
              <w:rPr>
                <w:rFonts w:hint="eastAsia" w:ascii="宋体" w:hAnsi="宋体" w:eastAsia="宋体" w:cs="宋体"/>
                <w:color w:val="auto"/>
                <w:highlight w:val="none"/>
                <w:lang w:eastAsia="zh-CN"/>
              </w:rPr>
              <w:t>、可实施性</w:t>
            </w:r>
            <w:r>
              <w:rPr>
                <w:rFonts w:hint="eastAsia" w:ascii="宋体" w:hAnsi="宋体" w:eastAsia="宋体" w:cs="宋体"/>
                <w:color w:val="auto"/>
                <w:highlight w:val="none"/>
                <w:lang w:val="en-US" w:eastAsia="zh-CN"/>
              </w:rPr>
              <w:t>差的</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w:t>
            </w:r>
          </w:p>
          <w:p w14:paraId="5A90359E">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仿宋" w:hAnsi="仿宋" w:eastAsia="仿宋" w:cs="仿宋"/>
                <w:color w:val="auto"/>
                <w:highlight w:val="none"/>
                <w:lang w:val="en-US" w:eastAsia="zh-CN"/>
              </w:rPr>
              <w:t>④</w:t>
            </w:r>
            <w:r>
              <w:rPr>
                <w:rFonts w:hint="eastAsia" w:ascii="宋体" w:hAnsi="宋体" w:eastAsia="宋体" w:cs="宋体"/>
                <w:color w:val="auto"/>
                <w:highlight w:val="none"/>
                <w:lang w:val="en-US" w:eastAsia="zh-CN"/>
              </w:rPr>
              <w:t>不提供不得分。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9947E">
            <w:pPr>
              <w:autoSpaceDE w:val="0"/>
              <w:autoSpaceDN w:val="0"/>
              <w:adjustRightInd w:val="0"/>
              <w:snapToGrid w:val="0"/>
              <w:spacing w:line="340" w:lineRule="exact"/>
              <w:ind w:left="-36" w:leftChars="-17" w:firstLine="17" w:firstLineChars="0"/>
              <w:jc w:val="center"/>
              <w:rPr>
                <w:rFonts w:hint="eastAsia" w:ascii="Times New Roman"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5</w:t>
            </w:r>
            <w:r>
              <w:rPr>
                <w:rFonts w:hint="eastAsia" w:hAnsi="宋体" w:cs="宋体"/>
                <w:color w:val="auto"/>
                <w:sz w:val="24"/>
                <w:szCs w:val="24"/>
                <w:highlight w:val="none"/>
              </w:rPr>
              <w:t>分</w:t>
            </w:r>
          </w:p>
        </w:tc>
      </w:tr>
      <w:tr w14:paraId="0CBD7127">
        <w:tblPrEx>
          <w:tblCellMar>
            <w:top w:w="15" w:type="dxa"/>
            <w:left w:w="15" w:type="dxa"/>
            <w:bottom w:w="15" w:type="dxa"/>
            <w:right w:w="15" w:type="dxa"/>
          </w:tblCellMar>
        </w:tblPrEx>
        <w:trPr>
          <w:trHeight w:val="120" w:hRule="atLeast"/>
          <w:jc w:val="center"/>
        </w:trPr>
        <w:tc>
          <w:tcPr>
            <w:tcW w:w="882" w:type="dxa"/>
            <w:vMerge w:val="continue"/>
            <w:tcBorders>
              <w:left w:val="single" w:color="auto" w:sz="4" w:space="0"/>
              <w:right w:val="single" w:color="auto" w:sz="4" w:space="0"/>
            </w:tcBorders>
            <w:noWrap w:val="0"/>
            <w:vAlign w:val="center"/>
          </w:tcPr>
          <w:p w14:paraId="6C0948B7">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1992BF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建设进度计划及保证措施</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223AA6A1">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根据供应商提供的</w:t>
            </w:r>
            <w:r>
              <w:rPr>
                <w:rFonts w:hint="eastAsia" w:ascii="宋体" w:hAnsi="宋体" w:eastAsia="宋体" w:cs="宋体"/>
                <w:color w:val="auto"/>
                <w:highlight w:val="none"/>
                <w:lang w:val="en-US" w:eastAsia="zh-CN"/>
              </w:rPr>
              <w:t>建设进度及保证措施</w:t>
            </w:r>
            <w:r>
              <w:rPr>
                <w:rFonts w:hint="eastAsia" w:ascii="宋体" w:hAnsi="宋体" w:eastAsia="宋体" w:cs="宋体"/>
                <w:color w:val="auto"/>
                <w:highlight w:val="none"/>
                <w:lang w:eastAsia="zh-CN"/>
              </w:rPr>
              <w:t>进行评分：</w:t>
            </w:r>
          </w:p>
          <w:p w14:paraId="7AC95870">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lang w:eastAsia="zh-CN"/>
              </w:rPr>
              <w:t>供应商建设进度计划及保证措施切实可行、措施得当</w:t>
            </w:r>
            <w:r>
              <w:rPr>
                <w:rFonts w:hint="eastAsia" w:ascii="宋体" w:hAnsi="宋体" w:eastAsia="宋体" w:cs="宋体"/>
                <w:color w:val="auto"/>
                <w:highlight w:val="none"/>
                <w:lang w:val="en-US" w:eastAsia="zh-CN"/>
              </w:rPr>
              <w:t>的得5</w:t>
            </w:r>
            <w:r>
              <w:rPr>
                <w:rFonts w:hint="eastAsia" w:ascii="宋体" w:hAnsi="宋体" w:eastAsia="宋体" w:cs="宋体"/>
                <w:color w:val="auto"/>
                <w:highlight w:val="none"/>
                <w:lang w:eastAsia="zh-CN"/>
              </w:rPr>
              <w:t>分；</w:t>
            </w:r>
          </w:p>
          <w:p w14:paraId="199577BA">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②供应商建设进度计划及保证措施</w:t>
            </w:r>
            <w:r>
              <w:rPr>
                <w:rFonts w:hint="eastAsia" w:ascii="宋体" w:hAnsi="宋体" w:eastAsia="宋体" w:cs="宋体"/>
                <w:color w:val="auto"/>
                <w:highlight w:val="none"/>
                <w:lang w:val="en-US" w:eastAsia="zh-CN"/>
              </w:rPr>
              <w:t>内容不完善，合理性一般的</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25FD4D7D">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③供应商建设进度计划及保证措施</w:t>
            </w:r>
            <w:r>
              <w:rPr>
                <w:rFonts w:hint="eastAsia" w:ascii="宋体" w:hAnsi="宋体" w:eastAsia="宋体" w:cs="宋体"/>
                <w:color w:val="auto"/>
                <w:highlight w:val="none"/>
                <w:lang w:val="en-US" w:eastAsia="zh-CN"/>
              </w:rPr>
              <w:t>合理性和可行性差的得1</w:t>
            </w:r>
            <w:r>
              <w:rPr>
                <w:rFonts w:hint="eastAsia" w:ascii="宋体" w:hAnsi="宋体" w:eastAsia="宋体" w:cs="宋体"/>
                <w:color w:val="auto"/>
                <w:highlight w:val="none"/>
                <w:lang w:eastAsia="zh-CN"/>
              </w:rPr>
              <w:t>分；</w:t>
            </w:r>
          </w:p>
          <w:p w14:paraId="7FCB79C3">
            <w:pPr>
              <w:tabs>
                <w:tab w:val="left" w:pos="-40"/>
              </w:tabs>
              <w:autoSpaceDE w:val="0"/>
              <w:autoSpaceDN w:val="0"/>
              <w:adjustRightInd w:val="0"/>
              <w:snapToGrid w:val="0"/>
              <w:spacing w:line="340" w:lineRule="exact"/>
              <w:ind w:left="10" w:leftChars="5" w:firstLine="8" w:firstLineChars="0"/>
              <w:jc w:val="left"/>
              <w:rPr>
                <w:rFonts w:hint="default" w:ascii="宋体" w:hAnsi="宋体" w:eastAsia="宋体" w:cs="宋体"/>
                <w:color w:val="auto"/>
                <w:highlight w:val="none"/>
                <w:lang w:val="en-US" w:eastAsia="zh-CN"/>
              </w:rPr>
            </w:pPr>
            <w:r>
              <w:rPr>
                <w:rFonts w:hint="eastAsia" w:ascii="仿宋" w:hAnsi="仿宋" w:eastAsia="仿宋" w:cs="仿宋"/>
                <w:color w:val="auto"/>
                <w:highlight w:val="none"/>
                <w:lang w:val="en-US" w:eastAsia="zh-CN"/>
              </w:rPr>
              <w:t>④</w:t>
            </w:r>
            <w:r>
              <w:rPr>
                <w:rFonts w:hint="eastAsia" w:ascii="宋体" w:hAnsi="宋体" w:eastAsia="宋体" w:cs="宋体"/>
                <w:color w:val="auto"/>
                <w:highlight w:val="none"/>
                <w:lang w:val="en-US" w:eastAsia="zh-CN"/>
              </w:rPr>
              <w:t>不提供不得分。</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B9CACD2">
            <w:pPr>
              <w:ind w:left="-36" w:leftChars="-17" w:firstLine="17" w:firstLineChars="0"/>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5分</w:t>
            </w:r>
          </w:p>
        </w:tc>
      </w:tr>
      <w:tr w14:paraId="2CE615B8">
        <w:tblPrEx>
          <w:tblCellMar>
            <w:top w:w="15" w:type="dxa"/>
            <w:left w:w="15" w:type="dxa"/>
            <w:bottom w:w="15" w:type="dxa"/>
            <w:right w:w="15" w:type="dxa"/>
          </w:tblCellMar>
        </w:tblPrEx>
        <w:trPr>
          <w:trHeight w:val="457" w:hRule="atLeast"/>
          <w:jc w:val="center"/>
        </w:trPr>
        <w:tc>
          <w:tcPr>
            <w:tcW w:w="882" w:type="dxa"/>
            <w:vMerge w:val="continue"/>
            <w:tcBorders>
              <w:left w:val="single" w:color="auto" w:sz="4" w:space="0"/>
              <w:right w:val="single" w:color="auto" w:sz="4" w:space="0"/>
            </w:tcBorders>
            <w:noWrap w:val="0"/>
            <w:vAlign w:val="center"/>
          </w:tcPr>
          <w:p w14:paraId="7789874B">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0B9FB5E">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技术培训方案</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3FDB3540">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评委根据供应商提供的</w:t>
            </w:r>
            <w:r>
              <w:rPr>
                <w:rFonts w:hint="eastAsia" w:ascii="宋体" w:hAnsi="宋体" w:eastAsia="宋体" w:cs="宋体"/>
                <w:color w:val="auto"/>
                <w:highlight w:val="none"/>
                <w:lang w:val="en-US" w:eastAsia="zh-CN"/>
              </w:rPr>
              <w:t>技术培训方案</w:t>
            </w:r>
            <w:r>
              <w:rPr>
                <w:rFonts w:hint="eastAsia" w:ascii="宋体" w:hAnsi="宋体" w:eastAsia="宋体" w:cs="宋体"/>
                <w:color w:val="auto"/>
                <w:highlight w:val="none"/>
                <w:lang w:eastAsia="zh-CN"/>
              </w:rPr>
              <w:t>进行评分：</w:t>
            </w:r>
          </w:p>
          <w:p w14:paraId="248557E3">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lang w:val="en-US" w:eastAsia="zh-CN"/>
              </w:rPr>
              <w:t>技术培训</w:t>
            </w:r>
            <w:r>
              <w:rPr>
                <w:rFonts w:hint="eastAsia" w:ascii="宋体" w:hAnsi="宋体" w:eastAsia="宋体" w:cs="宋体"/>
                <w:color w:val="auto"/>
                <w:highlight w:val="none"/>
                <w:lang w:eastAsia="zh-CN"/>
              </w:rPr>
              <w:t>方案完善详尽，可行性高，完全满足采购需求</w:t>
            </w:r>
            <w:r>
              <w:rPr>
                <w:rFonts w:hint="eastAsia" w:ascii="宋体" w:hAnsi="宋体" w:eastAsia="宋体" w:cs="宋体"/>
                <w:color w:val="auto"/>
                <w:highlight w:val="none"/>
                <w:lang w:val="en-US" w:eastAsia="zh-CN"/>
              </w:rPr>
              <w:t>的，得5</w:t>
            </w:r>
            <w:r>
              <w:rPr>
                <w:rFonts w:hint="eastAsia" w:ascii="宋体" w:hAnsi="宋体" w:eastAsia="宋体" w:cs="宋体"/>
                <w:color w:val="auto"/>
                <w:highlight w:val="none"/>
                <w:lang w:eastAsia="zh-CN"/>
              </w:rPr>
              <w:t>分；</w:t>
            </w:r>
          </w:p>
          <w:p w14:paraId="10A7878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②供应商</w:t>
            </w:r>
            <w:r>
              <w:rPr>
                <w:rFonts w:hint="eastAsia" w:ascii="宋体" w:hAnsi="宋体" w:eastAsia="宋体" w:cs="宋体"/>
                <w:color w:val="auto"/>
                <w:highlight w:val="none"/>
                <w:lang w:val="en-US" w:eastAsia="zh-CN"/>
              </w:rPr>
              <w:t>技术培训方案基本完整、可行性较好，基本满足采购需求的，</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2112A939">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③供应商</w:t>
            </w:r>
            <w:r>
              <w:rPr>
                <w:rFonts w:hint="eastAsia" w:ascii="宋体" w:hAnsi="宋体" w:eastAsia="宋体" w:cs="宋体"/>
                <w:color w:val="auto"/>
                <w:highlight w:val="none"/>
                <w:lang w:val="en-US" w:eastAsia="zh-CN"/>
              </w:rPr>
              <w:t>技术培训方案不完整、可行性差，少数满足采购需求的，得1分</w:t>
            </w:r>
            <w:r>
              <w:rPr>
                <w:rFonts w:hint="eastAsia" w:ascii="宋体" w:hAnsi="宋体" w:eastAsia="宋体" w:cs="宋体"/>
                <w:color w:val="auto"/>
                <w:highlight w:val="none"/>
                <w:lang w:eastAsia="zh-CN"/>
              </w:rPr>
              <w:t>；</w:t>
            </w:r>
          </w:p>
          <w:p w14:paraId="796DB210">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仿宋" w:hAnsi="仿宋" w:eastAsia="仿宋" w:cs="仿宋"/>
                <w:color w:val="auto"/>
                <w:highlight w:val="none"/>
                <w:lang w:val="en-US" w:eastAsia="zh-CN"/>
              </w:rPr>
              <w:t>④</w:t>
            </w:r>
            <w:r>
              <w:rPr>
                <w:rFonts w:hint="eastAsia" w:ascii="宋体" w:hAnsi="宋体" w:eastAsia="宋体" w:cs="宋体"/>
                <w:color w:val="auto"/>
                <w:highlight w:val="none"/>
                <w:lang w:val="en-US" w:eastAsia="zh-CN"/>
              </w:rPr>
              <w:t>不提供不得分。</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6606D6BB">
            <w:pPr>
              <w:ind w:left="-36" w:leftChars="-17" w:firstLine="17" w:firstLineChars="0"/>
              <w:jc w:val="center"/>
              <w:rPr>
                <w:rFonts w:hAnsi="宋体" w:cs="宋体"/>
                <w:color w:val="auto"/>
                <w:sz w:val="24"/>
                <w:szCs w:val="24"/>
              </w:rPr>
            </w:pPr>
            <w:r>
              <w:rPr>
                <w:rFonts w:hint="eastAsia" w:hAnsi="宋体" w:cs="宋体"/>
                <w:color w:val="auto"/>
                <w:sz w:val="24"/>
                <w:szCs w:val="24"/>
                <w:lang w:val="en-US" w:eastAsia="zh-CN"/>
              </w:rPr>
              <w:t>5</w:t>
            </w:r>
            <w:r>
              <w:rPr>
                <w:rFonts w:hint="eastAsia" w:hAnsi="宋体" w:cs="宋体"/>
                <w:color w:val="auto"/>
                <w:sz w:val="24"/>
                <w:szCs w:val="24"/>
              </w:rPr>
              <w:t>分</w:t>
            </w:r>
          </w:p>
        </w:tc>
      </w:tr>
      <w:tr w14:paraId="03A42060">
        <w:tblPrEx>
          <w:tblCellMar>
            <w:top w:w="15" w:type="dxa"/>
            <w:left w:w="15" w:type="dxa"/>
            <w:bottom w:w="15" w:type="dxa"/>
            <w:right w:w="15" w:type="dxa"/>
          </w:tblCellMar>
        </w:tblPrEx>
        <w:trPr>
          <w:trHeight w:val="288" w:hRule="atLeast"/>
          <w:jc w:val="center"/>
        </w:trPr>
        <w:tc>
          <w:tcPr>
            <w:tcW w:w="882" w:type="dxa"/>
            <w:vMerge w:val="continue"/>
            <w:tcBorders>
              <w:left w:val="single" w:color="auto" w:sz="4" w:space="0"/>
              <w:right w:val="single" w:color="auto" w:sz="4" w:space="0"/>
            </w:tcBorders>
            <w:noWrap w:val="0"/>
            <w:vAlign w:val="center"/>
          </w:tcPr>
          <w:p w14:paraId="161FC2C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C480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应急处理方案及安全保障措施</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E7BE1">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根据供应商提供的特殊紧急情况的应急处理方案及安全保障措施的科学性、合理性、可行性等进行综合对比评分：</w:t>
            </w:r>
          </w:p>
          <w:p w14:paraId="4F591F6A">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①方案及措施详细、可行性强，能切实贴合使用方的需求得4分；</w:t>
            </w:r>
          </w:p>
          <w:p w14:paraId="02E6A172">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②方案及措施较为详细、可行性一般的得2分；</w:t>
            </w:r>
          </w:p>
          <w:p w14:paraId="522B9572">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③不提供不得分。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F3330">
            <w:pPr>
              <w:autoSpaceDE w:val="0"/>
              <w:autoSpaceDN w:val="0"/>
              <w:adjustRightInd w:val="0"/>
              <w:snapToGrid w:val="0"/>
              <w:spacing w:line="340" w:lineRule="exact"/>
              <w:ind w:left="-36" w:leftChars="-17" w:firstLine="17" w:firstLineChars="0"/>
              <w:jc w:val="center"/>
              <w:rPr>
                <w:rFonts w:hint="eastAsia" w:ascii="Times New Roman" w:hAnsi="宋体" w:eastAsia="宋体" w:cs="宋体"/>
                <w:color w:val="auto"/>
                <w:kern w:val="2"/>
                <w:sz w:val="24"/>
                <w:szCs w:val="24"/>
                <w:lang w:val="en-US" w:eastAsia="zh-CN" w:bidi="ar-SA"/>
              </w:rPr>
            </w:pPr>
            <w:r>
              <w:rPr>
                <w:rFonts w:hint="eastAsia" w:hAnsi="宋体" w:cs="宋体"/>
                <w:color w:val="auto"/>
                <w:sz w:val="24"/>
                <w:szCs w:val="24"/>
                <w:lang w:val="en-US" w:eastAsia="zh-CN"/>
              </w:rPr>
              <w:t>4</w:t>
            </w:r>
            <w:r>
              <w:rPr>
                <w:rFonts w:hint="eastAsia" w:hAnsi="宋体" w:cs="宋体"/>
                <w:color w:val="auto"/>
                <w:sz w:val="24"/>
                <w:szCs w:val="24"/>
              </w:rPr>
              <w:t>分</w:t>
            </w:r>
          </w:p>
        </w:tc>
      </w:tr>
      <w:tr w14:paraId="4636D804">
        <w:tblPrEx>
          <w:tblCellMar>
            <w:top w:w="15" w:type="dxa"/>
            <w:left w:w="15" w:type="dxa"/>
            <w:bottom w:w="15" w:type="dxa"/>
            <w:right w:w="15" w:type="dxa"/>
          </w:tblCellMar>
        </w:tblPrEx>
        <w:trPr>
          <w:trHeight w:val="176" w:hRule="atLeast"/>
          <w:jc w:val="center"/>
        </w:trPr>
        <w:tc>
          <w:tcPr>
            <w:tcW w:w="882" w:type="dxa"/>
            <w:vMerge w:val="continue"/>
            <w:tcBorders>
              <w:left w:val="single" w:color="auto" w:sz="4" w:space="0"/>
              <w:bottom w:val="single" w:color="auto" w:sz="4" w:space="0"/>
              <w:right w:val="single" w:color="auto" w:sz="4" w:space="0"/>
            </w:tcBorders>
            <w:noWrap w:val="0"/>
            <w:vAlign w:val="center"/>
          </w:tcPr>
          <w:p w14:paraId="2B1DB433">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DB76C6">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安装人员</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A7E63">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针对本项目拟派安装人员具有特种设备作业人员证（T1或T2或T）的每有一人得0.5分，本项目最高得2分。（投标文件中提供人员证书，不提供不得分）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CDC466">
            <w:pPr>
              <w:autoSpaceDE w:val="0"/>
              <w:autoSpaceDN w:val="0"/>
              <w:adjustRightInd w:val="0"/>
              <w:snapToGrid w:val="0"/>
              <w:spacing w:line="340" w:lineRule="exact"/>
              <w:ind w:left="-36" w:leftChars="-17" w:firstLine="17" w:firstLineChars="0"/>
              <w:jc w:val="center"/>
              <w:rPr>
                <w:rFonts w:hint="eastAsia" w:hAnsi="宋体" w:cs="宋体"/>
                <w:color w:val="auto"/>
                <w:sz w:val="24"/>
                <w:szCs w:val="24"/>
                <w:lang w:val="en-US" w:eastAsia="zh-CN"/>
              </w:rPr>
            </w:pPr>
            <w:r>
              <w:rPr>
                <w:rFonts w:hint="eastAsia" w:hAnsi="宋体" w:cs="宋体"/>
                <w:color w:val="auto"/>
                <w:sz w:val="24"/>
                <w:szCs w:val="24"/>
                <w:lang w:val="en-US" w:eastAsia="zh-CN"/>
              </w:rPr>
              <w:t>2分</w:t>
            </w:r>
          </w:p>
        </w:tc>
      </w:tr>
      <w:tr w14:paraId="4262848A">
        <w:tblPrEx>
          <w:tblCellMar>
            <w:top w:w="15" w:type="dxa"/>
            <w:left w:w="15" w:type="dxa"/>
            <w:bottom w:w="15" w:type="dxa"/>
            <w:right w:w="15" w:type="dxa"/>
          </w:tblCellMar>
        </w:tblPrEx>
        <w:trPr>
          <w:cantSplit/>
          <w:trHeight w:val="232" w:hRule="atLeast"/>
          <w:jc w:val="center"/>
        </w:trPr>
        <w:tc>
          <w:tcPr>
            <w:tcW w:w="882" w:type="dxa"/>
            <w:vMerge w:val="restart"/>
            <w:tcBorders>
              <w:top w:val="single" w:color="auto" w:sz="4" w:space="0"/>
              <w:left w:val="single" w:color="auto" w:sz="4" w:space="0"/>
              <w:right w:val="single" w:color="auto" w:sz="4" w:space="0"/>
            </w:tcBorders>
            <w:noWrap w:val="0"/>
            <w:vAlign w:val="center"/>
          </w:tcPr>
          <w:p w14:paraId="2FC4D9E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其他部分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分）</w:t>
            </w:r>
          </w:p>
        </w:tc>
        <w:tc>
          <w:tcPr>
            <w:tcW w:w="996" w:type="dxa"/>
            <w:tcBorders>
              <w:top w:val="single" w:color="auto" w:sz="4" w:space="0"/>
              <w:left w:val="single" w:color="auto" w:sz="4" w:space="0"/>
              <w:right w:val="single" w:color="auto" w:sz="4" w:space="0"/>
            </w:tcBorders>
            <w:shd w:val="clear" w:color="auto" w:fill="auto"/>
            <w:noWrap w:val="0"/>
            <w:vAlign w:val="center"/>
          </w:tcPr>
          <w:p w14:paraId="4CEEB5A8">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6AABA3B4">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企业</w:t>
            </w:r>
            <w:r>
              <w:rPr>
                <w:rFonts w:hint="eastAsia" w:ascii="宋体" w:hAnsi="宋体" w:eastAsia="宋体" w:cs="宋体"/>
                <w:color w:val="auto"/>
                <w:highlight w:val="none"/>
                <w:lang w:val="en-US" w:eastAsia="zh-CN"/>
              </w:rPr>
              <w:t>实力</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62FE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供应商或制造商近三年（2023年1月1日以来）以来承接过类似电梯采购项目业绩的，每提供一份得1分，本项最高得2分。</w:t>
            </w:r>
            <w:r>
              <w:rPr>
                <w:rFonts w:hint="eastAsia" w:ascii="宋体" w:hAnsi="宋体" w:eastAsia="宋体" w:cs="宋体"/>
                <w:b/>
                <w:bCs/>
                <w:color w:val="auto"/>
                <w:highlight w:val="none"/>
                <w:lang w:val="en-US" w:eastAsia="zh-CN"/>
              </w:rPr>
              <w:t xml:space="preserve">（投标文件中附合同协议书原件的扫描件，时间以合同签订日期为准，未提供或提供不全不得分） </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EB59F">
            <w:pPr>
              <w:widowControl/>
              <w:spacing w:line="288" w:lineRule="auto"/>
              <w:ind w:left="-36" w:leftChars="-17" w:firstLine="17" w:firstLineChars="0"/>
              <w:jc w:val="center"/>
              <w:textAlignment w:val="center"/>
              <w:rPr>
                <w:rFonts w:hint="eastAsia" w:ascii="Times New Roman" w:hAnsi="宋体" w:eastAsia="宋体" w:cs="宋体"/>
                <w:color w:val="auto"/>
                <w:kern w:val="2"/>
                <w:sz w:val="24"/>
                <w:szCs w:val="24"/>
                <w:lang w:val="en-US" w:eastAsia="zh-CN" w:bidi="ar-SA"/>
              </w:rPr>
            </w:pPr>
            <w:r>
              <w:rPr>
                <w:rFonts w:hint="eastAsia" w:hAnsi="宋体" w:cs="宋体"/>
                <w:color w:val="auto"/>
                <w:sz w:val="24"/>
                <w:szCs w:val="24"/>
                <w:lang w:val="en-US" w:eastAsia="zh-CN"/>
              </w:rPr>
              <w:t>2</w:t>
            </w:r>
            <w:r>
              <w:rPr>
                <w:rFonts w:hint="eastAsia" w:hAnsi="宋体" w:cs="宋体"/>
                <w:color w:val="auto"/>
                <w:sz w:val="24"/>
                <w:szCs w:val="24"/>
              </w:rPr>
              <w:t>分</w:t>
            </w:r>
          </w:p>
        </w:tc>
      </w:tr>
      <w:tr w14:paraId="5912640A">
        <w:tblPrEx>
          <w:tblCellMar>
            <w:top w:w="15" w:type="dxa"/>
            <w:left w:w="15" w:type="dxa"/>
            <w:bottom w:w="15" w:type="dxa"/>
            <w:right w:w="15" w:type="dxa"/>
          </w:tblCellMar>
        </w:tblPrEx>
        <w:trPr>
          <w:cantSplit/>
          <w:trHeight w:val="795" w:hRule="atLeast"/>
          <w:jc w:val="center"/>
        </w:trPr>
        <w:tc>
          <w:tcPr>
            <w:tcW w:w="882" w:type="dxa"/>
            <w:vMerge w:val="continue"/>
            <w:tcBorders>
              <w:left w:val="single" w:color="auto" w:sz="4" w:space="0"/>
              <w:right w:val="single" w:color="auto" w:sz="4" w:space="0"/>
            </w:tcBorders>
            <w:noWrap w:val="0"/>
            <w:vAlign w:val="center"/>
          </w:tcPr>
          <w:p w14:paraId="20861A9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right w:val="single" w:color="auto" w:sz="4" w:space="0"/>
            </w:tcBorders>
            <w:noWrap w:val="0"/>
            <w:vAlign w:val="center"/>
          </w:tcPr>
          <w:p w14:paraId="5B3EE1C8">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售后服务</w:t>
            </w:r>
            <w:r>
              <w:rPr>
                <w:rFonts w:hint="eastAsia" w:ascii="宋体" w:hAnsi="宋体" w:eastAsia="宋体" w:cs="宋体"/>
                <w:color w:val="auto"/>
                <w:highlight w:val="none"/>
                <w:lang w:eastAsia="zh-CN"/>
              </w:rPr>
              <w:t>方案</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19F36056">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1、根据供应商的突发事件处理方案（含临时停电处理等）进行评审：</w:t>
            </w:r>
          </w:p>
          <w:p w14:paraId="77373C7E">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①方案非常详细、合理，可实施性强、响应及时，得4分； </w:t>
            </w:r>
          </w:p>
          <w:p w14:paraId="711D7913">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②方案较详细、合理，可实施性一般、响应较及时，得2分； </w:t>
            </w:r>
          </w:p>
          <w:p w14:paraId="12DDC7C0">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③方案不够详细、响应慢，可实施性差的，得1分；</w:t>
            </w:r>
          </w:p>
          <w:p w14:paraId="389A31C5">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仿宋" w:hAnsi="仿宋" w:eastAsia="仿宋" w:cs="仿宋"/>
                <w:color w:val="auto"/>
                <w:highlight w:val="none"/>
                <w:lang w:val="en-US" w:eastAsia="zh-CN"/>
              </w:rPr>
              <w:t>④</w:t>
            </w:r>
            <w:r>
              <w:rPr>
                <w:rFonts w:hint="eastAsia" w:ascii="宋体" w:hAnsi="宋体" w:eastAsia="宋体" w:cs="宋体"/>
                <w:color w:val="auto"/>
                <w:highlight w:val="none"/>
                <w:lang w:val="en-US" w:eastAsia="zh-CN"/>
              </w:rPr>
              <w:t>未提供方案的得0分。</w:t>
            </w:r>
          </w:p>
          <w:p w14:paraId="4C62903B">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2、根据各供应商质保期内、外的售后服务方案及承诺内容（含维修、设备巡检、保养计划、故障响应时间、响应方式等）综合评分：</w:t>
            </w:r>
          </w:p>
          <w:p w14:paraId="4E46E690">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①供应商质保期内、外的售后服务方案及承诺内容完整、科学合理、可实施性强，故障响应时间快、响应方式便捷，得4分；</w:t>
            </w:r>
          </w:p>
          <w:p w14:paraId="220BD66E">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②供应商质保期内、外的售后服务方案及承诺内容较完整、合理性和可实施性较一般，故障响应时间较快、响应方式较便捷，得2分；</w:t>
            </w:r>
          </w:p>
          <w:p w14:paraId="1DB47C94">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③供应商质保期内、外的售后服务方案及承诺内容不合理，可实施性差，故障响应时间和响应方式一般的，得1分。</w:t>
            </w:r>
          </w:p>
          <w:p w14:paraId="3F6795C3">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仿宋" w:hAnsi="仿宋" w:eastAsia="仿宋" w:cs="仿宋"/>
                <w:color w:val="auto"/>
                <w:highlight w:val="none"/>
                <w:lang w:val="en-US" w:eastAsia="zh-CN"/>
              </w:rPr>
              <w:t>④</w:t>
            </w:r>
            <w:r>
              <w:rPr>
                <w:rFonts w:hint="eastAsia" w:ascii="宋体" w:hAnsi="宋体" w:eastAsia="宋体" w:cs="宋体"/>
                <w:color w:val="auto"/>
                <w:highlight w:val="none"/>
                <w:lang w:val="en-US" w:eastAsia="zh-CN"/>
              </w:rPr>
              <w:t xml:space="preserve">未提供方案的得0分。 </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6DFEA50B">
            <w:pPr>
              <w:widowControl/>
              <w:spacing w:line="288" w:lineRule="auto"/>
              <w:ind w:left="-36" w:leftChars="-17" w:firstLine="17" w:firstLineChars="0"/>
              <w:jc w:val="center"/>
              <w:textAlignment w:val="center"/>
              <w:rPr>
                <w:rFonts w:hint="eastAsia" w:hAnsi="宋体" w:cs="宋体"/>
                <w:color w:val="auto"/>
                <w:sz w:val="24"/>
                <w:szCs w:val="24"/>
              </w:rPr>
            </w:pPr>
            <w:r>
              <w:rPr>
                <w:rFonts w:hint="eastAsia" w:hAnsi="宋体" w:cs="宋体"/>
                <w:color w:val="auto"/>
                <w:sz w:val="24"/>
                <w:szCs w:val="24"/>
                <w:lang w:val="en-US" w:eastAsia="zh-CN"/>
              </w:rPr>
              <w:t>8分</w:t>
            </w:r>
          </w:p>
        </w:tc>
      </w:tr>
      <w:tr w14:paraId="1A25C94F">
        <w:tblPrEx>
          <w:tblCellMar>
            <w:top w:w="15" w:type="dxa"/>
            <w:left w:w="15" w:type="dxa"/>
            <w:bottom w:w="15" w:type="dxa"/>
            <w:right w:w="15" w:type="dxa"/>
          </w:tblCellMar>
        </w:tblPrEx>
        <w:trPr>
          <w:trHeight w:val="176" w:hRule="atLeast"/>
          <w:jc w:val="center"/>
        </w:trPr>
        <w:tc>
          <w:tcPr>
            <w:tcW w:w="882" w:type="dxa"/>
            <w:vMerge w:val="continue"/>
            <w:tcBorders>
              <w:left w:val="single" w:color="auto" w:sz="4" w:space="0"/>
              <w:bottom w:val="single" w:color="auto" w:sz="4" w:space="0"/>
              <w:right w:val="single" w:color="auto" w:sz="4" w:space="0"/>
            </w:tcBorders>
            <w:noWrap w:val="0"/>
            <w:vAlign w:val="center"/>
          </w:tcPr>
          <w:p w14:paraId="107ADC7B">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48EDF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综合性能 评价</w:t>
            </w:r>
          </w:p>
        </w:tc>
        <w:tc>
          <w:tcPr>
            <w:tcW w:w="6278" w:type="dxa"/>
            <w:tcBorders>
              <w:top w:val="single" w:color="auto" w:sz="4" w:space="0"/>
              <w:left w:val="single" w:color="auto" w:sz="4" w:space="0"/>
              <w:bottom w:val="single" w:color="auto" w:sz="4" w:space="0"/>
              <w:right w:val="single" w:color="auto" w:sz="4" w:space="0"/>
            </w:tcBorders>
            <w:noWrap w:val="0"/>
            <w:vAlign w:val="center"/>
          </w:tcPr>
          <w:p w14:paraId="598E3043">
            <w:pPr>
              <w:tabs>
                <w:tab w:val="left" w:pos="-40"/>
              </w:tabs>
              <w:autoSpaceDE w:val="0"/>
              <w:autoSpaceDN w:val="0"/>
              <w:adjustRightInd w:val="0"/>
              <w:snapToGrid w:val="0"/>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对供应商提供设备的综合性能，方案的制定、标书的规范情况进行综合评价，完善、合理、可行性较好的得4分，一般得 2分，较差得1分。</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268E8D97">
            <w:pPr>
              <w:adjustRightInd w:val="0"/>
              <w:snapToGrid w:val="0"/>
              <w:spacing w:line="288" w:lineRule="auto"/>
              <w:ind w:left="-36" w:leftChars="-17" w:firstLine="17" w:firstLineChars="0"/>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tc>
      </w:tr>
    </w:tbl>
    <w:p w14:paraId="3CEAD6BC">
      <w:pPr>
        <w:wordWrap w:val="0"/>
        <w:spacing w:line="360" w:lineRule="auto"/>
        <w:ind w:firstLine="422" w:firstLineChars="200"/>
        <w:rPr>
          <w:rFonts w:hint="eastAsia" w:ascii="宋体" w:hAnsi="宋体" w:eastAsia="宋体" w:cs="宋体"/>
          <w:b/>
          <w:bCs/>
          <w:color w:val="C00000"/>
          <w:highlight w:val="none"/>
          <w:lang w:val="en-US" w:eastAsia="zh-CN"/>
        </w:rPr>
      </w:pPr>
    </w:p>
    <w:p w14:paraId="7247E956">
      <w:pPr>
        <w:wordWrap w:val="0"/>
        <w:spacing w:line="360" w:lineRule="auto"/>
        <w:ind w:firstLine="422" w:firstLineChars="200"/>
        <w:rPr>
          <w:rFonts w:hint="eastAsia" w:ascii="宋体" w:hAnsi="宋体" w:cs="宋体"/>
          <w:sz w:val="24"/>
          <w:szCs w:val="24"/>
          <w:lang w:val="en-US" w:eastAsia="zh-CN"/>
        </w:rPr>
      </w:pPr>
      <w:r>
        <w:rPr>
          <w:rFonts w:hint="eastAsia" w:ascii="宋体" w:hAnsi="宋体" w:eastAsia="宋体" w:cs="宋体"/>
          <w:b/>
          <w:bCs/>
          <w:color w:val="C00000"/>
          <w:highlight w:val="none"/>
          <w:lang w:val="en-US" w:eastAsia="zh-CN"/>
        </w:rPr>
        <w:t>注：供应商在招投标活动中提供的相关资料和证件等应真实、有效，中标后业主有对中标候选人进行调查的权利，如发现弄虚作假、有违法违规现象，一经查实，将取消中标资格并报经建设行政主管部门给予不良行为记录等处理。</w:t>
      </w:r>
    </w:p>
    <w:p w14:paraId="32348163">
      <w:pPr>
        <w:wordWrap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评审方法</w:t>
      </w:r>
      <w:bookmarkEnd w:id="754"/>
      <w:bookmarkEnd w:id="755"/>
    </w:p>
    <w:p w14:paraId="5D969F2C">
      <w:pPr>
        <w:wordWrap w:val="0"/>
        <w:spacing w:line="360" w:lineRule="auto"/>
        <w:ind w:firstLine="480" w:firstLineChars="200"/>
        <w:rPr>
          <w:rFonts w:ascii="宋体" w:hAnsi="宋体" w:cs="宋体"/>
          <w:sz w:val="24"/>
          <w:szCs w:val="24"/>
        </w:rPr>
      </w:pPr>
      <w:r>
        <w:rPr>
          <w:rFonts w:hint="eastAsia" w:ascii="宋体" w:hAnsi="宋体" w:cs="宋体"/>
          <w:sz w:val="24"/>
          <w:szCs w:val="24"/>
        </w:rPr>
        <w:t>本次评审采用综合评分法。磋商小组对满足竞争性磋商文件实质性要求的响应文件，按照本章规定的评分标准进行打分，并按得分由高到低顺序推荐成交候选人，综合评分相等时，以报价得分高的优先；报价得分相等的，以技术得分高的优先，技术得分也相等的，采取随机抽取方式确定中标候选人排序。</w:t>
      </w:r>
      <w:bookmarkStart w:id="757" w:name="_Toc24936"/>
      <w:bookmarkStart w:id="758" w:name="_Toc490667876"/>
      <w:bookmarkStart w:id="759" w:name="_Toc152045601"/>
      <w:bookmarkStart w:id="760" w:name="_Toc152042378"/>
      <w:bookmarkStart w:id="761" w:name="_Toc29362"/>
      <w:bookmarkStart w:id="762" w:name="_Toc144974568"/>
      <w:bookmarkStart w:id="763" w:name="_Toc455867817"/>
      <w:bookmarkStart w:id="764" w:name="_Toc6612"/>
      <w:bookmarkStart w:id="765" w:name="_Toc318450723"/>
      <w:bookmarkStart w:id="766" w:name="_Toc466298140"/>
      <w:bookmarkStart w:id="767" w:name="_Toc20837"/>
      <w:bookmarkStart w:id="768" w:name="_Toc26131"/>
      <w:bookmarkStart w:id="769" w:name="_Toc281405529"/>
      <w:bookmarkStart w:id="770" w:name="_Toc455080157"/>
    </w:p>
    <w:p w14:paraId="05C3142D">
      <w:pPr>
        <w:wordWrap w:val="0"/>
        <w:spacing w:line="360" w:lineRule="auto"/>
        <w:ind w:firstLine="480" w:firstLineChars="200"/>
        <w:rPr>
          <w:rFonts w:ascii="宋体" w:hAnsi="宋体" w:cs="宋体"/>
          <w:sz w:val="24"/>
          <w:szCs w:val="24"/>
        </w:rPr>
      </w:pPr>
      <w:bookmarkStart w:id="771" w:name="_Toc15287"/>
      <w:bookmarkStart w:id="772" w:name="_Toc14678"/>
      <w:r>
        <w:rPr>
          <w:rFonts w:hint="eastAsia" w:ascii="宋体" w:hAnsi="宋体" w:cs="宋体"/>
          <w:sz w:val="24"/>
          <w:szCs w:val="24"/>
        </w:rPr>
        <w:t>2. 评审标准</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Start w:id="773" w:name="_Toc31037"/>
      <w:bookmarkStart w:id="774" w:name="_Toc15813"/>
      <w:bookmarkStart w:id="775" w:name="_Toc11223"/>
      <w:bookmarkStart w:id="776" w:name="_Toc25637"/>
      <w:bookmarkStart w:id="777" w:name="_Toc2867"/>
      <w:bookmarkStart w:id="778" w:name="_Toc19934"/>
      <w:bookmarkStart w:id="779" w:name="_Toc21120"/>
      <w:bookmarkStart w:id="780" w:name="_Toc490667877"/>
      <w:bookmarkStart w:id="781" w:name="_Toc144974569"/>
      <w:bookmarkStart w:id="782" w:name="_Toc281405530"/>
      <w:bookmarkStart w:id="783" w:name="_Toc6711"/>
      <w:bookmarkStart w:id="784" w:name="_Toc455080158"/>
      <w:bookmarkStart w:id="785" w:name="_Toc455867818"/>
      <w:bookmarkStart w:id="786" w:name="_Toc152045602"/>
      <w:bookmarkStart w:id="787" w:name="_Toc318450724"/>
      <w:bookmarkStart w:id="788" w:name="_Toc24558"/>
      <w:bookmarkStart w:id="789" w:name="_Toc466298141"/>
      <w:bookmarkStart w:id="790" w:name="_Toc152042379"/>
    </w:p>
    <w:p w14:paraId="2D747DD7">
      <w:pPr>
        <w:wordWrap w:val="0"/>
        <w:spacing w:line="360" w:lineRule="auto"/>
        <w:ind w:firstLine="480" w:firstLineChars="200"/>
        <w:rPr>
          <w:rFonts w:ascii="宋体" w:hAnsi="宋体" w:cs="宋体"/>
          <w:sz w:val="24"/>
          <w:szCs w:val="24"/>
        </w:rPr>
      </w:pPr>
      <w:bookmarkStart w:id="791" w:name="_Toc26567"/>
      <w:r>
        <w:rPr>
          <w:rFonts w:hint="eastAsia" w:ascii="宋体" w:hAnsi="宋体" w:cs="宋体"/>
          <w:sz w:val="24"/>
          <w:szCs w:val="24"/>
        </w:rPr>
        <w:t>2.1 初步评审标准</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72FF6233">
      <w:pPr>
        <w:wordWrap w:val="0"/>
        <w:spacing w:line="360" w:lineRule="auto"/>
        <w:ind w:firstLine="480" w:firstLineChars="200"/>
        <w:rPr>
          <w:rFonts w:ascii="宋体" w:hAnsi="宋体" w:cs="宋体"/>
          <w:sz w:val="24"/>
          <w:szCs w:val="24"/>
        </w:rPr>
      </w:pPr>
      <w:r>
        <w:rPr>
          <w:rFonts w:hint="eastAsia" w:ascii="宋体" w:hAnsi="宋体" w:cs="宋体"/>
          <w:sz w:val="24"/>
          <w:szCs w:val="24"/>
        </w:rPr>
        <w:t>2.1.1 资格检查评审标准：见评审办法前附表。</w:t>
      </w:r>
    </w:p>
    <w:p w14:paraId="77108B71">
      <w:pPr>
        <w:wordWrap w:val="0"/>
        <w:spacing w:line="360" w:lineRule="auto"/>
        <w:ind w:firstLine="480" w:firstLineChars="200"/>
        <w:rPr>
          <w:rFonts w:ascii="宋体" w:hAnsi="宋体" w:cs="宋体"/>
          <w:sz w:val="24"/>
          <w:szCs w:val="24"/>
        </w:rPr>
      </w:pPr>
      <w:r>
        <w:rPr>
          <w:rFonts w:hint="eastAsia" w:ascii="宋体" w:hAnsi="宋体" w:cs="宋体"/>
          <w:sz w:val="24"/>
          <w:szCs w:val="24"/>
        </w:rPr>
        <w:t>2.1.2 符合性检查评审标准：见评审办法前附表。</w:t>
      </w:r>
    </w:p>
    <w:p w14:paraId="1E24991F">
      <w:pPr>
        <w:wordWrap w:val="0"/>
        <w:spacing w:line="360" w:lineRule="auto"/>
        <w:ind w:firstLine="480" w:firstLineChars="200"/>
        <w:rPr>
          <w:rFonts w:ascii="宋体" w:hAnsi="宋体" w:cs="宋体"/>
          <w:sz w:val="24"/>
          <w:szCs w:val="24"/>
        </w:rPr>
      </w:pPr>
      <w:bookmarkStart w:id="792" w:name="_Toc22439"/>
      <w:bookmarkStart w:id="793" w:name="_Toc455080159"/>
      <w:bookmarkStart w:id="794" w:name="_Toc490667878"/>
      <w:bookmarkStart w:id="795" w:name="_Toc28765"/>
      <w:bookmarkStart w:id="796" w:name="_Toc7284"/>
      <w:bookmarkStart w:id="797" w:name="_Toc11061"/>
      <w:bookmarkStart w:id="798" w:name="_Toc152045603"/>
      <w:bookmarkStart w:id="799" w:name="_Toc466298142"/>
      <w:bookmarkStart w:id="800" w:name="_Toc25492"/>
      <w:bookmarkStart w:id="801" w:name="_Toc455867819"/>
      <w:bookmarkStart w:id="802" w:name="_Toc318450725"/>
      <w:bookmarkStart w:id="803" w:name="_Toc12013"/>
      <w:bookmarkStart w:id="804" w:name="_Toc281405531"/>
      <w:bookmarkStart w:id="805" w:name="_Toc21970"/>
      <w:bookmarkStart w:id="806" w:name="_Toc26179"/>
      <w:bookmarkStart w:id="807" w:name="_Toc30189"/>
      <w:bookmarkStart w:id="808" w:name="_Toc24825"/>
      <w:bookmarkStart w:id="809" w:name="_Toc152042380"/>
      <w:bookmarkStart w:id="810" w:name="_Toc144974570"/>
      <w:r>
        <w:rPr>
          <w:rFonts w:hint="eastAsia" w:ascii="宋体" w:hAnsi="宋体" w:cs="宋体"/>
          <w:sz w:val="24"/>
          <w:szCs w:val="24"/>
        </w:rPr>
        <w:t>2.2 分值构成与评分标准</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A749119">
      <w:pPr>
        <w:wordWrap w:val="0"/>
        <w:spacing w:line="360" w:lineRule="auto"/>
        <w:ind w:firstLine="480" w:firstLineChars="200"/>
        <w:rPr>
          <w:rFonts w:ascii="宋体" w:hAnsi="宋体" w:cs="宋体"/>
          <w:sz w:val="24"/>
          <w:szCs w:val="24"/>
        </w:rPr>
      </w:pPr>
      <w:r>
        <w:rPr>
          <w:rFonts w:hint="eastAsia" w:ascii="宋体" w:hAnsi="宋体" w:cs="宋体"/>
          <w:sz w:val="24"/>
          <w:szCs w:val="24"/>
        </w:rPr>
        <w:t>（1）商务标：见评审办法前附表；</w:t>
      </w:r>
    </w:p>
    <w:p w14:paraId="21B138A3">
      <w:pPr>
        <w:wordWrap w:val="0"/>
        <w:spacing w:line="360" w:lineRule="auto"/>
        <w:ind w:firstLine="480" w:firstLineChars="200"/>
        <w:rPr>
          <w:rFonts w:ascii="宋体" w:hAnsi="宋体" w:cs="宋体"/>
          <w:sz w:val="24"/>
          <w:szCs w:val="24"/>
        </w:rPr>
      </w:pPr>
      <w:r>
        <w:rPr>
          <w:rFonts w:hint="eastAsia" w:ascii="宋体" w:hAnsi="宋体" w:cs="宋体"/>
          <w:sz w:val="24"/>
          <w:szCs w:val="24"/>
        </w:rPr>
        <w:t>（2）技术标：见评审办法前附表；</w:t>
      </w:r>
    </w:p>
    <w:p w14:paraId="24FC8F3F">
      <w:pPr>
        <w:wordWrap w:val="0"/>
        <w:spacing w:line="360" w:lineRule="auto"/>
        <w:ind w:firstLine="480" w:firstLineChars="200"/>
        <w:rPr>
          <w:rFonts w:ascii="宋体" w:hAnsi="宋体" w:cs="宋体"/>
          <w:sz w:val="24"/>
          <w:szCs w:val="24"/>
        </w:rPr>
      </w:pPr>
      <w:r>
        <w:rPr>
          <w:rFonts w:hint="eastAsia" w:ascii="宋体" w:hAnsi="宋体" w:cs="宋体"/>
          <w:sz w:val="24"/>
          <w:szCs w:val="24"/>
        </w:rPr>
        <w:t>（3）综合标：见评审办法前附表。</w:t>
      </w:r>
    </w:p>
    <w:p w14:paraId="20032B5F">
      <w:pPr>
        <w:wordWrap w:val="0"/>
        <w:spacing w:line="360" w:lineRule="auto"/>
        <w:ind w:firstLine="480" w:firstLineChars="200"/>
        <w:rPr>
          <w:rFonts w:ascii="宋体" w:hAnsi="宋体" w:cs="宋体"/>
          <w:sz w:val="24"/>
          <w:szCs w:val="24"/>
        </w:rPr>
      </w:pPr>
      <w:bookmarkStart w:id="811" w:name="_Toc490667879"/>
      <w:bookmarkStart w:id="812" w:name="_Toc281405532"/>
      <w:bookmarkStart w:id="813" w:name="_Toc18127"/>
      <w:bookmarkStart w:id="814" w:name="_Toc318450726"/>
      <w:bookmarkStart w:id="815" w:name="_Toc27018"/>
      <w:bookmarkStart w:id="816" w:name="_Toc466298143"/>
      <w:bookmarkStart w:id="817" w:name="_Toc455080160"/>
      <w:bookmarkStart w:id="818" w:name="_Toc29882"/>
      <w:bookmarkStart w:id="819" w:name="_Toc29297"/>
      <w:bookmarkStart w:id="820" w:name="_Toc32314"/>
      <w:bookmarkStart w:id="821" w:name="_Toc455867820"/>
      <w:bookmarkStart w:id="822" w:name="_Toc16479"/>
      <w:bookmarkStart w:id="823" w:name="_Toc17308"/>
      <w:r>
        <w:rPr>
          <w:rFonts w:hint="eastAsia" w:ascii="宋体" w:hAnsi="宋体" w:cs="宋体"/>
          <w:sz w:val="24"/>
          <w:szCs w:val="24"/>
        </w:rPr>
        <w:t>3. 评审程序</w:t>
      </w:r>
      <w:bookmarkEnd w:id="811"/>
      <w:bookmarkEnd w:id="812"/>
      <w:bookmarkEnd w:id="813"/>
      <w:bookmarkEnd w:id="814"/>
      <w:bookmarkEnd w:id="815"/>
      <w:bookmarkEnd w:id="816"/>
      <w:bookmarkEnd w:id="817"/>
      <w:bookmarkEnd w:id="818"/>
      <w:bookmarkEnd w:id="819"/>
      <w:bookmarkEnd w:id="820"/>
      <w:bookmarkEnd w:id="821"/>
      <w:bookmarkEnd w:id="822"/>
      <w:bookmarkEnd w:id="823"/>
    </w:p>
    <w:p w14:paraId="48EFE30C">
      <w:pPr>
        <w:wordWrap w:val="0"/>
        <w:spacing w:line="360" w:lineRule="auto"/>
        <w:ind w:firstLine="480" w:firstLineChars="200"/>
        <w:rPr>
          <w:rFonts w:ascii="宋体" w:hAnsi="宋体" w:cs="宋体"/>
          <w:sz w:val="24"/>
          <w:szCs w:val="24"/>
        </w:rPr>
      </w:pPr>
      <w:bookmarkStart w:id="824" w:name="_Toc32763"/>
      <w:bookmarkStart w:id="825" w:name="_Toc9433"/>
      <w:bookmarkStart w:id="826" w:name="_Toc30986"/>
      <w:bookmarkStart w:id="827" w:name="_Toc29614"/>
      <w:bookmarkStart w:id="828" w:name="_Toc466298144"/>
      <w:bookmarkStart w:id="829" w:name="_Toc14633"/>
      <w:bookmarkStart w:id="830" w:name="_Toc455080161"/>
      <w:bookmarkStart w:id="831" w:name="_Toc490667880"/>
      <w:bookmarkStart w:id="832" w:name="_Toc455867821"/>
      <w:bookmarkStart w:id="833" w:name="_Toc281405533"/>
      <w:bookmarkStart w:id="834" w:name="_Toc29092"/>
      <w:bookmarkStart w:id="835" w:name="_Toc2410"/>
      <w:bookmarkStart w:id="836" w:name="_Toc16892"/>
      <w:bookmarkStart w:id="837" w:name="_Toc18886"/>
      <w:bookmarkStart w:id="838" w:name="_Toc5427"/>
      <w:bookmarkStart w:id="839" w:name="_Toc7272"/>
      <w:bookmarkStart w:id="840" w:name="_Toc318450727"/>
      <w:r>
        <w:rPr>
          <w:rFonts w:hint="eastAsia" w:ascii="宋体" w:hAnsi="宋体" w:cs="宋体"/>
          <w:sz w:val="24"/>
          <w:szCs w:val="24"/>
        </w:rPr>
        <w:t>3.1 初步评审</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2CFE13C3">
      <w:pPr>
        <w:wordWrap w:val="0"/>
        <w:spacing w:line="360" w:lineRule="auto"/>
        <w:ind w:firstLine="480" w:firstLineChars="200"/>
        <w:rPr>
          <w:rFonts w:ascii="宋体" w:hAnsi="宋体" w:cs="宋体"/>
          <w:sz w:val="24"/>
          <w:szCs w:val="24"/>
        </w:rPr>
      </w:pPr>
      <w:bookmarkStart w:id="841" w:name="_Toc26049"/>
      <w:bookmarkStart w:id="842" w:name="_Toc22101"/>
      <w:bookmarkStart w:id="843" w:name="_Toc281405534"/>
      <w:bookmarkStart w:id="844" w:name="_Toc7121"/>
      <w:bookmarkStart w:id="845" w:name="_Toc466298145"/>
      <w:bookmarkStart w:id="846" w:name="_Toc455867822"/>
      <w:bookmarkStart w:id="847" w:name="_Toc21570"/>
      <w:bookmarkStart w:id="848" w:name="_Toc490667881"/>
      <w:bookmarkStart w:id="849" w:name="_Toc16964"/>
      <w:bookmarkStart w:id="850" w:name="_Toc10692"/>
      <w:bookmarkStart w:id="851" w:name="_Toc318450728"/>
      <w:bookmarkStart w:id="852" w:name="_Toc455080162"/>
      <w:bookmarkStart w:id="853" w:name="_Toc12406"/>
      <w:bookmarkStart w:id="854" w:name="_Toc21032"/>
      <w:bookmarkStart w:id="855" w:name="_Toc13386"/>
      <w:bookmarkStart w:id="856" w:name="_Toc26280"/>
      <w:r>
        <w:rPr>
          <w:rFonts w:hint="eastAsia" w:ascii="宋体" w:hAnsi="宋体" w:cs="宋体"/>
          <w:sz w:val="24"/>
          <w:szCs w:val="24"/>
        </w:rPr>
        <w:t>3.1.1 只有通过资格审查的供应商才能进入符合性评审。磋商小组依据2.1.2规定的内容和标准对响应文件进行符合性审查。有一项不符合评审标准的，其相应文件做无效处理，不得进入详细评审。</w:t>
      </w:r>
    </w:p>
    <w:p w14:paraId="3F3EBC65">
      <w:pPr>
        <w:wordWrap w:val="0"/>
        <w:spacing w:line="360" w:lineRule="auto"/>
        <w:ind w:firstLine="480" w:firstLineChars="200"/>
        <w:rPr>
          <w:rFonts w:ascii="宋体" w:hAnsi="宋体" w:cs="宋体"/>
          <w:sz w:val="24"/>
          <w:szCs w:val="24"/>
        </w:rPr>
      </w:pPr>
      <w:r>
        <w:rPr>
          <w:rFonts w:hint="eastAsia" w:ascii="宋体" w:hAnsi="宋体" w:cs="宋体"/>
          <w:sz w:val="24"/>
          <w:szCs w:val="24"/>
        </w:rPr>
        <w:t>3.1.2 供应商有以下情形之一的，其响应文件作无效处理：</w:t>
      </w:r>
    </w:p>
    <w:p w14:paraId="24FCC51C">
      <w:pPr>
        <w:wordWrap w:val="0"/>
        <w:spacing w:line="360" w:lineRule="auto"/>
        <w:ind w:firstLine="480" w:firstLineChars="200"/>
        <w:rPr>
          <w:rFonts w:ascii="宋体" w:hAnsi="宋体" w:cs="宋体"/>
          <w:sz w:val="24"/>
          <w:szCs w:val="24"/>
        </w:rPr>
      </w:pPr>
      <w:r>
        <w:rPr>
          <w:rFonts w:hint="eastAsia" w:ascii="宋体" w:hAnsi="宋体" w:cs="宋体"/>
          <w:sz w:val="24"/>
          <w:szCs w:val="24"/>
        </w:rPr>
        <w:t>（1）串通或弄虚作假或有其他违法行为的；</w:t>
      </w:r>
    </w:p>
    <w:p w14:paraId="350CEA38">
      <w:pPr>
        <w:wordWrap w:val="0"/>
        <w:spacing w:line="360" w:lineRule="auto"/>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64A8A5A6">
      <w:pPr>
        <w:wordWrap w:val="0"/>
        <w:spacing w:line="360" w:lineRule="auto"/>
        <w:ind w:firstLine="480" w:firstLineChars="200"/>
        <w:rPr>
          <w:rFonts w:ascii="宋体" w:hAnsi="宋体" w:cs="宋体"/>
          <w:sz w:val="24"/>
          <w:szCs w:val="24"/>
        </w:rPr>
      </w:pPr>
      <w:r>
        <w:rPr>
          <w:rFonts w:hint="eastAsia" w:ascii="宋体" w:hAnsi="宋体" w:cs="宋体"/>
          <w:sz w:val="24"/>
          <w:szCs w:val="24"/>
        </w:rPr>
        <w:t>（3）未按规定格式填写、内容不全或关键字迹模糊、无法辨认的；</w:t>
      </w:r>
    </w:p>
    <w:p w14:paraId="426928FE">
      <w:pPr>
        <w:wordWrap w:val="0"/>
        <w:spacing w:line="360" w:lineRule="auto"/>
        <w:ind w:firstLine="480" w:firstLineChars="200"/>
        <w:rPr>
          <w:rFonts w:ascii="宋体" w:hAnsi="宋体" w:cs="宋体"/>
          <w:sz w:val="24"/>
          <w:szCs w:val="24"/>
        </w:rPr>
      </w:pPr>
      <w:r>
        <w:rPr>
          <w:rFonts w:hint="eastAsia" w:ascii="宋体" w:hAnsi="宋体" w:cs="宋体"/>
          <w:sz w:val="24"/>
          <w:szCs w:val="24"/>
        </w:rPr>
        <w:t>（4）响应文件附有采购人不能接受的条件；</w:t>
      </w:r>
    </w:p>
    <w:p w14:paraId="227856F1">
      <w:pPr>
        <w:wordWrap w:val="0"/>
        <w:spacing w:line="360" w:lineRule="auto"/>
        <w:ind w:firstLine="480" w:firstLineChars="200"/>
        <w:rPr>
          <w:rFonts w:ascii="宋体" w:hAnsi="宋体" w:cs="宋体"/>
          <w:sz w:val="24"/>
          <w:szCs w:val="24"/>
        </w:rPr>
      </w:pPr>
      <w:r>
        <w:rPr>
          <w:rFonts w:hint="eastAsia" w:ascii="宋体" w:hAnsi="宋体" w:cs="宋体"/>
          <w:sz w:val="24"/>
          <w:szCs w:val="24"/>
        </w:rPr>
        <w:t>（5）不符合竞争性磋商文件规定的其他实质性要求。</w:t>
      </w:r>
    </w:p>
    <w:p w14:paraId="52FF62B4">
      <w:pPr>
        <w:wordWrap w:val="0"/>
        <w:spacing w:line="360" w:lineRule="auto"/>
        <w:ind w:firstLine="480" w:firstLineChars="200"/>
        <w:rPr>
          <w:rFonts w:ascii="宋体" w:hAnsi="宋体" w:cs="宋体"/>
          <w:sz w:val="24"/>
          <w:szCs w:val="24"/>
        </w:rPr>
      </w:pPr>
      <w:bookmarkStart w:id="857" w:name="_Toc32028"/>
      <w:r>
        <w:rPr>
          <w:rFonts w:hint="eastAsia" w:ascii="宋体" w:hAnsi="宋体" w:cs="宋体"/>
          <w:sz w:val="24"/>
          <w:szCs w:val="24"/>
        </w:rPr>
        <w:t>3.2 详细评审</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278BDD35">
      <w:pPr>
        <w:wordWrap w:val="0"/>
        <w:spacing w:line="360" w:lineRule="auto"/>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磋商小组按本章第2.2款规定的量化因素和分值进行打分，并计算出综合评分得分。</w:t>
      </w:r>
    </w:p>
    <w:p w14:paraId="5BDE5109">
      <w:pPr>
        <w:wordWrap w:val="0"/>
        <w:spacing w:line="360" w:lineRule="auto"/>
        <w:ind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14:paraId="05D1B549">
      <w:pPr>
        <w:wordWrap w:val="0"/>
        <w:spacing w:line="360" w:lineRule="auto"/>
        <w:ind w:firstLine="480" w:firstLineChars="200"/>
        <w:rPr>
          <w:rFonts w:ascii="宋体" w:hAnsi="宋体" w:cs="宋体"/>
          <w:sz w:val="24"/>
          <w:szCs w:val="24"/>
        </w:rPr>
      </w:pPr>
      <w:r>
        <w:rPr>
          <w:rFonts w:hint="eastAsia" w:ascii="宋体" w:hAnsi="宋体" w:cs="宋体"/>
          <w:sz w:val="24"/>
          <w:szCs w:val="24"/>
        </w:rPr>
        <w:t>3.2.3 供应商的最终得分以全部小组成员打分的算术平均值为准，作为该供应商的最终得分。</w:t>
      </w:r>
    </w:p>
    <w:p w14:paraId="1D95037B">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7CD9BCAA">
      <w:pPr>
        <w:autoSpaceDE w:val="0"/>
        <w:autoSpaceDN w:val="0"/>
        <w:adjustRightInd w:val="0"/>
        <w:spacing w:line="336" w:lineRule="auto"/>
        <w:ind w:firstLine="482" w:firstLineChars="200"/>
        <w:jc w:val="left"/>
        <w:rPr>
          <w:rFonts w:hint="eastAsia" w:ascii="宋体" w:hAnsi="宋体" w:cs="宋体"/>
          <w:b/>
          <w:bCs/>
          <w:spacing w:val="1"/>
          <w:kern w:val="0"/>
          <w:sz w:val="24"/>
          <w:szCs w:val="24"/>
        </w:rPr>
      </w:pPr>
      <w:r>
        <w:rPr>
          <w:rFonts w:hint="eastAsia" w:ascii="宋体" w:hAnsi="宋体" w:eastAsia="宋体" w:cs="宋体"/>
          <w:b/>
          <w:bCs/>
          <w:color w:val="auto"/>
          <w:sz w:val="24"/>
          <w:szCs w:val="24"/>
          <w:lang w:val="en-US" w:eastAsia="zh-CN"/>
        </w:rPr>
        <w:t>3.2.5</w:t>
      </w:r>
      <w:r>
        <w:rPr>
          <w:rFonts w:hint="eastAsia" w:ascii="宋体" w:hAnsi="宋体" w:cs="宋体"/>
          <w:b/>
          <w:bCs/>
          <w:color w:val="auto"/>
          <w:sz w:val="24"/>
          <w:szCs w:val="24"/>
          <w:lang w:val="en-US" w:eastAsia="zh-CN"/>
        </w:rPr>
        <w:t xml:space="preserve"> </w:t>
      </w:r>
      <w:r>
        <w:rPr>
          <w:rFonts w:hint="eastAsia" w:ascii="宋体" w:hAnsi="宋体" w:cs="宋体"/>
          <w:b/>
          <w:bCs/>
          <w:spacing w:val="1"/>
          <w:kern w:val="0"/>
          <w:sz w:val="24"/>
          <w:szCs w:val="24"/>
        </w:rPr>
        <w:t>关于小微企业、监狱企业、残疾人福利性单位产品</w:t>
      </w:r>
      <w:r>
        <w:rPr>
          <w:rFonts w:hint="eastAsia" w:ascii="宋体" w:hAnsi="宋体" w:cs="宋体"/>
          <w:b/>
          <w:bCs/>
          <w:spacing w:val="1"/>
          <w:kern w:val="0"/>
          <w:sz w:val="24"/>
          <w:szCs w:val="24"/>
          <w:lang w:val="en-US" w:eastAsia="zh-CN"/>
        </w:rPr>
        <w:t>及本国产品</w:t>
      </w:r>
      <w:r>
        <w:rPr>
          <w:rFonts w:hint="eastAsia" w:ascii="宋体" w:hAnsi="宋体" w:cs="宋体"/>
          <w:b/>
          <w:bCs/>
          <w:spacing w:val="1"/>
          <w:kern w:val="0"/>
          <w:sz w:val="24"/>
          <w:szCs w:val="24"/>
        </w:rPr>
        <w:t>价格扣除</w:t>
      </w:r>
    </w:p>
    <w:p w14:paraId="57375C2F">
      <w:pPr>
        <w:wordWrap w:val="0"/>
        <w:spacing w:line="360" w:lineRule="auto"/>
        <w:ind w:firstLine="480" w:firstLineChars="200"/>
        <w:rPr>
          <w:rFonts w:hint="eastAsia" w:asciiTheme="minorEastAsia" w:hAnsiTheme="minorEastAsia" w:eastAsiaTheme="minorEastAsia" w:cstheme="minorEastAsia"/>
          <w:sz w:val="24"/>
          <w:szCs w:val="24"/>
          <w:lang w:eastAsia="zh-CN"/>
        </w:rPr>
      </w:pPr>
    </w:p>
    <w:p w14:paraId="6B064338">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1、小型微型企业认定及评标价格评审</w:t>
      </w:r>
    </w:p>
    <w:tbl>
      <w:tblPr>
        <w:tblStyle w:val="46"/>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14:paraId="7CF6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14:paraId="273F4E9C">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14:paraId="0CA13A67">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14:paraId="68CBB7E7">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14:paraId="03D588A3">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14:paraId="3023C123">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14:paraId="3296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14:paraId="0213AE34">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14:paraId="7E2C436D">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14:paraId="606985B8">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14:paraId="489B5B77">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2326" w:type="dxa"/>
            <w:tcBorders>
              <w:top w:val="single" w:color="000000" w:sz="2" w:space="0"/>
              <w:bottom w:val="single" w:color="000000" w:sz="2" w:space="0"/>
            </w:tcBorders>
            <w:vAlign w:val="center"/>
          </w:tcPr>
          <w:p w14:paraId="2DE65952">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r>
    </w:tbl>
    <w:p w14:paraId="22094014">
      <w:pPr>
        <w:spacing w:line="360" w:lineRule="auto"/>
        <w:ind w:firstLine="420"/>
        <w:rPr>
          <w:rFonts w:hint="eastAsia" w:asciiTheme="minorEastAsia" w:hAnsiTheme="minorEastAsia" w:eastAsiaTheme="minorEastAsia" w:cstheme="minorEastAsia"/>
          <w:sz w:val="24"/>
          <w:szCs w:val="24"/>
          <w:lang w:val="en-US" w:eastAsia="zh-CN"/>
        </w:rPr>
      </w:pPr>
    </w:p>
    <w:p w14:paraId="6C204506">
      <w:pPr>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根据《政府采购促进中小企业发展管理办法》(财库[2020]46号) 、财政部《关于进一步加大政府采购支持中小企业力度的通知》（财库〔2022〕19号）的规定</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lang w:eastAsia="zh-CN"/>
        </w:rPr>
        <w:t>《工业和信息化部、国家统计局、国家发展和改革委员会、财政部关于印发中小企业划型标准规定的通知》(工信部联企业[2011]300 号)文件</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，对小型和微型企业的价格给予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%的扣除，用扣除后的价格参与评审。</w:t>
      </w:r>
    </w:p>
    <w:p w14:paraId="22998091">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3、根据财政部、司法部联合印发《关于政府采购支持监狱企业发展有关问题的通知》(财库[201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p>
    <w:p w14:paraId="15412BF7">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(见响应文件格式),并对声明的真实性负责。</w:t>
      </w:r>
    </w:p>
    <w:p w14:paraId="0548718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根据(财政部国家环保总局联合印发《关于环境标志产品政府采购实施的意见》的通知) （财库[20</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eastAsia="zh-CN"/>
        </w:rPr>
        <w:t>]90号）文件的有关要求，投标人本次投标活动中， 如果所投设备属于最新发布“环境标志产品政府采购清单”中的品目时，在性能、技术、服务等指标同等条件下，将优先采购清单中的产品。</w:t>
      </w:r>
    </w:p>
    <w:p w14:paraId="7E2DE0F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根据(财政部国家发展改革委关于印发《节能产品政府采购实施意见》的通知) （财库[20</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lang w:eastAsia="zh-CN"/>
        </w:rPr>
        <w:t>]185号）文件的有关要求，投标人本次投标活动中， 如果所投设备属于最新发布“节能产品政府采购清单”中的品目时，在性能、技术、服务等指标同等条件下，将优先采购清单中的产品。</w:t>
      </w:r>
    </w:p>
    <w:p w14:paraId="1F638955">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根据《国务院办公厅关于在政府采购中实施本国产品标准及相关政策的通知》（国办发〔2025〕34号）文件的有关</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，投标人本次投标活动中所投设备属于本国产品</w:t>
      </w:r>
      <w:r>
        <w:rPr>
          <w:rFonts w:hint="eastAsia" w:asciiTheme="minorEastAsia" w:hAnsiTheme="minorEastAsia" w:eastAsiaTheme="minorEastAsia" w:cstheme="minorEastAsia"/>
          <w:sz w:val="24"/>
          <w:szCs w:val="24"/>
          <w:lang w:val="en-US" w:eastAsia="zh-CN"/>
        </w:rPr>
        <w:t>参与竞争，同时供应商出具</w:t>
      </w:r>
      <w:r>
        <w:rPr>
          <w:rFonts w:hint="eastAsia" w:asciiTheme="minorEastAsia" w:hAnsiTheme="minorEastAsia" w:eastAsiaTheme="minorEastAsia" w:cstheme="minorEastAsia"/>
          <w:sz w:val="24"/>
          <w:szCs w:val="24"/>
          <w:lang w:eastAsia="zh-CN"/>
        </w:rPr>
        <w:t>《关于符合本国产品标准的声明函》</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lang w:eastAsia="zh-CN"/>
        </w:rPr>
        <w:t>，该产品视为本国产品，依法对本国产品给予价格评审优惠，对本国产品的报价给予20%的价格扣除，用扣除后的价格参与评审。</w:t>
      </w:r>
    </w:p>
    <w:p w14:paraId="4462CEDF">
      <w:pPr>
        <w:wordWrap w:val="0"/>
        <w:spacing w:line="360" w:lineRule="auto"/>
        <w:ind w:firstLine="486" w:firstLineChars="200"/>
        <w:rPr>
          <w:rFonts w:hint="eastAsia" w:ascii="宋体" w:hAnsi="宋体" w:cs="宋体"/>
          <w:b/>
          <w:bCs/>
          <w:spacing w:val="1"/>
          <w:kern w:val="0"/>
          <w:sz w:val="24"/>
          <w:szCs w:val="24"/>
        </w:rPr>
      </w:pPr>
      <w:r>
        <w:rPr>
          <w:rFonts w:hint="eastAsia" w:ascii="宋体" w:hAnsi="宋体" w:cs="宋体"/>
          <w:b/>
          <w:bCs/>
          <w:spacing w:val="1"/>
          <w:kern w:val="0"/>
          <w:sz w:val="24"/>
          <w:szCs w:val="24"/>
          <w:lang w:val="en-US" w:eastAsia="zh-CN"/>
        </w:rPr>
        <w:t>3.2.6</w:t>
      </w:r>
      <w:r>
        <w:rPr>
          <w:rFonts w:hint="eastAsia" w:ascii="宋体" w:hAnsi="宋体" w:cs="宋体"/>
          <w:b/>
          <w:bCs/>
          <w:spacing w:val="1"/>
          <w:kern w:val="0"/>
          <w:sz w:val="24"/>
          <w:szCs w:val="24"/>
        </w:rPr>
        <w:t xml:space="preserve"> 相同品牌产品投标的规定</w:t>
      </w:r>
    </w:p>
    <w:p w14:paraId="5440A31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1、</w:t>
      </w:r>
      <w:r>
        <w:rPr>
          <w:rFonts w:hint="eastAsia" w:ascii="宋体" w:hAnsi="宋体" w:eastAsia="宋体" w:cs="宋体"/>
          <w:spacing w:val="1"/>
          <w:kern w:val="0"/>
          <w:sz w:val="24"/>
          <w:szCs w:val="24"/>
        </w:rPr>
        <w:t>采用最</w:t>
      </w:r>
      <w:r>
        <w:rPr>
          <w:rFonts w:hint="eastAsia" w:ascii="宋体" w:hAnsi="宋体" w:cs="宋体"/>
          <w:spacing w:val="1"/>
          <w:kern w:val="0"/>
          <w:sz w:val="24"/>
          <w:szCs w:val="24"/>
        </w:rPr>
        <w:t>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2A37DBD8">
      <w:pPr>
        <w:autoSpaceDE w:val="0"/>
        <w:autoSpaceDN w:val="0"/>
        <w:adjustRightInd w:val="0"/>
        <w:spacing w:line="360" w:lineRule="auto"/>
        <w:ind w:firstLine="484" w:firstLineChars="200"/>
        <w:jc w:val="left"/>
        <w:rPr>
          <w:rFonts w:hint="eastAsia" w:ascii="宋体" w:hAnsi="宋体" w:eastAsia="宋体" w:cs="宋体"/>
          <w:b/>
          <w:bCs/>
          <w:color w:val="auto"/>
          <w:sz w:val="24"/>
          <w:szCs w:val="24"/>
        </w:rPr>
      </w:pPr>
      <w:r>
        <w:rPr>
          <w:rFonts w:hint="eastAsia" w:ascii="宋体" w:hAnsi="宋体" w:cs="宋体"/>
          <w:spacing w:val="1"/>
          <w:kern w:val="0"/>
          <w:sz w:val="24"/>
          <w:szCs w:val="24"/>
          <w:lang w:val="en-US" w:eastAsia="zh-CN"/>
        </w:rPr>
        <w:t xml:space="preserve">2、 </w:t>
      </w:r>
      <w:r>
        <w:rPr>
          <w:rFonts w:hint="eastAsia" w:ascii="宋体" w:hAnsi="宋体" w:cs="宋体"/>
          <w:spacing w:val="1"/>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33239F60">
      <w:pPr>
        <w:wordWrap w:val="0"/>
        <w:spacing w:line="360" w:lineRule="auto"/>
        <w:ind w:firstLine="480" w:firstLineChars="200"/>
        <w:rPr>
          <w:rFonts w:ascii="宋体" w:hAnsi="宋体" w:cs="宋体"/>
          <w:sz w:val="24"/>
          <w:szCs w:val="24"/>
        </w:rPr>
      </w:pPr>
      <w:bookmarkStart w:id="858" w:name="_Toc466298146"/>
      <w:bookmarkStart w:id="859" w:name="_Toc8342"/>
      <w:bookmarkStart w:id="860" w:name="_Toc11958"/>
      <w:bookmarkStart w:id="861" w:name="_Toc12374"/>
      <w:bookmarkStart w:id="862" w:name="_Toc24862"/>
      <w:bookmarkStart w:id="863" w:name="_Toc10153"/>
      <w:bookmarkStart w:id="864" w:name="_Toc2657"/>
      <w:bookmarkStart w:id="865" w:name="_Toc281405535"/>
      <w:bookmarkStart w:id="866" w:name="_Toc28633"/>
      <w:bookmarkStart w:id="867" w:name="_Toc8813"/>
      <w:bookmarkStart w:id="868" w:name="_Toc455867823"/>
      <w:bookmarkStart w:id="869" w:name="_Toc455080163"/>
      <w:bookmarkStart w:id="870" w:name="_Toc12603"/>
      <w:bookmarkStart w:id="871" w:name="_Toc490667882"/>
      <w:bookmarkStart w:id="872" w:name="_Toc331"/>
      <w:bookmarkStart w:id="873" w:name="_Toc318450729"/>
      <w:bookmarkStart w:id="874" w:name="_Toc22084"/>
      <w:r>
        <w:rPr>
          <w:rFonts w:hint="eastAsia" w:ascii="宋体" w:hAnsi="宋体" w:cs="宋体"/>
          <w:sz w:val="24"/>
          <w:szCs w:val="24"/>
          <w:lang w:val="en-US" w:eastAsia="zh-CN"/>
        </w:rPr>
        <w:t>3、</w:t>
      </w:r>
      <w:r>
        <w:rPr>
          <w:rFonts w:hint="eastAsia" w:ascii="宋体" w:hAnsi="宋体" w:cs="宋体"/>
          <w:sz w:val="24"/>
          <w:szCs w:val="24"/>
        </w:rPr>
        <w:t>响应文件的澄清和补正</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494E25B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在磋商过程中，磋商小组可以书面形式要求供应商对所提交的响应文件中不明确的内容进行书面澄清或说明，或者对细微偏离进行补正。磋商小组不接受供应商主动提出的澄清、说明或补正。</w:t>
      </w:r>
    </w:p>
    <w:p w14:paraId="4243446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澄清、说明和补正不得超出响应文件的范围或者改变响应文件的实质性内容（算术性错误修正的除外）。供应商的书面澄清、说明和补正属于响应文件的组成部分。</w:t>
      </w:r>
    </w:p>
    <w:p w14:paraId="073683E9">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 xml:space="preserve"> 磋商小组对供应商提交的澄清、说明或补正有疑问的，可以要求供应商进一步澄清、说明或补正，直至满足磋商小组的要求。</w:t>
      </w:r>
    </w:p>
    <w:p w14:paraId="13843EAA">
      <w:pPr>
        <w:wordWrap w:val="0"/>
        <w:spacing w:line="360" w:lineRule="auto"/>
        <w:ind w:firstLine="480" w:firstLineChars="200"/>
        <w:rPr>
          <w:rFonts w:ascii="宋体" w:hAnsi="宋体" w:cs="宋体"/>
          <w:sz w:val="24"/>
          <w:szCs w:val="24"/>
        </w:rPr>
      </w:pPr>
      <w:bookmarkStart w:id="875" w:name="_Toc22986"/>
      <w:bookmarkStart w:id="876" w:name="_Toc22682"/>
      <w:bookmarkStart w:id="877" w:name="_Toc5903"/>
      <w:bookmarkStart w:id="878" w:name="_Toc1857"/>
      <w:bookmarkStart w:id="879" w:name="_Toc26894"/>
      <w:bookmarkStart w:id="880" w:name="_Toc30053"/>
      <w:bookmarkStart w:id="881" w:name="_Toc281405536"/>
      <w:bookmarkStart w:id="882" w:name="_Toc455080164"/>
      <w:bookmarkStart w:id="883" w:name="_Toc19453"/>
      <w:bookmarkStart w:id="884" w:name="_Toc19938"/>
      <w:bookmarkStart w:id="885" w:name="_Toc32183"/>
      <w:bookmarkStart w:id="886" w:name="_Toc466298147"/>
      <w:bookmarkStart w:id="887" w:name="_Toc22049"/>
      <w:bookmarkStart w:id="888" w:name="_Toc455867824"/>
      <w:bookmarkStart w:id="889" w:name="_Toc14789"/>
      <w:bookmarkStart w:id="890" w:name="_Toc490667883"/>
      <w:bookmarkStart w:id="891" w:name="_Toc318450730"/>
      <w:r>
        <w:rPr>
          <w:rFonts w:hint="eastAsia" w:ascii="宋体" w:hAnsi="宋体" w:cs="宋体"/>
          <w:sz w:val="24"/>
          <w:szCs w:val="24"/>
          <w:lang w:val="en-US" w:eastAsia="zh-CN"/>
        </w:rPr>
        <w:t>4、</w:t>
      </w:r>
      <w:r>
        <w:rPr>
          <w:rFonts w:hint="eastAsia" w:ascii="宋体" w:hAnsi="宋体" w:cs="宋体"/>
          <w:sz w:val="24"/>
          <w:szCs w:val="24"/>
        </w:rPr>
        <w:t xml:space="preserve"> 评审结果</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3DD049C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除第二章“供应商须知”前附表授权直接确定成交人外，磋商小组按照得分由高到低的顺序推荐成交候选人。</w:t>
      </w:r>
    </w:p>
    <w:p w14:paraId="6D85693E">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磋商小组完成评审后，应当向采购人提交书面评审报告。</w:t>
      </w:r>
    </w:p>
    <w:p w14:paraId="5BDFD7E5">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评标结果在发布招标公告的同一媒介上公示。</w:t>
      </w:r>
      <w:bookmarkStart w:id="892" w:name="_Toc30580"/>
    </w:p>
    <w:p w14:paraId="40976505">
      <w:pPr>
        <w:wordWrap w:val="0"/>
        <w:spacing w:line="360" w:lineRule="auto"/>
        <w:ind w:firstLine="482" w:firstLineChars="200"/>
        <w:rPr>
          <w:rFonts w:hint="eastAsia" w:ascii="宋体" w:hAnsi="宋体" w:cs="宋体"/>
          <w:b/>
          <w:sz w:val="24"/>
          <w:szCs w:val="24"/>
        </w:rPr>
      </w:pPr>
      <w:bookmarkStart w:id="893" w:name="_Toc11613"/>
      <w:bookmarkStart w:id="894" w:name="_Toc29937"/>
      <w:bookmarkStart w:id="895" w:name="_Toc14521"/>
      <w:bookmarkStart w:id="896" w:name="_Toc16109"/>
      <w:bookmarkStart w:id="897" w:name="_Toc18565"/>
      <w:bookmarkStart w:id="898" w:name="_Toc25046"/>
      <w:r>
        <w:rPr>
          <w:rFonts w:hint="eastAsia" w:ascii="宋体" w:hAnsi="宋体" w:cs="宋体"/>
          <w:b/>
          <w:sz w:val="24"/>
          <w:szCs w:val="24"/>
        </w:rPr>
        <w:t>附件：废标条件</w:t>
      </w:r>
      <w:bookmarkEnd w:id="892"/>
      <w:bookmarkEnd w:id="893"/>
      <w:bookmarkEnd w:id="894"/>
      <w:bookmarkEnd w:id="895"/>
      <w:bookmarkEnd w:id="896"/>
      <w:bookmarkEnd w:id="897"/>
      <w:bookmarkEnd w:id="898"/>
    </w:p>
    <w:p w14:paraId="1C138B5C">
      <w:pPr>
        <w:wordWrap w:val="0"/>
        <w:spacing w:line="360" w:lineRule="auto"/>
        <w:ind w:firstLine="482" w:firstLineChars="200"/>
        <w:rPr>
          <w:rFonts w:ascii="宋体" w:hAnsi="宋体" w:cs="宋体"/>
          <w:b/>
          <w:sz w:val="24"/>
          <w:szCs w:val="24"/>
        </w:rPr>
      </w:pPr>
      <w:r>
        <w:rPr>
          <w:rFonts w:hint="eastAsia" w:ascii="宋体" w:hAnsi="宋体" w:cs="宋体"/>
          <w:b/>
          <w:sz w:val="24"/>
          <w:szCs w:val="24"/>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0129F2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1.未通过第三章评标办法资格评审、符合性评审的；</w:t>
      </w:r>
    </w:p>
    <w:p w14:paraId="13BA08A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2.不按磋商小组要求澄清、说明或补正的；</w:t>
      </w:r>
    </w:p>
    <w:p w14:paraId="6CA8C6D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3.磋商报价有算术性错误，供应商不接受修正价格的；</w:t>
      </w:r>
    </w:p>
    <w:p w14:paraId="0144080D">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4.以他人的名义投标、以行贿手段谋取中标或者以其他弄虚作假方式投标的；</w:t>
      </w:r>
    </w:p>
    <w:p w14:paraId="748A3221">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5.属于串（围）标行为的；</w:t>
      </w:r>
    </w:p>
    <w:p w14:paraId="52E83AD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.明显不符合技术规范、技术标准的要求；</w:t>
      </w:r>
    </w:p>
    <w:p w14:paraId="17D284B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.文件制作机器码、文件创建标识码有相同的；</w:t>
      </w:r>
    </w:p>
    <w:p w14:paraId="11FCEB12">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8</w:t>
      </w:r>
      <w:r>
        <w:rPr>
          <w:rFonts w:hint="eastAsia" w:ascii="宋体" w:hAnsi="宋体" w:cs="宋体"/>
          <w:b/>
          <w:sz w:val="24"/>
          <w:szCs w:val="24"/>
        </w:rPr>
        <w:t>.不符合竞争性磋商文件规定的其他实质性要求及相关法律、法规或规章规定可以废标的其他情形；</w:t>
      </w:r>
    </w:p>
    <w:bookmarkEnd w:id="756"/>
    <w:p w14:paraId="75CB1A16">
      <w:pPr>
        <w:rPr>
          <w:rFonts w:hint="eastAsia" w:ascii="宋体" w:hAnsi="宋体" w:cs="宋体"/>
          <w:b/>
          <w:bCs/>
          <w:kern w:val="44"/>
          <w:sz w:val="44"/>
          <w:szCs w:val="44"/>
        </w:rPr>
      </w:pPr>
      <w:bookmarkStart w:id="899" w:name="_Toc9407"/>
      <w:bookmarkStart w:id="900" w:name="_Toc2311"/>
      <w:bookmarkStart w:id="901" w:name="_Toc26853"/>
      <w:bookmarkStart w:id="902" w:name="_Toc19439"/>
      <w:r>
        <w:rPr>
          <w:rFonts w:hint="eastAsia" w:ascii="宋体" w:hAnsi="宋体" w:cs="宋体"/>
          <w:b/>
          <w:bCs/>
          <w:kern w:val="44"/>
          <w:sz w:val="44"/>
          <w:szCs w:val="44"/>
        </w:rPr>
        <w:br w:type="page"/>
      </w:r>
    </w:p>
    <w:p w14:paraId="3AF45B9C">
      <w:p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44"/>
          <w:sz w:val="44"/>
          <w:szCs w:val="44"/>
        </w:rPr>
        <w:t>第四章 河南省政府采购合同（参考文本）</w:t>
      </w:r>
      <w:bookmarkEnd w:id="899"/>
      <w:bookmarkEnd w:id="900"/>
      <w:bookmarkEnd w:id="901"/>
      <w:bookmarkEnd w:id="902"/>
      <w:bookmarkStart w:id="903" w:name="_Toc486587369"/>
    </w:p>
    <w:p w14:paraId="712AB68E">
      <w:pPr>
        <w:bidi w:val="0"/>
      </w:pPr>
    </w:p>
    <w:p w14:paraId="6F75E62B">
      <w:pPr>
        <w:spacing w:before="104" w:line="221" w:lineRule="auto"/>
        <w:rPr>
          <w:rFonts w:ascii="黑体" w:hAnsi="黑体" w:eastAsia="黑体" w:cs="黑体"/>
          <w:sz w:val="32"/>
          <w:szCs w:val="32"/>
        </w:rPr>
      </w:pPr>
      <w:r>
        <w:rPr>
          <w:rFonts w:ascii="黑体" w:hAnsi="黑体" w:eastAsia="黑体" w:cs="黑体"/>
          <w:sz w:val="32"/>
          <w:szCs w:val="32"/>
        </w:rPr>
        <w:t>附件</w:t>
      </w:r>
      <w:r>
        <w:rPr>
          <w:rFonts w:ascii="黑体" w:hAnsi="黑体" w:eastAsia="黑体" w:cs="黑体"/>
          <w:spacing w:val="-1"/>
          <w:sz w:val="32"/>
          <w:szCs w:val="32"/>
        </w:rPr>
        <w:t xml:space="preserve"> </w:t>
      </w:r>
      <w:r>
        <w:rPr>
          <w:rFonts w:ascii="黑体" w:hAnsi="黑体" w:eastAsia="黑体" w:cs="黑体"/>
          <w:sz w:val="32"/>
          <w:szCs w:val="32"/>
        </w:rPr>
        <w:t>1-1</w:t>
      </w:r>
      <w:r>
        <w:rPr>
          <w:rFonts w:ascii="黑体" w:hAnsi="黑体" w:eastAsia="黑体" w:cs="黑体"/>
          <w:spacing w:val="-104"/>
          <w:sz w:val="32"/>
          <w:szCs w:val="32"/>
        </w:rPr>
        <w:t>：</w:t>
      </w:r>
      <w:r>
        <w:rPr>
          <w:rFonts w:ascii="黑体" w:hAnsi="黑体" w:eastAsia="黑体" w:cs="黑体"/>
          <w:sz w:val="32"/>
          <w:szCs w:val="32"/>
        </w:rPr>
        <w:t>货物类</w:t>
      </w:r>
    </w:p>
    <w:p w14:paraId="6478EDF3">
      <w:pPr>
        <w:spacing w:line="244" w:lineRule="auto"/>
        <w:rPr>
          <w:rFonts w:ascii="Arial"/>
          <w:sz w:val="21"/>
        </w:rPr>
      </w:pPr>
    </w:p>
    <w:p w14:paraId="0B485EA0">
      <w:pPr>
        <w:spacing w:line="244" w:lineRule="auto"/>
        <w:rPr>
          <w:rFonts w:ascii="Arial"/>
          <w:sz w:val="21"/>
        </w:rPr>
      </w:pPr>
    </w:p>
    <w:p w14:paraId="46F8E6B0">
      <w:pPr>
        <w:spacing w:line="244" w:lineRule="auto"/>
        <w:rPr>
          <w:rFonts w:ascii="Arial"/>
          <w:sz w:val="21"/>
        </w:rPr>
      </w:pPr>
    </w:p>
    <w:p w14:paraId="2051AAAE">
      <w:pPr>
        <w:spacing w:line="245" w:lineRule="auto"/>
        <w:rPr>
          <w:rFonts w:ascii="Arial"/>
          <w:sz w:val="21"/>
        </w:rPr>
      </w:pPr>
    </w:p>
    <w:p w14:paraId="5B51F87A">
      <w:pPr>
        <w:spacing w:before="234" w:line="220" w:lineRule="auto"/>
        <w:ind w:left="0" w:leftChars="0" w:firstLine="0" w:firstLineChars="0"/>
        <w:jc w:val="center"/>
        <w:rPr>
          <w:rFonts w:ascii="宋体" w:hAnsi="宋体" w:eastAsia="宋体" w:cs="宋体"/>
          <w:sz w:val="72"/>
          <w:szCs w:val="72"/>
        </w:rPr>
      </w:pPr>
      <w:r>
        <w:rPr>
          <w:rFonts w:ascii="宋体" w:hAnsi="宋体" w:eastAsia="宋体" w:cs="宋体"/>
          <w:spacing w:val="-2"/>
          <w:sz w:val="72"/>
          <w:szCs w:val="72"/>
        </w:rPr>
        <w:t>政府采购合同</w:t>
      </w:r>
    </w:p>
    <w:p w14:paraId="59234215">
      <w:pPr>
        <w:spacing w:line="249" w:lineRule="auto"/>
        <w:rPr>
          <w:rFonts w:ascii="Arial"/>
          <w:sz w:val="21"/>
        </w:rPr>
      </w:pPr>
    </w:p>
    <w:p w14:paraId="24FBF2B3">
      <w:pPr>
        <w:spacing w:line="249" w:lineRule="auto"/>
        <w:rPr>
          <w:rFonts w:ascii="Arial"/>
          <w:sz w:val="21"/>
        </w:rPr>
      </w:pPr>
    </w:p>
    <w:p w14:paraId="1F141A89">
      <w:pPr>
        <w:spacing w:line="250" w:lineRule="auto"/>
        <w:rPr>
          <w:rFonts w:ascii="Arial"/>
          <w:sz w:val="21"/>
        </w:rPr>
      </w:pPr>
    </w:p>
    <w:p w14:paraId="4ADF22D1">
      <w:pPr>
        <w:spacing w:line="250" w:lineRule="auto"/>
        <w:rPr>
          <w:rFonts w:ascii="Arial"/>
          <w:sz w:val="21"/>
        </w:rPr>
      </w:pPr>
    </w:p>
    <w:p w14:paraId="56D38BB0">
      <w:pPr>
        <w:spacing w:line="250" w:lineRule="auto"/>
        <w:rPr>
          <w:rFonts w:ascii="Arial"/>
          <w:sz w:val="21"/>
        </w:rPr>
      </w:pPr>
    </w:p>
    <w:p w14:paraId="0CB7BF47">
      <w:pPr>
        <w:spacing w:line="250" w:lineRule="auto"/>
        <w:rPr>
          <w:rFonts w:ascii="Arial"/>
          <w:sz w:val="21"/>
        </w:rPr>
      </w:pPr>
    </w:p>
    <w:p w14:paraId="48919000">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pacing w:val="-5"/>
          <w:sz w:val="32"/>
          <w:szCs w:val="32"/>
          <w:u w:val="single" w:color="auto"/>
        </w:rPr>
        <w:t xml:space="preserve">                                   </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5A5FD4A7">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招标采购文件编号</w:t>
      </w:r>
      <w:r>
        <w:rPr>
          <w:rFonts w:hint="eastAsia" w:ascii="宋体" w:hAnsi="宋体" w:eastAsia="宋体" w:cs="宋体"/>
          <w:spacing w:val="-11"/>
          <w:sz w:val="32"/>
          <w:szCs w:val="32"/>
        </w:rPr>
        <w:t>：</w:t>
      </w:r>
      <w:r>
        <w:rPr>
          <w:rFonts w:hint="eastAsia" w:ascii="宋体" w:hAnsi="宋体" w:eastAsia="宋体" w:cs="宋体"/>
          <w:spacing w:val="-6"/>
          <w:sz w:val="32"/>
          <w:szCs w:val="32"/>
          <w:u w:val="single" w:color="auto"/>
        </w:rPr>
        <w:t xml:space="preserve">                            </w:t>
      </w:r>
      <w:r>
        <w:rPr>
          <w:rFonts w:hint="eastAsia" w:ascii="宋体" w:hAnsi="宋体" w:eastAsia="宋体" w:cs="宋体"/>
          <w:sz w:val="32"/>
          <w:szCs w:val="32"/>
        </w:rPr>
        <w:t xml:space="preserve"> </w:t>
      </w:r>
    </w:p>
    <w:p w14:paraId="0C23EC18">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甲方合同编号</w:t>
      </w:r>
      <w:r>
        <w:rPr>
          <w:rFonts w:hint="eastAsia" w:ascii="宋体" w:hAnsi="宋体" w:eastAsia="宋体" w:cs="宋体"/>
          <w:spacing w:val="-19"/>
          <w:sz w:val="32"/>
          <w:szCs w:val="32"/>
        </w:rPr>
        <w:t>：</w:t>
      </w:r>
      <w:r>
        <w:rPr>
          <w:rFonts w:hint="eastAsia" w:ascii="宋体" w:hAnsi="宋体" w:eastAsia="宋体" w:cs="宋体"/>
          <w:spacing w:val="-5"/>
          <w:sz w:val="32"/>
          <w:szCs w:val="32"/>
          <w:u w:val="single" w:color="auto"/>
        </w:rPr>
        <w:t xml:space="preserve">                                </w:t>
      </w:r>
      <w:r>
        <w:rPr>
          <w:rFonts w:hint="eastAsia" w:ascii="宋体" w:hAnsi="宋体" w:eastAsia="宋体" w:cs="宋体"/>
          <w:sz w:val="32"/>
          <w:szCs w:val="32"/>
        </w:rPr>
        <w:t xml:space="preserve"> </w:t>
      </w:r>
    </w:p>
    <w:p w14:paraId="03DADE66">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266B4BE3">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02CC487E">
      <w:pPr>
        <w:spacing w:before="104" w:line="363" w:lineRule="auto"/>
        <w:ind w:left="626" w:right="578" w:hanging="1"/>
        <w:rPr>
          <w:rFonts w:ascii="仿宋" w:hAnsi="仿宋" w:eastAsia="仿宋" w:cs="仿宋"/>
          <w:sz w:val="32"/>
          <w:szCs w:val="32"/>
        </w:rPr>
      </w:pPr>
      <w:r>
        <w:rPr>
          <w:rFonts w:hint="eastAsia" w:ascii="宋体" w:hAnsi="宋体" w:eastAsia="宋体" w:cs="宋体"/>
          <w:spacing w:val="-10"/>
          <w:sz w:val="32"/>
          <w:szCs w:val="32"/>
        </w:rPr>
        <w:t>甲</w:t>
      </w:r>
      <w:r>
        <w:rPr>
          <w:rFonts w:hint="eastAsia" w:ascii="宋体" w:hAnsi="宋体" w:eastAsia="宋体" w:cs="宋体"/>
          <w:spacing w:val="-9"/>
          <w:sz w:val="32"/>
          <w:szCs w:val="32"/>
        </w:rPr>
        <w:t>方合同法律审核部门</w:t>
      </w:r>
      <w:r>
        <w:rPr>
          <w:rFonts w:hint="eastAsia" w:ascii="宋体" w:hAnsi="宋体" w:eastAsia="宋体" w:cs="宋体"/>
          <w:spacing w:val="-171"/>
          <w:sz w:val="32"/>
          <w:szCs w:val="32"/>
        </w:rPr>
        <w:t>：</w:t>
      </w:r>
      <w:r>
        <w:rPr>
          <w:rFonts w:hint="eastAsia" w:ascii="宋体" w:hAnsi="宋体" w:eastAsia="宋体" w:cs="宋体"/>
          <w:sz w:val="32"/>
          <w:szCs w:val="32"/>
          <w:u w:val="single" w:color="auto"/>
        </w:rPr>
        <w:t xml:space="preserve">      </w:t>
      </w:r>
      <w:r>
        <w:rPr>
          <w:rFonts w:ascii="仿宋" w:hAnsi="仿宋" w:eastAsia="仿宋" w:cs="仿宋"/>
          <w:sz w:val="32"/>
          <w:szCs w:val="32"/>
          <w:u w:val="single" w:color="auto"/>
        </w:rPr>
        <w:t xml:space="preserve">                  </w:t>
      </w:r>
    </w:p>
    <w:p w14:paraId="77C70537"/>
    <w:p w14:paraId="57C1F614"/>
    <w:p w14:paraId="45CFA72D"/>
    <w:p w14:paraId="735FF7E4">
      <w:pPr>
        <w:pStyle w:val="21"/>
      </w:pPr>
    </w:p>
    <w:p w14:paraId="5BE795E9"/>
    <w:p w14:paraId="06545721">
      <w:pPr>
        <w:spacing w:line="91" w:lineRule="exact"/>
      </w:pPr>
    </w:p>
    <w:p w14:paraId="4C23D4BF">
      <w:pPr>
        <w:sectPr>
          <w:headerReference r:id="rId8" w:type="default"/>
          <w:footerReference r:id="rId9" w:type="default"/>
          <w:pgSz w:w="11905" w:h="16840"/>
          <w:pgMar w:top="1134" w:right="1134" w:bottom="1134" w:left="1417" w:header="0" w:footer="567" w:gutter="0"/>
          <w:pgNumType w:fmt="numberInDash"/>
          <w:cols w:space="720" w:num="1"/>
          <w:rtlGutter w:val="0"/>
        </w:sectPr>
      </w:pPr>
    </w:p>
    <w:p w14:paraId="772998DD">
      <w:pPr>
        <w:spacing w:before="64" w:line="184" w:lineRule="auto"/>
        <w:ind w:firstLine="1845"/>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pacing w:val="-86"/>
          <w:sz w:val="32"/>
          <w:szCs w:val="32"/>
        </w:rPr>
        <w:t>：</w:t>
      </w:r>
    </w:p>
    <w:p w14:paraId="738F1531">
      <w:pPr>
        <w:spacing w:line="14" w:lineRule="auto"/>
        <w:rPr>
          <w:rFonts w:hint="eastAsia" w:ascii="宋体" w:hAnsi="宋体" w:eastAsia="宋体" w:cs="宋体"/>
          <w:sz w:val="2"/>
        </w:rPr>
      </w:pPr>
      <w:r>
        <w:rPr>
          <w:rFonts w:hint="eastAsia" w:ascii="宋体" w:hAnsi="宋体" w:eastAsia="宋体" w:cs="宋体"/>
          <w:sz w:val="2"/>
          <w:szCs w:val="2"/>
        </w:rPr>
        <w:br w:type="column"/>
      </w:r>
    </w:p>
    <w:p w14:paraId="2A42A687">
      <w:pPr>
        <w:spacing w:before="62" w:line="184" w:lineRule="auto"/>
        <w:rPr>
          <w:rFonts w:hint="eastAsia" w:ascii="宋体" w:hAnsi="宋体" w:eastAsia="宋体" w:cs="宋体"/>
          <w:sz w:val="32"/>
          <w:szCs w:val="32"/>
        </w:rPr>
      </w:pPr>
      <w:r>
        <w:rPr>
          <w:rFonts w:hint="eastAsia" w:ascii="宋体" w:hAnsi="宋体" w:eastAsia="宋体" w:cs="宋体"/>
          <w:spacing w:val="4"/>
          <w:sz w:val="32"/>
          <w:szCs w:val="32"/>
        </w:rPr>
        <w:t>年</w:t>
      </w:r>
      <w:r>
        <w:rPr>
          <w:rFonts w:hint="eastAsia" w:ascii="宋体" w:hAnsi="宋体" w:eastAsia="宋体" w:cs="宋体"/>
          <w:spacing w:val="6"/>
          <w:sz w:val="32"/>
          <w:szCs w:val="32"/>
        </w:rPr>
        <w:t xml:space="preserve">   </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月</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日</w:t>
      </w:r>
    </w:p>
    <w:p w14:paraId="3E3A9F6F">
      <w:pPr>
        <w:sectPr>
          <w:type w:val="continuous"/>
          <w:pgSz w:w="11905" w:h="16840"/>
          <w:pgMar w:top="1134" w:right="1134" w:bottom="1134" w:left="1417" w:header="0" w:footer="0" w:gutter="0"/>
          <w:pgNumType w:fmt="numberInDash"/>
          <w:cols w:equalWidth="0" w:num="2">
            <w:col w:w="4613" w:space="100"/>
            <w:col w:w="4640"/>
          </w:cols>
          <w:rtlGutter w:val="0"/>
        </w:sectPr>
      </w:pPr>
    </w:p>
    <w:p w14:paraId="411692FC">
      <w:pPr>
        <w:spacing w:line="265" w:lineRule="auto"/>
        <w:rPr>
          <w:rFonts w:ascii="Arial"/>
          <w:sz w:val="21"/>
        </w:rPr>
      </w:pPr>
    </w:p>
    <w:p w14:paraId="15D70F3A">
      <w:pPr>
        <w:spacing w:line="266" w:lineRule="auto"/>
        <w:rPr>
          <w:rFonts w:ascii="Arial"/>
          <w:sz w:val="21"/>
        </w:rPr>
      </w:pPr>
    </w:p>
    <w:p w14:paraId="448CD68E">
      <w:pPr>
        <w:spacing w:before="78" w:line="360" w:lineRule="auto"/>
        <w:ind w:left="18" w:right="75"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委托（代理机构名称</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进行了政府采购</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按照评委会评 审推荐</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甲方确定乙方为中标单位</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现甲乙双方协商同意签订本合同</w:t>
      </w:r>
      <w:r>
        <w:rPr>
          <w:rFonts w:hint="eastAsia" w:asciiTheme="minorEastAsia" w:hAnsiTheme="minorEastAsia" w:eastAsiaTheme="minorEastAsia" w:cstheme="minorEastAsia"/>
          <w:spacing w:val="-24"/>
          <w:sz w:val="24"/>
          <w:szCs w:val="24"/>
        </w:rPr>
        <w:t>。</w:t>
      </w:r>
    </w:p>
    <w:p w14:paraId="5B406811">
      <w:pPr>
        <w:spacing w:line="217" w:lineRule="auto"/>
        <w:ind w:firstLine="495"/>
        <w:rPr>
          <w:rFonts w:hint="eastAsia" w:asciiTheme="minorEastAsia" w:hAnsiTheme="minorEastAsia" w:eastAsiaTheme="minorEastAsia" w:cstheme="minorEastAsia"/>
          <w:spacing w:val="4"/>
          <w:sz w:val="24"/>
          <w:szCs w:val="24"/>
        </w:rPr>
      </w:pPr>
    </w:p>
    <w:p w14:paraId="07CE043D">
      <w:pPr>
        <w:spacing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第一条</w:t>
      </w:r>
      <w:r>
        <w:rPr>
          <w:rFonts w:hint="eastAsia" w:asciiTheme="minorEastAsia" w:hAnsiTheme="minorEastAsia" w:eastAsiaTheme="minorEastAsia" w:cstheme="minorEastAsia"/>
          <w:spacing w:val="3"/>
          <w:sz w:val="24"/>
          <w:szCs w:val="24"/>
        </w:rPr>
        <w:t xml:space="preserve">  合同文件</w:t>
      </w:r>
    </w:p>
    <w:p w14:paraId="307AD10D">
      <w:pPr>
        <w:spacing w:before="185" w:line="360" w:lineRule="auto"/>
        <w:ind w:left="5" w:right="72"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下列与本次采购活动有关的文件及附件是本</w:t>
      </w:r>
      <w:r>
        <w:rPr>
          <w:rFonts w:hint="eastAsia" w:asciiTheme="minorEastAsia" w:hAnsiTheme="minorEastAsia" w:eastAsiaTheme="minorEastAsia" w:cstheme="minorEastAsia"/>
          <w:spacing w:val="2"/>
          <w:sz w:val="24"/>
          <w:szCs w:val="24"/>
        </w:rPr>
        <w:t>合同不可分割的组成部分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与本</w:t>
      </w:r>
      <w:r>
        <w:rPr>
          <w:rFonts w:hint="eastAsia" w:asciiTheme="minorEastAsia" w:hAnsiTheme="minorEastAsia" w:eastAsiaTheme="minorEastAsia" w:cstheme="minorEastAsia"/>
          <w:sz w:val="24"/>
          <w:szCs w:val="24"/>
        </w:rPr>
        <w:t xml:space="preserve"> 合同具有同等法律效力</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z w:val="24"/>
          <w:szCs w:val="24"/>
        </w:rPr>
        <w:t>这些文件包括但不限于</w:t>
      </w:r>
      <w:r>
        <w:rPr>
          <w:rFonts w:hint="eastAsia" w:asciiTheme="minorEastAsia" w:hAnsiTheme="minorEastAsia" w:eastAsiaTheme="minorEastAsia" w:cstheme="minorEastAsia"/>
          <w:spacing w:val="-36"/>
          <w:sz w:val="24"/>
          <w:szCs w:val="24"/>
        </w:rPr>
        <w:t>：</w:t>
      </w:r>
    </w:p>
    <w:p w14:paraId="50CB8B32">
      <w:pPr>
        <w:spacing w:line="468" w:lineRule="exact"/>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1.（××号</w:t>
      </w:r>
      <w:r>
        <w:rPr>
          <w:rFonts w:hint="eastAsia" w:asciiTheme="minorEastAsia" w:hAnsiTheme="minorEastAsia" w:eastAsiaTheme="minorEastAsia" w:cstheme="minorEastAsia"/>
          <w:spacing w:val="-23"/>
          <w:position w:val="17"/>
          <w:sz w:val="24"/>
          <w:szCs w:val="24"/>
        </w:rPr>
        <w:t>）</w:t>
      </w:r>
      <w:r>
        <w:rPr>
          <w:rFonts w:hint="eastAsia" w:asciiTheme="minorEastAsia" w:hAnsiTheme="minorEastAsia" w:eastAsiaTheme="minorEastAsia" w:cstheme="minorEastAsia"/>
          <w:position w:val="17"/>
          <w:sz w:val="24"/>
          <w:szCs w:val="24"/>
        </w:rPr>
        <w:t>招标采购文件</w:t>
      </w:r>
    </w:p>
    <w:p w14:paraId="2A57B106">
      <w:pPr>
        <w:spacing w:line="217"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3"/>
          <w:sz w:val="24"/>
          <w:szCs w:val="24"/>
        </w:rPr>
        <w:t>投标文件</w:t>
      </w:r>
    </w:p>
    <w:p w14:paraId="5F008481">
      <w:pPr>
        <w:spacing w:before="186" w:line="214" w:lineRule="auto"/>
        <w:ind w:firstLine="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3.乙方在投标时的书面承诺</w:t>
      </w:r>
    </w:p>
    <w:p w14:paraId="489F7CB5">
      <w:pPr>
        <w:spacing w:before="189" w:line="217" w:lineRule="auto"/>
        <w:ind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4.（××号</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中标通知书</w:t>
      </w:r>
    </w:p>
    <w:p w14:paraId="402CF731">
      <w:pPr>
        <w:spacing w:before="185"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2"/>
          <w:sz w:val="24"/>
          <w:szCs w:val="24"/>
        </w:rPr>
        <w:t>合同补充条款或说明</w:t>
      </w:r>
    </w:p>
    <w:p w14:paraId="13214442">
      <w:pPr>
        <w:spacing w:before="186" w:line="216"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保</w:t>
      </w:r>
      <w:r>
        <w:rPr>
          <w:rFonts w:hint="eastAsia" w:asciiTheme="minorEastAsia" w:hAnsiTheme="minorEastAsia" w:eastAsiaTheme="minorEastAsia" w:cstheme="minorEastAsia"/>
          <w:spacing w:val="-2"/>
          <w:sz w:val="24"/>
          <w:szCs w:val="24"/>
        </w:rPr>
        <w:t>密协议或条款</w:t>
      </w:r>
    </w:p>
    <w:p w14:paraId="6761CBE4">
      <w:pPr>
        <w:spacing w:before="187"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7.相关附件</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图纸</w:t>
      </w:r>
    </w:p>
    <w:p w14:paraId="29DDA48B">
      <w:pPr>
        <w:spacing w:before="187" w:line="217" w:lineRule="auto"/>
        <w:ind w:firstLine="497"/>
        <w:rPr>
          <w:rFonts w:hint="eastAsia" w:asciiTheme="minorEastAsia" w:hAnsiTheme="minorEastAsia" w:eastAsiaTheme="minorEastAsia" w:cstheme="minorEastAsia"/>
          <w:spacing w:val="-1"/>
          <w:sz w:val="24"/>
          <w:szCs w:val="24"/>
        </w:rPr>
      </w:pPr>
    </w:p>
    <w:p w14:paraId="2159148F">
      <w:pPr>
        <w:spacing w:before="187"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合同标的</w:t>
      </w:r>
    </w:p>
    <w:p w14:paraId="7E3119BC">
      <w:pPr>
        <w:spacing w:before="185" w:line="360" w:lineRule="auto"/>
        <w:ind w:left="10" w:right="72" w:firstLine="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乙方根据甲方需求提供下列货物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货物名称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规格及数</w:t>
      </w:r>
      <w:r>
        <w:rPr>
          <w:rFonts w:hint="eastAsia" w:asciiTheme="minorEastAsia" w:hAnsiTheme="minorEastAsia" w:eastAsiaTheme="minorEastAsia" w:cstheme="minorEastAsia"/>
          <w:spacing w:val="1"/>
          <w:sz w:val="24"/>
          <w:szCs w:val="24"/>
        </w:rPr>
        <w:t>量</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易损件和</w:t>
      </w:r>
      <w:r>
        <w:rPr>
          <w:rFonts w:hint="eastAsia" w:asciiTheme="minorEastAsia" w:hAnsiTheme="minorEastAsia" w:eastAsiaTheme="minorEastAsia" w:cstheme="minorEastAsia"/>
          <w:sz w:val="24"/>
          <w:szCs w:val="24"/>
        </w:rPr>
        <w:t xml:space="preserve"> 专用工具等（详见《供货一览表》</w:t>
      </w:r>
      <w:r>
        <w:rPr>
          <w:rFonts w:hint="eastAsia" w:asciiTheme="minorEastAsia" w:hAnsiTheme="minorEastAsia" w:eastAsiaTheme="minorEastAsia" w:cstheme="minorEastAsia"/>
          <w:spacing w:val="-116"/>
          <w:sz w:val="24"/>
          <w:szCs w:val="24"/>
        </w:rPr>
        <w:t>）</w:t>
      </w:r>
      <w:r>
        <w:rPr>
          <w:rFonts w:hint="eastAsia" w:asciiTheme="minorEastAsia" w:hAnsiTheme="minorEastAsia" w:eastAsiaTheme="minorEastAsia" w:cstheme="minorEastAsia"/>
          <w:spacing w:val="-115"/>
          <w:sz w:val="24"/>
          <w:szCs w:val="24"/>
        </w:rPr>
        <w:t>。</w:t>
      </w:r>
    </w:p>
    <w:p w14:paraId="31E7E819">
      <w:pPr>
        <w:spacing w:before="1" w:line="217" w:lineRule="auto"/>
        <w:ind w:firstLine="497"/>
        <w:rPr>
          <w:rFonts w:hint="eastAsia" w:asciiTheme="minorEastAsia" w:hAnsiTheme="minorEastAsia" w:eastAsiaTheme="minorEastAsia" w:cstheme="minorEastAsia"/>
          <w:spacing w:val="-1"/>
          <w:sz w:val="24"/>
          <w:szCs w:val="24"/>
        </w:rPr>
      </w:pPr>
    </w:p>
    <w:p w14:paraId="3C1AB7D8">
      <w:pPr>
        <w:spacing w:before="1"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第三条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合同总金额</w:t>
      </w:r>
    </w:p>
    <w:p w14:paraId="6E802AB8">
      <w:pPr>
        <w:spacing w:before="185" w:line="360"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rPr>
        <w:t>元。</w:t>
      </w:r>
    </w:p>
    <w:p w14:paraId="054CE74A">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本合同项下货物总金额</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pacing w:val="-12"/>
          <w:sz w:val="24"/>
          <w:szCs w:val="24"/>
        </w:rPr>
        <w:t>。</w:t>
      </w:r>
    </w:p>
    <w:p w14:paraId="1A3415F3">
      <w:pPr>
        <w:spacing w:before="188" w:line="21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分项价款在《供货一览表》中有明确规定</w:t>
      </w:r>
      <w:r>
        <w:rPr>
          <w:rFonts w:hint="eastAsia" w:asciiTheme="minorEastAsia" w:hAnsiTheme="minorEastAsia" w:eastAsiaTheme="minorEastAsia" w:cstheme="minorEastAsia"/>
          <w:spacing w:val="-57"/>
          <w:sz w:val="24"/>
          <w:szCs w:val="24"/>
        </w:rPr>
        <w:t>。</w:t>
      </w:r>
    </w:p>
    <w:p w14:paraId="64C0E6A1">
      <w:pPr>
        <w:spacing w:before="190"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本合同总价款包括货物</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软件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标准附件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备品备件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专用工具</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图纸资料</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技术服务，包装、运输、装卸、保险、</w:t>
      </w:r>
      <w:r>
        <w:rPr>
          <w:rFonts w:hint="eastAsia" w:asciiTheme="minorEastAsia" w:hAnsiTheme="minorEastAsia" w:eastAsiaTheme="minorEastAsia" w:cstheme="minorEastAsia"/>
          <w:spacing w:val="1"/>
          <w:sz w:val="24"/>
          <w:szCs w:val="24"/>
        </w:rPr>
        <w:t>税金</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货到就位以及安装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调试</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培训</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保修等验收合格之前和质保期内的售后服务一切税金和费用</w:t>
      </w:r>
      <w:r>
        <w:rPr>
          <w:rFonts w:hint="eastAsia" w:asciiTheme="minorEastAsia" w:hAnsiTheme="minorEastAsia" w:eastAsiaTheme="minorEastAsia" w:cstheme="minorEastAsia"/>
          <w:spacing w:val="-54"/>
          <w:sz w:val="24"/>
          <w:szCs w:val="24"/>
        </w:rPr>
        <w:t>。</w:t>
      </w:r>
    </w:p>
    <w:p w14:paraId="49DEAEB7">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本合同执行期间合同总价款不变</w:t>
      </w:r>
      <w:r>
        <w:rPr>
          <w:rFonts w:hint="eastAsia" w:asciiTheme="minorEastAsia" w:hAnsiTheme="minorEastAsia" w:eastAsiaTheme="minorEastAsia" w:cstheme="minorEastAsia"/>
          <w:spacing w:val="-55"/>
          <w:sz w:val="24"/>
          <w:szCs w:val="24"/>
        </w:rPr>
        <w:t>。</w:t>
      </w:r>
    </w:p>
    <w:p w14:paraId="04D850F9">
      <w:pPr>
        <w:spacing w:before="187" w:line="216" w:lineRule="auto"/>
        <w:ind w:firstLine="497"/>
        <w:rPr>
          <w:rFonts w:hint="eastAsia" w:asciiTheme="minorEastAsia" w:hAnsiTheme="minorEastAsia" w:eastAsiaTheme="minorEastAsia" w:cstheme="minorEastAsia"/>
          <w:spacing w:val="-1"/>
          <w:sz w:val="24"/>
          <w:szCs w:val="24"/>
        </w:rPr>
      </w:pPr>
    </w:p>
    <w:p w14:paraId="328FB66C">
      <w:pPr>
        <w:spacing w:before="187"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第四条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权利和质量保证</w:t>
      </w:r>
    </w:p>
    <w:p w14:paraId="6EC4E321">
      <w:pPr>
        <w:spacing w:before="187" w:line="360" w:lineRule="auto"/>
        <w:ind w:right="71"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乙方应保证甲方在使用该货物</w:t>
      </w:r>
      <w:r>
        <w:rPr>
          <w:rFonts w:hint="eastAsia" w:asciiTheme="minorEastAsia" w:hAnsiTheme="minorEastAsia" w:eastAsiaTheme="minorEastAsia" w:cstheme="minorEastAsia"/>
          <w:spacing w:val="2"/>
          <w:sz w:val="24"/>
          <w:szCs w:val="24"/>
        </w:rPr>
        <w:t>或其任何一部分时不受第三方提出侵犯其专</w:t>
      </w:r>
      <w:r>
        <w:rPr>
          <w:rFonts w:hint="eastAsia" w:asciiTheme="minorEastAsia" w:hAnsiTheme="minorEastAsia" w:eastAsiaTheme="minorEastAsia" w:cstheme="minorEastAsia"/>
          <w:sz w:val="24"/>
          <w:szCs w:val="24"/>
        </w:rPr>
        <w:t xml:space="preserve"> 利权</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版权、商标权或其他权利的起诉。</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一旦出现侵权，索赔或诉讼，乙方应承 担全部责任</w:t>
      </w:r>
      <w:r>
        <w:rPr>
          <w:rFonts w:hint="eastAsia" w:asciiTheme="minorEastAsia" w:hAnsiTheme="minorEastAsia" w:eastAsiaTheme="minorEastAsia" w:cstheme="minorEastAsia"/>
          <w:spacing w:val="-46"/>
          <w:sz w:val="24"/>
          <w:szCs w:val="24"/>
        </w:rPr>
        <w:t>。</w:t>
      </w:r>
    </w:p>
    <w:p w14:paraId="2280A915">
      <w:pPr>
        <w:spacing w:before="187" w:line="360" w:lineRule="auto"/>
        <w:ind w:right="71"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2.乙方保证货物是全新的、未使用过的，完全符合国家规范及甲乙双方确认</w:t>
      </w:r>
    </w:p>
    <w:p w14:paraId="6B19EB57">
      <w:pPr>
        <w:spacing w:before="187" w:line="360" w:lineRule="auto"/>
        <w:ind w:left="0" w:leftChars="0" w:right="71"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的投标文件、本合同关于货物数量、质量的要求。货物符合实行国家“三包”</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定的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应执行“三包”规定</w:t>
      </w:r>
      <w:r>
        <w:rPr>
          <w:rFonts w:hint="eastAsia" w:asciiTheme="minorEastAsia" w:hAnsiTheme="minorEastAsia" w:eastAsiaTheme="minorEastAsia" w:cstheme="minorEastAsia"/>
          <w:spacing w:val="-28"/>
          <w:sz w:val="24"/>
          <w:szCs w:val="24"/>
        </w:rPr>
        <w:t>。</w:t>
      </w:r>
    </w:p>
    <w:p w14:paraId="00FE25D7">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本项目质保期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保修期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14"/>
          <w:sz w:val="24"/>
          <w:szCs w:val="24"/>
        </w:rPr>
        <w:t>。</w:t>
      </w:r>
    </w:p>
    <w:p w14:paraId="25F1104D">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3.乙方提交的货物应符合投标文件中所记载的详细配置、技术参数、参数及 性能，并应附有此类货物完整、详细的技术资料和说明文件。</w:t>
      </w:r>
    </w:p>
    <w:p w14:paraId="61ADBC43">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4.乙方提交的货物必须按照招标采购文件的要求和中标人投标文件的承诺， 以约定标准进行制造、安装；经政府采购管理部门批准采购的进口产品应执行原 产地国家有关部门最新颁布的相应正式标准并提供国家商检、海关报关等手续。</w:t>
      </w:r>
    </w:p>
    <w:p w14:paraId="7798EB5D">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5.乙方应保证将货物按照国家或专业标准包装、确保货物安全无损运抵合同 规定的交货地点，并进行安装、试运行。</w:t>
      </w:r>
    </w:p>
    <w:p w14:paraId="58B37BF0">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6、乙方保证货物不存在危及人身及财产安全的产品缺陷， 否则应承担全部法</w:t>
      </w:r>
    </w:p>
    <w:p w14:paraId="060972E5">
      <w:pPr>
        <w:spacing w:before="190" w:line="240"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律责任。</w:t>
      </w:r>
    </w:p>
    <w:p w14:paraId="389D0BB4">
      <w:pPr>
        <w:spacing w:before="134" w:line="217" w:lineRule="auto"/>
        <w:ind w:firstLine="497"/>
        <w:rPr>
          <w:rFonts w:hint="eastAsia" w:asciiTheme="minorEastAsia" w:hAnsiTheme="minorEastAsia" w:eastAsiaTheme="minorEastAsia" w:cstheme="minorEastAsia"/>
          <w:spacing w:val="-1"/>
          <w:sz w:val="24"/>
          <w:szCs w:val="24"/>
        </w:rPr>
      </w:pPr>
    </w:p>
    <w:p w14:paraId="3436E113">
      <w:pPr>
        <w:spacing w:before="134"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付款方式</w:t>
      </w:r>
    </w:p>
    <w:p w14:paraId="26824E3B">
      <w:pPr>
        <w:spacing w:before="183" w:line="361" w:lineRule="auto"/>
        <w:ind w:right="94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1.本合同项下所有款项均以人民币支付</w:t>
      </w:r>
      <w:r>
        <w:rPr>
          <w:rFonts w:hint="eastAsia" w:asciiTheme="minorEastAsia" w:hAnsiTheme="minorEastAsia" w:eastAsiaTheme="minorEastAsia" w:cstheme="minorEastAsia"/>
          <w:spacing w:val="-74"/>
          <w:sz w:val="24"/>
          <w:szCs w:val="24"/>
        </w:rPr>
        <w:t>。</w:t>
      </w:r>
      <w:r>
        <w:rPr>
          <w:rFonts w:hint="eastAsia" w:asciiTheme="minorEastAsia" w:hAnsiTheme="minorEastAsia" w:eastAsiaTheme="minorEastAsia" w:cstheme="minorEastAsia"/>
          <w:sz w:val="24"/>
          <w:szCs w:val="24"/>
        </w:rPr>
        <w:t xml:space="preserve">                        </w:t>
      </w:r>
    </w:p>
    <w:p w14:paraId="4E26A3A3">
      <w:pPr>
        <w:spacing w:before="183" w:line="361" w:lineRule="auto"/>
        <w:ind w:right="94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2.乙方向甲方提交下列文件材料</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z w:val="24"/>
          <w:szCs w:val="24"/>
        </w:rPr>
        <w:t>经甲方审核无误后支付采购资金</w:t>
      </w:r>
      <w:r>
        <w:rPr>
          <w:rFonts w:hint="eastAsia" w:asciiTheme="minorEastAsia" w:hAnsiTheme="minorEastAsia" w:eastAsiaTheme="minorEastAsia" w:cstheme="minorEastAsia"/>
          <w:spacing w:val="-41"/>
          <w:sz w:val="24"/>
          <w:szCs w:val="24"/>
        </w:rPr>
        <w:t>：</w:t>
      </w:r>
    </w:p>
    <w:p w14:paraId="7D8A6FC1">
      <w:pPr>
        <w:spacing w:line="217"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经甲方确认的发票</w:t>
      </w:r>
      <w:r>
        <w:rPr>
          <w:rFonts w:hint="eastAsia" w:asciiTheme="minorEastAsia" w:hAnsiTheme="minorEastAsia" w:eastAsiaTheme="minorEastAsia" w:cstheme="minorEastAsia"/>
          <w:spacing w:val="-29"/>
          <w:sz w:val="24"/>
          <w:szCs w:val="24"/>
        </w:rPr>
        <w:t>；</w:t>
      </w:r>
    </w:p>
    <w:p w14:paraId="13300328">
      <w:pPr>
        <w:spacing w:before="186"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129"/>
          <w:sz w:val="24"/>
          <w:szCs w:val="24"/>
        </w:rPr>
        <w:t>）</w:t>
      </w:r>
      <w:r>
        <w:rPr>
          <w:rFonts w:hint="eastAsia" w:asciiTheme="minorEastAsia" w:hAnsiTheme="minorEastAsia" w:eastAsiaTheme="minorEastAsia" w:cstheme="minorEastAsia"/>
          <w:spacing w:val="-9"/>
          <w:sz w:val="24"/>
          <w:szCs w:val="24"/>
        </w:rPr>
        <w:t>经甲乙双方确认签署的《验收报告》（或按项目</w:t>
      </w:r>
      <w:r>
        <w:rPr>
          <w:rFonts w:hint="eastAsia" w:asciiTheme="minorEastAsia" w:hAnsiTheme="minorEastAsia" w:eastAsiaTheme="minorEastAsia" w:cstheme="minorEastAsia"/>
          <w:spacing w:val="-8"/>
          <w:sz w:val="24"/>
          <w:szCs w:val="24"/>
        </w:rPr>
        <w:t>进度阶段性《验收报告》</w:t>
      </w:r>
      <w:r>
        <w:rPr>
          <w:rFonts w:hint="eastAsia" w:asciiTheme="minorEastAsia" w:hAnsiTheme="minorEastAsia" w:eastAsiaTheme="minorEastAsia" w:cstheme="minorEastAsia"/>
          <w:spacing w:val="-129"/>
          <w:sz w:val="24"/>
          <w:szCs w:val="24"/>
        </w:rPr>
        <w:t>）；</w:t>
      </w:r>
    </w:p>
    <w:p w14:paraId="08EDA0F7">
      <w:pPr>
        <w:spacing w:before="188"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其他材料</w:t>
      </w:r>
      <w:r>
        <w:rPr>
          <w:rFonts w:hint="eastAsia" w:asciiTheme="minorEastAsia" w:hAnsiTheme="minorEastAsia" w:eastAsiaTheme="minorEastAsia" w:cstheme="minorEastAsia"/>
          <w:spacing w:val="-21"/>
          <w:sz w:val="24"/>
          <w:szCs w:val="24"/>
        </w:rPr>
        <w:t>。</w:t>
      </w:r>
    </w:p>
    <w:p w14:paraId="7EBD734B">
      <w:pPr>
        <w:spacing w:before="186" w:line="361" w:lineRule="auto"/>
        <w:ind w:left="1" w:right="56"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款项的支付进度以</w:t>
      </w:r>
      <w:r>
        <w:rPr>
          <w:rFonts w:hint="eastAsia" w:asciiTheme="minorEastAsia" w:hAnsiTheme="minorEastAsia" w:eastAsiaTheme="minorEastAsia" w:cstheme="minorEastAsia"/>
          <w:spacing w:val="2"/>
          <w:sz w:val="24"/>
          <w:szCs w:val="24"/>
        </w:rPr>
        <w:t>招标采购文件的有关规定为准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如招标采购文件未作特</w:t>
      </w:r>
      <w:r>
        <w:rPr>
          <w:rFonts w:hint="eastAsia" w:asciiTheme="minorEastAsia" w:hAnsiTheme="minorEastAsia" w:eastAsiaTheme="minorEastAsia" w:cstheme="minorEastAsia"/>
          <w:sz w:val="24"/>
          <w:szCs w:val="24"/>
        </w:rPr>
        <w:t xml:space="preserve"> 别规定</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则付款进度应符合如下约定</w:t>
      </w:r>
      <w:r>
        <w:rPr>
          <w:rFonts w:hint="eastAsia" w:asciiTheme="minorEastAsia" w:hAnsiTheme="minorEastAsia" w:eastAsiaTheme="minorEastAsia" w:cstheme="minorEastAsia"/>
          <w:spacing w:val="-34"/>
          <w:sz w:val="24"/>
          <w:szCs w:val="24"/>
        </w:rPr>
        <w:t>：</w:t>
      </w:r>
    </w:p>
    <w:p w14:paraId="01950C45">
      <w:pPr>
        <w:spacing w:before="3" w:line="359" w:lineRule="auto"/>
        <w:ind w:left="8" w:right="58" w:firstLine="4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货到初验合格后支付至合同总价的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货到安装调试合格后支付至合同 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运行正常后支付至合同总价的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余款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％作为质量保 </w:t>
      </w:r>
      <w:r>
        <w:rPr>
          <w:rFonts w:hint="eastAsia" w:asciiTheme="minorEastAsia" w:hAnsiTheme="minorEastAsia" w:eastAsiaTheme="minorEastAsia" w:cstheme="minorEastAsia"/>
          <w:spacing w:val="3"/>
          <w:sz w:val="24"/>
          <w:szCs w:val="24"/>
        </w:rPr>
        <w:t>证金于货物或系</w:t>
      </w:r>
      <w:r>
        <w:rPr>
          <w:rFonts w:hint="eastAsia" w:asciiTheme="minorEastAsia" w:hAnsiTheme="minorEastAsia" w:eastAsiaTheme="minorEastAsia" w:cstheme="minorEastAsia"/>
          <w:spacing w:val="2"/>
          <w:sz w:val="24"/>
          <w:szCs w:val="24"/>
        </w:rPr>
        <w:t>统运行满</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月（年</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并经甲乙双方复验合格后的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w:t>
      </w:r>
      <w:r>
        <w:rPr>
          <w:rFonts w:hint="eastAsia" w:asciiTheme="minorEastAsia" w:hAnsiTheme="minorEastAsia" w:eastAsiaTheme="minorEastAsia" w:cstheme="minorEastAsia"/>
          <w:sz w:val="24"/>
          <w:szCs w:val="24"/>
        </w:rPr>
        <w:t xml:space="preserve"> 工作日内付清</w:t>
      </w:r>
      <w:r>
        <w:rPr>
          <w:rFonts w:hint="eastAsia" w:asciiTheme="minorEastAsia" w:hAnsiTheme="minorEastAsia" w:eastAsiaTheme="minorEastAsia" w:cstheme="minorEastAsia"/>
          <w:spacing w:val="-55"/>
          <w:sz w:val="24"/>
          <w:szCs w:val="24"/>
        </w:rPr>
        <w:t>。</w:t>
      </w:r>
    </w:p>
    <w:p w14:paraId="5E190BD4">
      <w:pPr>
        <w:spacing w:before="2" w:line="360" w:lineRule="auto"/>
        <w:ind w:left="497"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7F59AD9">
      <w:pPr>
        <w:spacing w:before="2" w:line="360" w:lineRule="auto"/>
        <w:ind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第六条  履约保证金 （为减少企业负担</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非特殊需要</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不建议采购人收取履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约保证</w:t>
      </w:r>
      <w:r>
        <w:rPr>
          <w:rFonts w:hint="eastAsia" w:asciiTheme="minorEastAsia" w:hAnsiTheme="minorEastAsia" w:eastAsiaTheme="minorEastAsia" w:cstheme="minorEastAsia"/>
          <w:color w:val="000000" w:themeColor="text1"/>
          <w:sz w:val="24"/>
          <w:szCs w:val="24"/>
          <w14:textFill>
            <w14:solidFill>
              <w14:schemeClr w14:val="tx1"/>
            </w14:solidFill>
          </w14:textFill>
        </w:rPr>
        <w:t>金</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未能按合同履行合同的</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可报财政部门</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进行失信行为记录</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p>
    <w:p w14:paraId="7F245506">
      <w:pPr>
        <w:spacing w:before="1" w:line="367" w:lineRule="auto"/>
        <w:ind w:right="1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1.乙方在签订本合同之日</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向甲方提交合同履约保证金</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 （履约保证金的数额不得超过政府采购合同金额的 10%</w:t>
      </w:r>
      <w:r>
        <w:rPr>
          <w:rFonts w:hint="eastAsia" w:asciiTheme="minorEastAsia" w:hAnsiTheme="minorEastAsia" w:eastAsiaTheme="minorEastAsia" w:cstheme="minorEastAsia"/>
          <w:spacing w:val="-77"/>
          <w:sz w:val="24"/>
          <w:szCs w:val="24"/>
        </w:rPr>
        <w:t>）。</w:t>
      </w:r>
    </w:p>
    <w:p w14:paraId="01AF70B5">
      <w:pPr>
        <w:spacing w:before="78" w:line="360" w:lineRule="auto"/>
        <w:ind w:left="16" w:right="12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2.履约保证金有效期为甲乙双方最终验收后</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个月内</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到期后</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甲方向乙方 无息退还</w:t>
      </w:r>
      <w:r>
        <w:rPr>
          <w:rFonts w:hint="eastAsia" w:asciiTheme="minorEastAsia" w:hAnsiTheme="minorEastAsia" w:eastAsiaTheme="minorEastAsia" w:cstheme="minorEastAsia"/>
          <w:spacing w:val="-53"/>
          <w:sz w:val="24"/>
          <w:szCs w:val="24"/>
        </w:rPr>
        <w:t>。</w:t>
      </w:r>
    </w:p>
    <w:p w14:paraId="3979B4BC">
      <w:pPr>
        <w:spacing w:line="360" w:lineRule="auto"/>
        <w:ind w:left="11" w:right="118"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如乙方未能履行、</w:t>
      </w:r>
      <w:r>
        <w:rPr>
          <w:rFonts w:hint="eastAsia" w:asciiTheme="minorEastAsia" w:hAnsiTheme="minorEastAsia" w:eastAsiaTheme="minorEastAsia" w:cstheme="minorEastAsia"/>
          <w:spacing w:val="2"/>
          <w:sz w:val="24"/>
          <w:szCs w:val="24"/>
        </w:rPr>
        <w:t>或未能完全履行合同规定的义务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甲方有权从履约保证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金中取得补偿。履约保证金扣除甲方应</w:t>
      </w:r>
      <w:r>
        <w:rPr>
          <w:rFonts w:hint="eastAsia" w:asciiTheme="minorEastAsia" w:hAnsiTheme="minorEastAsia" w:eastAsiaTheme="minorEastAsia" w:cstheme="minorEastAsia"/>
          <w:spacing w:val="2"/>
          <w:sz w:val="24"/>
          <w:szCs w:val="24"/>
        </w:rPr>
        <w:t>得的补偿后的余额在合同期满后</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天</w:t>
      </w:r>
      <w:r>
        <w:rPr>
          <w:rFonts w:hint="eastAsia" w:asciiTheme="minorEastAsia" w:hAnsiTheme="minorEastAsia" w:eastAsiaTheme="minorEastAsia" w:cstheme="minorEastAsia"/>
          <w:sz w:val="24"/>
          <w:szCs w:val="24"/>
        </w:rPr>
        <w:t xml:space="preserve"> 内无息退还乙方</w:t>
      </w:r>
      <w:r>
        <w:rPr>
          <w:rFonts w:hint="eastAsia" w:asciiTheme="minorEastAsia" w:hAnsiTheme="minorEastAsia" w:eastAsiaTheme="minorEastAsia" w:cstheme="minorEastAsia"/>
          <w:spacing w:val="-53"/>
          <w:sz w:val="24"/>
          <w:szCs w:val="24"/>
        </w:rPr>
        <w:t>。</w:t>
      </w:r>
    </w:p>
    <w:p w14:paraId="0586EDFC">
      <w:pPr>
        <w:spacing w:line="217" w:lineRule="auto"/>
        <w:ind w:firstLine="503"/>
        <w:rPr>
          <w:rFonts w:hint="eastAsia" w:asciiTheme="minorEastAsia" w:hAnsiTheme="minorEastAsia" w:eastAsiaTheme="minorEastAsia" w:cstheme="minorEastAsia"/>
          <w:spacing w:val="-1"/>
          <w:sz w:val="24"/>
          <w:szCs w:val="24"/>
        </w:rPr>
      </w:pPr>
    </w:p>
    <w:p w14:paraId="7A777C2F">
      <w:pPr>
        <w:spacing w:line="217" w:lineRule="auto"/>
        <w:ind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第七条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交</w:t>
      </w:r>
      <w:r>
        <w:rPr>
          <w:rFonts w:hint="eastAsia" w:asciiTheme="minorEastAsia" w:hAnsiTheme="minorEastAsia" w:eastAsiaTheme="minorEastAsia" w:cstheme="minorEastAsia"/>
          <w:sz w:val="24"/>
          <w:szCs w:val="24"/>
        </w:rPr>
        <w:t>货和验收</w:t>
      </w:r>
    </w:p>
    <w:p w14:paraId="2A2E70FC">
      <w:pPr>
        <w:spacing w:before="186" w:line="359" w:lineRule="auto"/>
        <w:ind w:right="1593"/>
        <w:jc w:val="both"/>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z w:val="24"/>
          <w:szCs w:val="24"/>
        </w:rPr>
        <w:t>1.交货时间</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3"/>
          <w:sz w:val="24"/>
          <w:szCs w:val="24"/>
        </w:rPr>
        <w:t>。</w:t>
      </w:r>
    </w:p>
    <w:p w14:paraId="54914260">
      <w:pPr>
        <w:spacing w:before="186" w:line="359" w:lineRule="auto"/>
        <w:ind w:right="15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交货地点</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w:t>
      </w:r>
    </w:p>
    <w:p w14:paraId="3286541D">
      <w:pPr>
        <w:spacing w:before="186" w:line="359" w:lineRule="auto"/>
        <w:ind w:right="15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安装调试时间：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14:paraId="6D39D2B0">
      <w:pPr>
        <w:spacing w:before="2" w:line="360" w:lineRule="auto"/>
        <w:ind w:left="6" w:right="121"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乙方应对提供的货物作出全面自查和整理</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并列出清单</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作为甲方验收和 使用的技术条件依据</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清单应随提供的验收资料交给甲方</w:t>
      </w:r>
      <w:r>
        <w:rPr>
          <w:rFonts w:hint="eastAsia" w:asciiTheme="minorEastAsia" w:hAnsiTheme="minorEastAsia" w:eastAsiaTheme="minorEastAsia" w:cstheme="minorEastAsia"/>
          <w:spacing w:val="-27"/>
          <w:sz w:val="24"/>
          <w:szCs w:val="24"/>
        </w:rPr>
        <w:t>。</w:t>
      </w:r>
    </w:p>
    <w:p w14:paraId="5257F4D9">
      <w:pPr>
        <w:spacing w:line="359" w:lineRule="auto"/>
        <w:ind w:right="121" w:firstLine="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3.乙方提供的货物应包括本合</w:t>
      </w:r>
      <w:r>
        <w:rPr>
          <w:rFonts w:hint="eastAsia" w:asciiTheme="minorEastAsia" w:hAnsiTheme="minorEastAsia" w:eastAsiaTheme="minorEastAsia" w:cstheme="minorEastAsia"/>
          <w:sz w:val="24"/>
          <w:szCs w:val="24"/>
        </w:rPr>
        <w:t>同“第一条</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合同文件”规定的全部货物及其附 （辅</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资料</w:t>
      </w:r>
      <w:r>
        <w:rPr>
          <w:rFonts w:hint="eastAsia" w:asciiTheme="minorEastAsia" w:hAnsiTheme="minorEastAsia" w:eastAsiaTheme="minorEastAsia" w:cstheme="minorEastAsia"/>
          <w:spacing w:val="-14"/>
          <w:sz w:val="24"/>
          <w:szCs w:val="24"/>
        </w:rPr>
        <w:t>。</w:t>
      </w:r>
    </w:p>
    <w:p w14:paraId="2686707F">
      <w:pPr>
        <w:spacing w:line="360" w:lineRule="auto"/>
        <w:ind w:left="8" w:right="116"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4.甲方应当在到货后的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个工作日内对货物进行验收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货物验收时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甲乙 </w:t>
      </w:r>
      <w:r>
        <w:rPr>
          <w:rFonts w:hint="eastAsia" w:asciiTheme="minorEastAsia" w:hAnsiTheme="minorEastAsia" w:eastAsiaTheme="minorEastAsia" w:cstheme="minorEastAsia"/>
          <w:spacing w:val="3"/>
          <w:sz w:val="24"/>
          <w:szCs w:val="24"/>
        </w:rPr>
        <w:t>双方必须同时在场</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双方共同确认货物与本合同规定的</w:t>
      </w:r>
      <w:r>
        <w:rPr>
          <w:rFonts w:hint="eastAsia" w:asciiTheme="minorEastAsia" w:hAnsiTheme="minorEastAsia" w:eastAsiaTheme="minorEastAsia" w:cstheme="minorEastAsia"/>
          <w:spacing w:val="2"/>
          <w:sz w:val="24"/>
          <w:szCs w:val="24"/>
        </w:rPr>
        <w:t>生产厂家产地</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格型号</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数量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质量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技术参数和性能等是否一致</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所交付的货物不符合合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同规定的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甲方有权拒收</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乙方应及时按本合同规定和甲方要</w:t>
      </w:r>
      <w:r>
        <w:rPr>
          <w:rFonts w:hint="eastAsia" w:asciiTheme="minorEastAsia" w:hAnsiTheme="minorEastAsia" w:eastAsiaTheme="minorEastAsia" w:cstheme="minorEastAsia"/>
          <w:spacing w:val="2"/>
          <w:sz w:val="24"/>
          <w:szCs w:val="24"/>
        </w:rPr>
        <w:t>求免费对拒收货物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采取更换或其他必要的补救措施</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直至验收合格</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方视为乙方</w:t>
      </w:r>
      <w:r>
        <w:rPr>
          <w:rFonts w:hint="eastAsia" w:asciiTheme="minorEastAsia" w:hAnsiTheme="minorEastAsia" w:eastAsiaTheme="minorEastAsia" w:cstheme="minorEastAsia"/>
          <w:spacing w:val="2"/>
          <w:sz w:val="24"/>
          <w:szCs w:val="24"/>
        </w:rPr>
        <w:t>按本合同规定完成</w:t>
      </w:r>
      <w:r>
        <w:rPr>
          <w:rFonts w:hint="eastAsia" w:asciiTheme="minorEastAsia" w:hAnsiTheme="minorEastAsia" w:eastAsiaTheme="minorEastAsia" w:cstheme="minorEastAsia"/>
          <w:sz w:val="24"/>
          <w:szCs w:val="24"/>
        </w:rPr>
        <w:t xml:space="preserve"> 交货</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验收合格的</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43"/>
          <w:sz w:val="24"/>
          <w:szCs w:val="24"/>
        </w:rPr>
        <w:t>。</w:t>
      </w:r>
    </w:p>
    <w:p w14:paraId="29712D05">
      <w:pPr>
        <w:spacing w:before="2" w:line="360" w:lineRule="auto"/>
        <w:ind w:left="4"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需要乙方对货物（包括软件）或系</w:t>
      </w:r>
      <w:r>
        <w:rPr>
          <w:rFonts w:hint="eastAsia" w:asciiTheme="minorEastAsia" w:hAnsiTheme="minorEastAsia" w:eastAsiaTheme="minorEastAsia" w:cstheme="minorEastAsia"/>
          <w:spacing w:val="2"/>
          <w:sz w:val="24"/>
          <w:szCs w:val="24"/>
        </w:rPr>
        <w:t>统进行安装调试的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甲乙双方应在货物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安装调试完</w:t>
      </w:r>
      <w:r>
        <w:rPr>
          <w:rFonts w:hint="eastAsia" w:asciiTheme="minorEastAsia" w:hAnsiTheme="minorEastAsia" w:eastAsiaTheme="minorEastAsia" w:cstheme="minorEastAsia"/>
          <w:spacing w:val="2"/>
          <w:sz w:val="24"/>
          <w:szCs w:val="24"/>
        </w:rPr>
        <w:t>毕后的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个工作日内进行运行效果验收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在验收之前</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乙方需提前</w:t>
      </w:r>
      <w:r>
        <w:rPr>
          <w:rFonts w:hint="eastAsia" w:asciiTheme="minorEastAsia" w:hAnsiTheme="minorEastAsia" w:eastAsiaTheme="minorEastAsia" w:cstheme="minorEastAsia"/>
          <w:sz w:val="24"/>
          <w:szCs w:val="24"/>
        </w:rPr>
        <w:t xml:space="preserve"> 提交相应的调试计划（包括调试程序</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环境</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内容和检验标准</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调试时间安排等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供甲方确认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乙方还应对所有检验验收调试的结果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步骤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原始数</w:t>
      </w:r>
      <w:r>
        <w:rPr>
          <w:rFonts w:hint="eastAsia" w:asciiTheme="minorEastAsia" w:hAnsiTheme="minorEastAsia" w:eastAsiaTheme="minorEastAsia" w:cstheme="minorEastAsia"/>
          <w:spacing w:val="2"/>
          <w:sz w:val="24"/>
          <w:szCs w:val="24"/>
        </w:rPr>
        <w:t>据等作妥善记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如甲方要求</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乙方应将记录提供给甲方</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调试检验出现全部或</w:t>
      </w:r>
      <w:r>
        <w:rPr>
          <w:rFonts w:hint="eastAsia" w:asciiTheme="minorEastAsia" w:hAnsiTheme="minorEastAsia" w:eastAsiaTheme="minorEastAsia" w:cstheme="minorEastAsia"/>
          <w:spacing w:val="2"/>
          <w:sz w:val="24"/>
          <w:szCs w:val="24"/>
        </w:rPr>
        <w:t>部分未达到本</w:t>
      </w:r>
      <w:r>
        <w:rPr>
          <w:rFonts w:hint="eastAsia" w:asciiTheme="minorEastAsia" w:hAnsiTheme="minorEastAsia" w:eastAsiaTheme="minorEastAsia" w:cstheme="minorEastAsia"/>
          <w:sz w:val="24"/>
          <w:szCs w:val="24"/>
        </w:rPr>
        <w:t xml:space="preserve"> 合同所约定的技术指标</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甲方有权选择下列任一处理方式</w:t>
      </w:r>
      <w:r>
        <w:rPr>
          <w:rFonts w:hint="eastAsia" w:asciiTheme="minorEastAsia" w:hAnsiTheme="minorEastAsia" w:eastAsiaTheme="minorEastAsia" w:cstheme="minorEastAsia"/>
          <w:spacing w:val="-33"/>
          <w:sz w:val="24"/>
          <w:szCs w:val="24"/>
        </w:rPr>
        <w:t>：</w:t>
      </w:r>
    </w:p>
    <w:p w14:paraId="3007AFDC">
      <w:pPr>
        <w:spacing w:before="1" w:line="217"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a.重新调试直至合格为止</w:t>
      </w:r>
      <w:r>
        <w:rPr>
          <w:rFonts w:hint="eastAsia" w:asciiTheme="minorEastAsia" w:hAnsiTheme="minorEastAsia" w:eastAsiaTheme="minorEastAsia" w:cstheme="minorEastAsia"/>
          <w:spacing w:val="-70"/>
          <w:sz w:val="24"/>
          <w:szCs w:val="24"/>
        </w:rPr>
        <w:t>；</w:t>
      </w:r>
    </w:p>
    <w:p w14:paraId="2E2F61F4">
      <w:pPr>
        <w:spacing w:before="182" w:line="370" w:lineRule="auto"/>
        <w:ind w:right="1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b.要求乙方对货物进行免费更换</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然后重新调试直至合格为止</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 xml:space="preserve"> 甲方因乙方原因所产生的所有费用均由乙方负担</w:t>
      </w:r>
      <w:r>
        <w:rPr>
          <w:rFonts w:hint="eastAsia" w:asciiTheme="minorEastAsia" w:hAnsiTheme="minorEastAsia" w:eastAsiaTheme="minorEastAsia" w:cstheme="minorEastAsia"/>
          <w:spacing w:val="-89"/>
          <w:sz w:val="24"/>
          <w:szCs w:val="24"/>
        </w:rPr>
        <w:t>。</w:t>
      </w:r>
    </w:p>
    <w:p w14:paraId="22DA8C34">
      <w:pPr>
        <w:spacing w:before="78"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6.验收合格的</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70"/>
          <w:sz w:val="24"/>
          <w:szCs w:val="24"/>
        </w:rPr>
        <w:t>。</w:t>
      </w:r>
    </w:p>
    <w:p w14:paraId="78552214">
      <w:pPr>
        <w:spacing w:before="104" w:line="367" w:lineRule="auto"/>
        <w:ind w:left="35" w:right="4" w:firstLine="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7.甲方可以视项目规模或复杂情况聘请专业人员参与验收</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大型或复杂项目</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z w:val="24"/>
          <w:szCs w:val="24"/>
        </w:rPr>
        <w:t xml:space="preserve"> 以及特种货物应当邀请国家认可的第三方质量检测机构参与验收</w:t>
      </w:r>
      <w:r>
        <w:rPr>
          <w:rFonts w:hint="eastAsia" w:asciiTheme="minorEastAsia" w:hAnsiTheme="minorEastAsia" w:eastAsiaTheme="minorEastAsia" w:cstheme="minorEastAsia"/>
          <w:spacing w:val="-88"/>
          <w:sz w:val="24"/>
          <w:szCs w:val="24"/>
        </w:rPr>
        <w:t>。</w:t>
      </w:r>
    </w:p>
    <w:p w14:paraId="29DB941A">
      <w:pPr>
        <w:spacing w:before="60" w:line="360" w:lineRule="auto"/>
        <w:ind w:right="67"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3"/>
          <w:sz w:val="24"/>
          <w:szCs w:val="24"/>
        </w:rPr>
        <w:t>货物验收包括：货物包装是否</w:t>
      </w:r>
      <w:r>
        <w:rPr>
          <w:rFonts w:hint="eastAsia" w:asciiTheme="minorEastAsia" w:hAnsiTheme="minorEastAsia" w:eastAsiaTheme="minorEastAsia" w:cstheme="minorEastAsia"/>
          <w:spacing w:val="2"/>
          <w:sz w:val="24"/>
          <w:szCs w:val="24"/>
        </w:rPr>
        <w:t>完好</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产地生产厂家名称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型号</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格</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数量、外观质量、配置、内在质量，</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 xml:space="preserve">以及调试运行是否达到“第一条合同文 </w:t>
      </w:r>
      <w:r>
        <w:rPr>
          <w:rFonts w:hint="eastAsia" w:asciiTheme="minorEastAsia" w:hAnsiTheme="minorEastAsia" w:eastAsiaTheme="minorEastAsia" w:cstheme="minorEastAsia"/>
          <w:spacing w:val="3"/>
          <w:sz w:val="24"/>
          <w:szCs w:val="24"/>
        </w:rPr>
        <w:t>件”规定的效果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乙方应将所提供货物的装箱清单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产</w:t>
      </w:r>
      <w:r>
        <w:rPr>
          <w:rFonts w:hint="eastAsia" w:asciiTheme="minorEastAsia" w:hAnsiTheme="minorEastAsia" w:eastAsiaTheme="minorEastAsia" w:cstheme="minorEastAsia"/>
          <w:spacing w:val="2"/>
          <w:sz w:val="24"/>
          <w:szCs w:val="24"/>
        </w:rPr>
        <w:t>品合格证</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甲方手册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厂保修卡、</w:t>
      </w:r>
      <w:r>
        <w:rPr>
          <w:rFonts w:hint="eastAsia" w:asciiTheme="minorEastAsia" w:hAnsiTheme="minorEastAsia" w:eastAsiaTheme="minorEastAsia" w:cstheme="minorEastAsia"/>
          <w:spacing w:val="2"/>
          <w:sz w:val="24"/>
          <w:szCs w:val="24"/>
        </w:rPr>
        <w:t>随机资料及备品备件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易损件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专用工具等交付给甲方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乙方不能完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整交付货物</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附（辅</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件和资料的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视为未按合同约</w:t>
      </w:r>
      <w:r>
        <w:rPr>
          <w:rFonts w:hint="eastAsia" w:asciiTheme="minorEastAsia" w:hAnsiTheme="minorEastAsia" w:eastAsiaTheme="minorEastAsia" w:cstheme="minorEastAsia"/>
          <w:spacing w:val="2"/>
          <w:sz w:val="24"/>
          <w:szCs w:val="24"/>
        </w:rPr>
        <w:t>定交货</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乙方负责补齐</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因</w:t>
      </w:r>
      <w:r>
        <w:rPr>
          <w:rFonts w:hint="eastAsia" w:asciiTheme="minorEastAsia" w:hAnsiTheme="minorEastAsia" w:eastAsiaTheme="minorEastAsia" w:cstheme="minorEastAsia"/>
          <w:sz w:val="24"/>
          <w:szCs w:val="24"/>
        </w:rPr>
        <w:t xml:space="preserve"> 此导致逾期交付的</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由乙方承担相关的违约责任</w:t>
      </w:r>
      <w:r>
        <w:rPr>
          <w:rFonts w:hint="eastAsia" w:asciiTheme="minorEastAsia" w:hAnsiTheme="minorEastAsia" w:eastAsiaTheme="minorEastAsia" w:cstheme="minorEastAsia"/>
          <w:spacing w:val="-26"/>
          <w:sz w:val="24"/>
          <w:szCs w:val="24"/>
        </w:rPr>
        <w:t>。</w:t>
      </w:r>
    </w:p>
    <w:p w14:paraId="683F5F6E">
      <w:pPr>
        <w:spacing w:line="359" w:lineRule="auto"/>
        <w:ind w:left="37" w:right="3"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9.货物达不到本合同“第一条合同文件”规定的数量</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质量要求和运行效果</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 xml:space="preserve"> 甲方有权拒收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并可以解除合同</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由此引起甲方损失及赔偿责任由乙方承担</w:t>
      </w:r>
      <w:r>
        <w:rPr>
          <w:rFonts w:hint="eastAsia" w:asciiTheme="minorEastAsia" w:hAnsiTheme="minorEastAsia" w:eastAsiaTheme="minorEastAsia" w:cstheme="minorEastAsia"/>
          <w:spacing w:val="-30"/>
          <w:sz w:val="24"/>
          <w:szCs w:val="24"/>
        </w:rPr>
        <w:t>。</w:t>
      </w:r>
    </w:p>
    <w:p w14:paraId="16C06BD0">
      <w:pPr>
        <w:spacing w:before="2" w:line="360" w:lineRule="auto"/>
        <w:ind w:left="6"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10.如果合同双方对《验收报告》有分歧</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双方须于出现分歧后</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天内给对 方书面声明</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以陈述己方的理由及要求</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并附有关证据</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分歧应通过协商解决</w:t>
      </w:r>
      <w:r>
        <w:rPr>
          <w:rFonts w:hint="eastAsia" w:asciiTheme="minorEastAsia" w:hAnsiTheme="minorEastAsia" w:eastAsiaTheme="minorEastAsia" w:cstheme="minorEastAsia"/>
          <w:spacing w:val="-15"/>
          <w:sz w:val="24"/>
          <w:szCs w:val="24"/>
        </w:rPr>
        <w:t>。</w:t>
      </w:r>
    </w:p>
    <w:p w14:paraId="6CEF0D18">
      <w:pPr>
        <w:spacing w:line="217" w:lineRule="auto"/>
        <w:ind w:firstLine="497"/>
        <w:rPr>
          <w:rFonts w:hint="eastAsia" w:asciiTheme="minorEastAsia" w:hAnsiTheme="minorEastAsia" w:eastAsiaTheme="minorEastAsia" w:cstheme="minorEastAsia"/>
          <w:spacing w:val="-1"/>
          <w:sz w:val="24"/>
          <w:szCs w:val="24"/>
        </w:rPr>
      </w:pPr>
    </w:p>
    <w:p w14:paraId="589762B8">
      <w:pPr>
        <w:spacing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第八</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项目管理服务</w:t>
      </w:r>
    </w:p>
    <w:p w14:paraId="6F3D7F64">
      <w:pPr>
        <w:spacing w:before="185" w:line="468" w:lineRule="exact"/>
        <w:ind w:firstLine="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乙方应指定不少于一人全权全程负责本项目的商务服务，以及货物安</w:t>
      </w:r>
      <w:r>
        <w:rPr>
          <w:rFonts w:hint="eastAsia" w:asciiTheme="minorEastAsia" w:hAnsiTheme="minorEastAsia" w:eastAsiaTheme="minorEastAsia" w:cstheme="minorEastAsia"/>
          <w:spacing w:val="1"/>
          <w:position w:val="17"/>
          <w:sz w:val="24"/>
          <w:szCs w:val="24"/>
        </w:rPr>
        <w:t>装</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position w:val="17"/>
          <w:sz w:val="24"/>
          <w:szCs w:val="24"/>
        </w:rPr>
        <w:t>调</w:t>
      </w:r>
    </w:p>
    <w:p w14:paraId="60E734E9">
      <w:pPr>
        <w:spacing w:line="2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咨询</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培训和售后等技术服务工作</w:t>
      </w:r>
      <w:r>
        <w:rPr>
          <w:rFonts w:hint="eastAsia" w:asciiTheme="minorEastAsia" w:hAnsiTheme="minorEastAsia" w:eastAsiaTheme="minorEastAsia" w:cstheme="minorEastAsia"/>
          <w:spacing w:val="-18"/>
          <w:sz w:val="24"/>
          <w:szCs w:val="24"/>
        </w:rPr>
        <w:t>。</w:t>
      </w:r>
    </w:p>
    <w:p w14:paraId="506D56C7">
      <w:pPr>
        <w:spacing w:before="110" w:line="217" w:lineRule="auto"/>
        <w:ind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项目负责人姓名</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p>
    <w:p w14:paraId="5A4C8D72">
      <w:pPr>
        <w:spacing w:before="263"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第九条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
          <w:sz w:val="24"/>
          <w:szCs w:val="24"/>
        </w:rPr>
        <w:t>售</w:t>
      </w:r>
      <w:r>
        <w:rPr>
          <w:rFonts w:hint="eastAsia" w:asciiTheme="minorEastAsia" w:hAnsiTheme="minorEastAsia" w:eastAsiaTheme="minorEastAsia" w:cstheme="minorEastAsia"/>
          <w:sz w:val="24"/>
          <w:szCs w:val="24"/>
        </w:rPr>
        <w:t>后服务</w:t>
      </w:r>
    </w:p>
    <w:p w14:paraId="266DA01E">
      <w:pPr>
        <w:spacing w:before="187" w:line="359" w:lineRule="auto"/>
        <w:ind w:left="3" w:right="68"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质量保证期为自货</w:t>
      </w:r>
      <w:r>
        <w:rPr>
          <w:rFonts w:hint="eastAsia" w:asciiTheme="minorEastAsia" w:hAnsiTheme="minorEastAsia" w:eastAsiaTheme="minorEastAsia" w:cstheme="minorEastAsia"/>
          <w:spacing w:val="2"/>
          <w:sz w:val="24"/>
          <w:szCs w:val="24"/>
        </w:rPr>
        <w:t>物通过最终验收之日起</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个月</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若国家有明确规定的</w:t>
      </w:r>
      <w:r>
        <w:rPr>
          <w:rFonts w:hint="eastAsia" w:asciiTheme="minorEastAsia" w:hAnsiTheme="minorEastAsia" w:eastAsiaTheme="minorEastAsia" w:cstheme="minorEastAsia"/>
          <w:sz w:val="24"/>
          <w:szCs w:val="24"/>
        </w:rPr>
        <w:t xml:space="preserve"> 质量保证期高于此质量保证期的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执行国家规定</w:t>
      </w:r>
      <w:r>
        <w:rPr>
          <w:rFonts w:hint="eastAsia" w:asciiTheme="minorEastAsia" w:hAnsiTheme="minorEastAsia" w:eastAsiaTheme="minorEastAsia" w:cstheme="minorEastAsia"/>
          <w:spacing w:val="-28"/>
          <w:sz w:val="24"/>
          <w:szCs w:val="24"/>
        </w:rPr>
        <w:t>。</w:t>
      </w:r>
    </w:p>
    <w:p w14:paraId="6E733606">
      <w:pPr>
        <w:spacing w:line="360" w:lineRule="auto"/>
        <w:ind w:left="6" w:right="86"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2.在货物质保期内</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乙方应对由于设计</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工艺</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质量（含环保节能要求</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材 料和的缺陷而发生的任何不足或故障负责</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并解决存在的问题</w:t>
      </w:r>
      <w:r>
        <w:rPr>
          <w:rFonts w:hint="eastAsia" w:asciiTheme="minorEastAsia" w:hAnsiTheme="minorEastAsia" w:eastAsiaTheme="minorEastAsia" w:cstheme="minorEastAsia"/>
          <w:spacing w:val="-30"/>
          <w:sz w:val="24"/>
          <w:szCs w:val="24"/>
        </w:rPr>
        <w:t>。</w:t>
      </w:r>
    </w:p>
    <w:p w14:paraId="78839D6C">
      <w:pPr>
        <w:spacing w:line="360" w:lineRule="auto"/>
        <w:ind w:left="10"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对不符合本合同第</w:t>
      </w:r>
      <w:r>
        <w:rPr>
          <w:rFonts w:hint="eastAsia" w:asciiTheme="minorEastAsia" w:hAnsiTheme="minorEastAsia" w:eastAsiaTheme="minorEastAsia" w:cstheme="minorEastAsia"/>
          <w:spacing w:val="2"/>
          <w:sz w:val="24"/>
          <w:szCs w:val="24"/>
        </w:rPr>
        <w:t>四条规定要求的货物应立即进行调换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调换本身并不影</w:t>
      </w:r>
      <w:r>
        <w:rPr>
          <w:rFonts w:hint="eastAsia" w:asciiTheme="minorEastAsia" w:hAnsiTheme="minorEastAsia" w:eastAsiaTheme="minorEastAsia" w:cstheme="minorEastAsia"/>
          <w:sz w:val="24"/>
          <w:szCs w:val="24"/>
        </w:rPr>
        <w:t xml:space="preserve"> 响甲方就其损失向乙方索赔的权利</w:t>
      </w:r>
      <w:r>
        <w:rPr>
          <w:rFonts w:hint="eastAsia" w:asciiTheme="minorEastAsia" w:hAnsiTheme="minorEastAsia" w:eastAsiaTheme="minorEastAsia" w:cstheme="minorEastAsia"/>
          <w:spacing w:val="-62"/>
          <w:sz w:val="24"/>
          <w:szCs w:val="24"/>
        </w:rPr>
        <w:t>。</w:t>
      </w:r>
    </w:p>
    <w:p w14:paraId="6DED05AB">
      <w:pPr>
        <w:spacing w:before="3" w:line="363" w:lineRule="auto"/>
        <w:ind w:left="6" w:right="67"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3"/>
          <w:sz w:val="24"/>
          <w:szCs w:val="24"/>
        </w:rPr>
        <w:t>货物安装调试完成后，乙方应继续向甲方提</w:t>
      </w:r>
      <w:r>
        <w:rPr>
          <w:rFonts w:hint="eastAsia" w:asciiTheme="minorEastAsia" w:hAnsiTheme="minorEastAsia" w:eastAsiaTheme="minorEastAsia" w:cstheme="minorEastAsia"/>
          <w:spacing w:val="2"/>
          <w:sz w:val="24"/>
          <w:szCs w:val="24"/>
        </w:rPr>
        <w:t>供良好的技术支持</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应当由专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门队伍从事此项工作，并提供全天候的热线技术支持</w:t>
      </w:r>
      <w:r>
        <w:rPr>
          <w:rFonts w:hint="eastAsia" w:asciiTheme="minorEastAsia" w:hAnsiTheme="minorEastAsia" w:eastAsiaTheme="minorEastAsia" w:cstheme="minorEastAsia"/>
          <w:spacing w:val="2"/>
          <w:sz w:val="24"/>
          <w:szCs w:val="24"/>
        </w:rPr>
        <w:t>服务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应当对甲方所反映的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任何问题在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日（</w:t>
      </w:r>
      <w:r>
        <w:rPr>
          <w:rFonts w:hint="eastAsia" w:asciiTheme="minorEastAsia" w:hAnsiTheme="minorEastAsia" w:eastAsiaTheme="minorEastAsia" w:cstheme="minorEastAsia"/>
          <w:spacing w:val="2"/>
          <w:sz w:val="24"/>
          <w:szCs w:val="24"/>
        </w:rPr>
        <w:t>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之内做出及时响应</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之内赶到现场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实地解决问题。若问题、故障</w:t>
      </w:r>
      <w:r>
        <w:rPr>
          <w:rFonts w:hint="eastAsia" w:asciiTheme="minorEastAsia" w:hAnsiTheme="minorEastAsia" w:eastAsiaTheme="minorEastAsia" w:cstheme="minorEastAsia"/>
          <w:spacing w:val="2"/>
          <w:sz w:val="24"/>
          <w:szCs w:val="24"/>
        </w:rPr>
        <w:t>在检修</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工作日（小时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后仍无法解决</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w:t>
      </w:r>
    </w:p>
    <w:p w14:paraId="1E4A207F">
      <w:pPr>
        <w:spacing w:before="78" w:line="360" w:lineRule="auto"/>
        <w:ind w:left="0" w:leftChars="0" w:right="64"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日（小时</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内免费提供不低于故障货物规格型号档次的备用货物供甲方使 用</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直至故障货物修复</w:t>
      </w:r>
      <w:r>
        <w:rPr>
          <w:rFonts w:hint="eastAsia" w:asciiTheme="minorEastAsia" w:hAnsiTheme="minorEastAsia" w:eastAsiaTheme="minorEastAsia" w:cstheme="minorEastAsia"/>
          <w:spacing w:val="-26"/>
          <w:sz w:val="24"/>
          <w:szCs w:val="24"/>
        </w:rPr>
        <w:t>。</w:t>
      </w:r>
    </w:p>
    <w:p w14:paraId="793A7455">
      <w:pPr>
        <w:spacing w:before="1" w:line="359" w:lineRule="auto"/>
        <w:ind w:left="2" w:right="61"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乙方应当建立健全售后服务体系，</w:t>
      </w:r>
      <w:r>
        <w:rPr>
          <w:rFonts w:hint="eastAsia" w:asciiTheme="minorEastAsia" w:hAnsiTheme="minorEastAsia" w:eastAsiaTheme="minorEastAsia" w:cstheme="minorEastAsia"/>
          <w:spacing w:val="2"/>
          <w:sz w:val="24"/>
          <w:szCs w:val="24"/>
        </w:rPr>
        <w:t>确保货物正常运行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乙方应当遵守甲方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的有关管理制度、操作规程。对于乙方违规操作造成甲</w:t>
      </w:r>
      <w:r>
        <w:rPr>
          <w:rFonts w:hint="eastAsia" w:asciiTheme="minorEastAsia" w:hAnsiTheme="minorEastAsia" w:eastAsiaTheme="minorEastAsia" w:cstheme="minorEastAsia"/>
          <w:spacing w:val="2"/>
          <w:sz w:val="24"/>
          <w:szCs w:val="24"/>
        </w:rPr>
        <w:t>方损失的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由乙方按照本</w:t>
      </w:r>
      <w:r>
        <w:rPr>
          <w:rFonts w:hint="eastAsia" w:asciiTheme="minorEastAsia" w:hAnsiTheme="minorEastAsia" w:eastAsiaTheme="minorEastAsia" w:cstheme="minorEastAsia"/>
          <w:sz w:val="24"/>
          <w:szCs w:val="24"/>
        </w:rPr>
        <w:t xml:space="preserve"> 合同第十二条的约定承担赔偿责任</w:t>
      </w:r>
      <w:r>
        <w:rPr>
          <w:rFonts w:hint="eastAsia" w:asciiTheme="minorEastAsia" w:hAnsiTheme="minorEastAsia" w:eastAsiaTheme="minorEastAsia" w:cstheme="minorEastAsia"/>
          <w:spacing w:val="-58"/>
          <w:sz w:val="24"/>
          <w:szCs w:val="24"/>
        </w:rPr>
        <w:t>。</w:t>
      </w:r>
    </w:p>
    <w:p w14:paraId="743C3229">
      <w:pPr>
        <w:spacing w:before="2" w:line="360" w:lineRule="auto"/>
        <w:ind w:left="7" w:right="6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应负责货物及主要部件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配件维修更换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质保期内</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乙方对货物（人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为故意损坏除外）提供全免费保修或免费</w:t>
      </w:r>
      <w:r>
        <w:rPr>
          <w:rFonts w:hint="eastAsia" w:asciiTheme="minorEastAsia" w:hAnsiTheme="minorEastAsia" w:eastAsiaTheme="minorEastAsia" w:cstheme="minorEastAsia"/>
          <w:spacing w:val="2"/>
          <w:sz w:val="24"/>
          <w:szCs w:val="24"/>
        </w:rPr>
        <w:t>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收取维修成本费（备</w:t>
      </w:r>
      <w:r>
        <w:rPr>
          <w:rFonts w:hint="eastAsia" w:asciiTheme="minorEastAsia" w:hAnsiTheme="minorEastAsia" w:eastAsiaTheme="minorEastAsia" w:cstheme="minorEastAsia"/>
          <w:sz w:val="24"/>
          <w:szCs w:val="24"/>
        </w:rPr>
        <w:t xml:space="preserve"> 品备件乙方应以投标文件承诺的优惠价格提供</w:t>
      </w:r>
      <w:r>
        <w:rPr>
          <w:rFonts w:hint="eastAsia" w:asciiTheme="minorEastAsia" w:hAnsiTheme="minorEastAsia" w:eastAsiaTheme="minorEastAsia" w:cstheme="minorEastAsia"/>
          <w:spacing w:val="-69"/>
          <w:sz w:val="24"/>
          <w:szCs w:val="24"/>
        </w:rPr>
        <w:t>）</w:t>
      </w:r>
      <w:r>
        <w:rPr>
          <w:rFonts w:hint="eastAsia" w:asciiTheme="minorEastAsia" w:hAnsiTheme="minorEastAsia" w:eastAsiaTheme="minorEastAsia" w:cstheme="minorEastAsia"/>
          <w:spacing w:val="-68"/>
          <w:sz w:val="24"/>
          <w:szCs w:val="24"/>
        </w:rPr>
        <w:t>。</w:t>
      </w:r>
    </w:p>
    <w:p w14:paraId="5CCDEB42">
      <w:pPr>
        <w:spacing w:line="217" w:lineRule="auto"/>
        <w:ind w:firstLine="494"/>
        <w:rPr>
          <w:rFonts w:hint="eastAsia" w:asciiTheme="minorEastAsia" w:hAnsiTheme="minorEastAsia" w:eastAsiaTheme="minorEastAsia" w:cstheme="minorEastAsia"/>
          <w:spacing w:val="-1"/>
          <w:sz w:val="24"/>
          <w:szCs w:val="24"/>
        </w:rPr>
      </w:pPr>
    </w:p>
    <w:p w14:paraId="215B4141">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分包</w:t>
      </w:r>
    </w:p>
    <w:p w14:paraId="0CA80C16">
      <w:pPr>
        <w:spacing w:before="185" w:line="360" w:lineRule="auto"/>
        <w:ind w:right="80"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除招标采购文件事先说明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且经甲方事先书面同意外</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乙方不得</w:t>
      </w:r>
      <w:r>
        <w:rPr>
          <w:rFonts w:hint="eastAsia" w:asciiTheme="minorEastAsia" w:hAnsiTheme="minorEastAsia" w:eastAsiaTheme="minorEastAsia" w:cstheme="minorEastAsia"/>
          <w:spacing w:val="1"/>
          <w:sz w:val="24"/>
          <w:szCs w:val="24"/>
        </w:rPr>
        <w:t>分包其应履</w:t>
      </w:r>
      <w:r>
        <w:rPr>
          <w:rFonts w:hint="eastAsia" w:asciiTheme="minorEastAsia" w:hAnsiTheme="minorEastAsia" w:eastAsiaTheme="minorEastAsia" w:cstheme="minorEastAsia"/>
          <w:sz w:val="24"/>
          <w:szCs w:val="24"/>
        </w:rPr>
        <w:t xml:space="preserve"> 行的合同义务</w:t>
      </w:r>
      <w:r>
        <w:rPr>
          <w:rFonts w:hint="eastAsia" w:asciiTheme="minorEastAsia" w:hAnsiTheme="minorEastAsia" w:eastAsiaTheme="minorEastAsia" w:cstheme="minorEastAsia"/>
          <w:spacing w:val="-50"/>
          <w:sz w:val="24"/>
          <w:szCs w:val="24"/>
        </w:rPr>
        <w:t>。</w:t>
      </w:r>
    </w:p>
    <w:p w14:paraId="1DEA6C93">
      <w:pPr>
        <w:spacing w:line="217" w:lineRule="auto"/>
        <w:ind w:firstLine="494"/>
        <w:rPr>
          <w:rFonts w:hint="eastAsia" w:asciiTheme="minorEastAsia" w:hAnsiTheme="minorEastAsia" w:eastAsiaTheme="minorEastAsia" w:cstheme="minorEastAsia"/>
          <w:spacing w:val="-1"/>
          <w:sz w:val="24"/>
          <w:szCs w:val="24"/>
        </w:rPr>
      </w:pPr>
    </w:p>
    <w:p w14:paraId="63806489">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第十一条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合同的生效</w:t>
      </w:r>
    </w:p>
    <w:p w14:paraId="712D8654">
      <w:pPr>
        <w:spacing w:before="186" w:line="215"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1.本合同经甲乙双方授权代表签订并加盖公章或合同专用章后生效</w:t>
      </w:r>
      <w:r>
        <w:rPr>
          <w:rFonts w:hint="eastAsia" w:asciiTheme="minorEastAsia" w:hAnsiTheme="minorEastAsia" w:eastAsiaTheme="minorEastAsia" w:cstheme="minorEastAsia"/>
          <w:spacing w:val="-71"/>
          <w:sz w:val="24"/>
          <w:szCs w:val="24"/>
        </w:rPr>
        <w:t>。</w:t>
      </w:r>
    </w:p>
    <w:p w14:paraId="77692FBC">
      <w:pPr>
        <w:spacing w:before="188" w:line="360" w:lineRule="auto"/>
        <w:ind w:left="2" w:right="65"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2.生效后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除《政府采购法》第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49</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50 条第二款规定的情形外</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甲乙 双方不得擅自变更</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中止或终止合同</w:t>
      </w:r>
      <w:r>
        <w:rPr>
          <w:rFonts w:hint="eastAsia" w:asciiTheme="minorEastAsia" w:hAnsiTheme="minorEastAsia" w:eastAsiaTheme="minorEastAsia" w:cstheme="minorEastAsia"/>
          <w:spacing w:val="-29"/>
          <w:sz w:val="24"/>
          <w:szCs w:val="24"/>
        </w:rPr>
        <w:t>。</w:t>
      </w:r>
    </w:p>
    <w:p w14:paraId="6D6CFF5C">
      <w:pPr>
        <w:spacing w:before="1"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违约责任</w:t>
      </w:r>
    </w:p>
    <w:p w14:paraId="6C9790D9">
      <w:pPr>
        <w:spacing w:before="185" w:line="360" w:lineRule="auto"/>
        <w:ind w:right="61"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乙方所交付的货物不符合</w:t>
      </w:r>
      <w:r>
        <w:rPr>
          <w:rFonts w:hint="eastAsia" w:asciiTheme="minorEastAsia" w:hAnsiTheme="minorEastAsia" w:eastAsiaTheme="minorEastAsia" w:cstheme="minorEastAsia"/>
          <w:spacing w:val="2"/>
          <w:sz w:val="24"/>
          <w:szCs w:val="24"/>
        </w:rPr>
        <w:t>本合同规定的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甲方有权拒收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乙方在得到甲方</w:t>
      </w:r>
      <w:r>
        <w:rPr>
          <w:rFonts w:hint="eastAsia" w:asciiTheme="minorEastAsia" w:hAnsiTheme="minorEastAsia" w:eastAsiaTheme="minorEastAsia" w:cstheme="minorEastAsia"/>
          <w:sz w:val="24"/>
          <w:szCs w:val="24"/>
        </w:rPr>
        <w:t xml:space="preserve"> 通知之日起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个工作日内采取补救措施</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逾期仍未采取有效措施的</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甲方有权 </w:t>
      </w:r>
      <w:r>
        <w:rPr>
          <w:rFonts w:hint="eastAsia" w:asciiTheme="minorEastAsia" w:hAnsiTheme="minorEastAsia" w:eastAsiaTheme="minorEastAsia" w:cstheme="minorEastAsia"/>
          <w:spacing w:val="3"/>
          <w:sz w:val="24"/>
          <w:szCs w:val="24"/>
        </w:rPr>
        <w:t>要求乙方赔偿因此造成的损失或扣留履约保证金</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同时乙方应</w:t>
      </w:r>
      <w:r>
        <w:rPr>
          <w:rFonts w:hint="eastAsia" w:asciiTheme="minorEastAsia" w:hAnsiTheme="minorEastAsia" w:eastAsiaTheme="minorEastAsia" w:cstheme="minorEastAsia"/>
          <w:spacing w:val="2"/>
          <w:sz w:val="24"/>
          <w:szCs w:val="24"/>
        </w:rPr>
        <w:t>向甲方支付合同总</w:t>
      </w:r>
      <w:r>
        <w:rPr>
          <w:rFonts w:hint="eastAsia" w:asciiTheme="minorEastAsia" w:hAnsiTheme="minorEastAsia" w:eastAsiaTheme="minorEastAsia" w:cstheme="minorEastAsia"/>
          <w:sz w:val="24"/>
          <w:szCs w:val="24"/>
        </w:rPr>
        <w:t xml:space="preserve"> 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％的违约金</w:t>
      </w:r>
      <w:r>
        <w:rPr>
          <w:rFonts w:hint="eastAsia" w:asciiTheme="minorEastAsia" w:hAnsiTheme="minorEastAsia" w:eastAsiaTheme="minorEastAsia" w:cstheme="minorEastAsia"/>
          <w:spacing w:val="-41"/>
          <w:sz w:val="24"/>
          <w:szCs w:val="24"/>
        </w:rPr>
        <w:t>。</w:t>
      </w:r>
    </w:p>
    <w:p w14:paraId="44489C20">
      <w:pPr>
        <w:spacing w:line="359" w:lineRule="auto"/>
        <w:ind w:left="20" w:right="118"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2.甲方无正当理由拒收货物</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拒付货款的</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甲方应向乙方偿付拒付货款</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的违约金</w:t>
      </w:r>
      <w:r>
        <w:rPr>
          <w:rFonts w:hint="eastAsia" w:asciiTheme="minorEastAsia" w:hAnsiTheme="minorEastAsia" w:eastAsiaTheme="minorEastAsia" w:cstheme="minorEastAsia"/>
          <w:spacing w:val="-63"/>
          <w:sz w:val="24"/>
          <w:szCs w:val="24"/>
        </w:rPr>
        <w:t>。</w:t>
      </w:r>
    </w:p>
    <w:p w14:paraId="25CEC3F5">
      <w:pPr>
        <w:spacing w:before="5" w:line="359" w:lineRule="auto"/>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3.乙方无正当理由逾期交付货物的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乙方向甲方偿付逾期交货 部分货款总额的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‰的违约金</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如乙方逾期交货达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甲方有权解除合同</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 xml:space="preserve"> 甲方解除合同的通知自到达乙方时生效。</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rPr>
        <w:t>在此情况下，乙方给甲方造成的实际损 失高于违约金的</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z w:val="24"/>
          <w:szCs w:val="24"/>
        </w:rPr>
        <w:t>对高出违约金的部分乙方应予以赔偿</w:t>
      </w:r>
      <w:r>
        <w:rPr>
          <w:rFonts w:hint="eastAsia" w:asciiTheme="minorEastAsia" w:hAnsiTheme="minorEastAsia" w:eastAsiaTheme="minorEastAsia" w:cstheme="minorEastAsia"/>
          <w:spacing w:val="-28"/>
          <w:sz w:val="24"/>
          <w:szCs w:val="24"/>
        </w:rPr>
        <w:t>。</w:t>
      </w:r>
    </w:p>
    <w:p w14:paraId="2C571AAB">
      <w:pPr>
        <w:spacing w:before="2" w:line="368" w:lineRule="auto"/>
        <w:ind w:left="12"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4.甲方未按合同规定的期限向乙方支付货款的</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天甲方向乙方偿付 欠款总额的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‰违约金</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但累计违约金总额不超过欠款总额的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w:t>
      </w:r>
    </w:p>
    <w:p w14:paraId="5BA2E9CD">
      <w:pPr>
        <w:spacing w:before="78" w:line="360" w:lineRule="auto"/>
        <w:ind w:left="8" w:right="61"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5.在乙方承诺的或国家规定的质量保证期内（取两者中最长的期限</w:t>
      </w:r>
      <w:r>
        <w:rPr>
          <w:rFonts w:hint="eastAsia" w:asciiTheme="minorEastAsia" w:hAnsiTheme="minorEastAsia" w:eastAsiaTheme="minorEastAsia" w:cstheme="minorEastAsia"/>
          <w:spacing w:val="-80"/>
          <w:sz w:val="24"/>
          <w:szCs w:val="24"/>
        </w:rPr>
        <w:t>）</w:t>
      </w:r>
      <w:r>
        <w:rPr>
          <w:rFonts w:hint="eastAsia" w:asciiTheme="minorEastAsia" w:hAnsiTheme="minorEastAsia" w:eastAsiaTheme="minorEastAsia" w:cstheme="minorEastAsia"/>
          <w:spacing w:val="-79"/>
          <w:sz w:val="24"/>
          <w:szCs w:val="24"/>
        </w:rPr>
        <w:t>，</w:t>
      </w:r>
      <w:r>
        <w:rPr>
          <w:rFonts w:hint="eastAsia" w:asciiTheme="minorEastAsia" w:hAnsiTheme="minorEastAsia" w:eastAsiaTheme="minorEastAsia" w:cstheme="minorEastAsia"/>
          <w:sz w:val="24"/>
          <w:szCs w:val="24"/>
        </w:rPr>
        <w:t xml:space="preserve">如经乙 </w:t>
      </w:r>
      <w:r>
        <w:rPr>
          <w:rFonts w:hint="eastAsia" w:asciiTheme="minorEastAsia" w:hAnsiTheme="minorEastAsia" w:eastAsiaTheme="minorEastAsia" w:cstheme="minorEastAsia"/>
          <w:spacing w:val="3"/>
          <w:sz w:val="24"/>
          <w:szCs w:val="24"/>
        </w:rPr>
        <w:t>方两次维修，货物仍不能达到合同约定的质量标准、</w:t>
      </w:r>
      <w:r>
        <w:rPr>
          <w:rFonts w:hint="eastAsia" w:asciiTheme="minorEastAsia" w:hAnsiTheme="minorEastAsia" w:eastAsiaTheme="minorEastAsia" w:cstheme="minorEastAsia"/>
          <w:spacing w:val="2"/>
          <w:sz w:val="24"/>
          <w:szCs w:val="24"/>
        </w:rPr>
        <w:t>运行效果的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甲方有权要求</w:t>
      </w:r>
      <w:r>
        <w:rPr>
          <w:rFonts w:hint="eastAsia" w:asciiTheme="minorEastAsia" w:hAnsiTheme="minorEastAsia" w:eastAsiaTheme="minorEastAsia" w:cstheme="minorEastAsia"/>
          <w:sz w:val="24"/>
          <w:szCs w:val="24"/>
        </w:rPr>
        <w:t xml:space="preserve"> 乙方更换为全新合格货物并按本条第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款处理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乙方还须赔偿甲方因此遭 受的损失</w:t>
      </w:r>
      <w:r>
        <w:rPr>
          <w:rFonts w:hint="eastAsia" w:asciiTheme="minorEastAsia" w:hAnsiTheme="minorEastAsia" w:eastAsiaTheme="minorEastAsia" w:cstheme="minorEastAsia"/>
          <w:spacing w:val="-50"/>
          <w:sz w:val="24"/>
          <w:szCs w:val="24"/>
        </w:rPr>
        <w:t>。</w:t>
      </w:r>
    </w:p>
    <w:p w14:paraId="5917ECED">
      <w:pPr>
        <w:spacing w:line="360" w:lineRule="auto"/>
        <w:ind w:left="1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6.其它未尽事宜</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以《合同法》和《政府采购法》等有关法律法规规定为准</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z w:val="24"/>
          <w:szCs w:val="24"/>
        </w:rPr>
        <w:t xml:space="preserve"> 无相关规定的</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双方协商解决</w:t>
      </w:r>
      <w:r>
        <w:rPr>
          <w:rFonts w:hint="eastAsia" w:asciiTheme="minorEastAsia" w:hAnsiTheme="minorEastAsia" w:eastAsiaTheme="minorEastAsia" w:cstheme="minorEastAsia"/>
          <w:spacing w:val="-30"/>
          <w:sz w:val="24"/>
          <w:szCs w:val="24"/>
        </w:rPr>
        <w:t>。</w:t>
      </w:r>
    </w:p>
    <w:p w14:paraId="153EC7B9">
      <w:pPr>
        <w:spacing w:line="217" w:lineRule="auto"/>
        <w:ind w:firstLine="499"/>
        <w:rPr>
          <w:rFonts w:hint="eastAsia" w:asciiTheme="minorEastAsia" w:hAnsiTheme="minorEastAsia" w:eastAsiaTheme="minorEastAsia" w:cstheme="minorEastAsia"/>
          <w:spacing w:val="-1"/>
          <w:sz w:val="24"/>
          <w:szCs w:val="24"/>
        </w:rPr>
      </w:pPr>
    </w:p>
    <w:p w14:paraId="3870BD73">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第十三条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不可抗力</w:t>
      </w:r>
    </w:p>
    <w:p w14:paraId="6C2AB40F">
      <w:pPr>
        <w:spacing w:before="185" w:line="360" w:lineRule="auto"/>
        <w:ind w:right="61"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乙方中任何一方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因不可抗力不能按时或完全履行</w:t>
      </w:r>
      <w:r>
        <w:rPr>
          <w:rFonts w:hint="eastAsia" w:asciiTheme="minorEastAsia" w:hAnsiTheme="minorEastAsia" w:eastAsiaTheme="minorEastAsia" w:cstheme="minorEastAsia"/>
          <w:spacing w:val="1"/>
          <w:sz w:val="24"/>
          <w:szCs w:val="24"/>
        </w:rPr>
        <w:t>合同的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应及时通知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对方，并在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个工作日内提供相应证明。未履行完合同</w:t>
      </w:r>
      <w:r>
        <w:rPr>
          <w:rFonts w:hint="eastAsia" w:asciiTheme="minorEastAsia" w:hAnsiTheme="minorEastAsia" w:eastAsiaTheme="minorEastAsia" w:cstheme="minorEastAsia"/>
          <w:spacing w:val="2"/>
          <w:sz w:val="24"/>
          <w:szCs w:val="24"/>
        </w:rPr>
        <w:t>部分是否继续履行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何履行等问题</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可由双方初步协商</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并向主管部门和政府采购管</w:t>
      </w:r>
      <w:r>
        <w:rPr>
          <w:rFonts w:hint="eastAsia" w:asciiTheme="minorEastAsia" w:hAnsiTheme="minorEastAsia" w:eastAsiaTheme="minorEastAsia" w:cstheme="minorEastAsia"/>
          <w:spacing w:val="2"/>
          <w:sz w:val="24"/>
          <w:szCs w:val="24"/>
        </w:rPr>
        <w:t>理部门报告</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确</w:t>
      </w:r>
      <w:r>
        <w:rPr>
          <w:rFonts w:hint="eastAsia" w:asciiTheme="minorEastAsia" w:hAnsiTheme="minorEastAsia" w:eastAsiaTheme="minorEastAsia" w:cstheme="minorEastAsia"/>
          <w:sz w:val="24"/>
          <w:szCs w:val="24"/>
        </w:rPr>
        <w:t xml:space="preserve"> 定为不可抗力原因造成的损失</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免予承担责任</w:t>
      </w:r>
      <w:r>
        <w:rPr>
          <w:rFonts w:hint="eastAsia" w:asciiTheme="minorEastAsia" w:hAnsiTheme="minorEastAsia" w:eastAsiaTheme="minorEastAsia" w:cstheme="minorEastAsia"/>
          <w:spacing w:val="-25"/>
          <w:sz w:val="24"/>
          <w:szCs w:val="24"/>
        </w:rPr>
        <w:t>。</w:t>
      </w:r>
    </w:p>
    <w:p w14:paraId="2511A37E">
      <w:pPr>
        <w:spacing w:line="217" w:lineRule="auto"/>
        <w:ind w:firstLine="499"/>
        <w:rPr>
          <w:rFonts w:hint="eastAsia" w:asciiTheme="minorEastAsia" w:hAnsiTheme="minorEastAsia" w:eastAsiaTheme="minorEastAsia" w:cstheme="minorEastAsia"/>
          <w:spacing w:val="-1"/>
          <w:sz w:val="24"/>
          <w:szCs w:val="24"/>
        </w:rPr>
      </w:pPr>
    </w:p>
    <w:p w14:paraId="03D7F001">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四条</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争议的解决方式</w:t>
      </w:r>
    </w:p>
    <w:p w14:paraId="7F985E8D">
      <w:pPr>
        <w:spacing w:before="181" w:line="361" w:lineRule="auto"/>
        <w:ind w:left="5" w:right="62"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因货物的质量问题发生争议</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应当邀请国家认可的质量检测机构对货物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质量进</w:t>
      </w:r>
      <w:r>
        <w:rPr>
          <w:rFonts w:hint="eastAsia" w:asciiTheme="minorEastAsia" w:hAnsiTheme="minorEastAsia" w:eastAsiaTheme="minorEastAsia" w:cstheme="minorEastAsia"/>
          <w:spacing w:val="1"/>
          <w:sz w:val="24"/>
          <w:szCs w:val="24"/>
        </w:rPr>
        <w:t>行鉴定</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货物符合标准的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鉴定费由甲方承担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货物不符合质量标准的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鉴定费由乙方承担</w:t>
      </w:r>
      <w:r>
        <w:rPr>
          <w:rFonts w:hint="eastAsia" w:asciiTheme="minorEastAsia" w:hAnsiTheme="minorEastAsia" w:eastAsiaTheme="minorEastAsia" w:cstheme="minorEastAsia"/>
          <w:spacing w:val="-53"/>
          <w:sz w:val="24"/>
          <w:szCs w:val="24"/>
        </w:rPr>
        <w:t>。</w:t>
      </w:r>
    </w:p>
    <w:p w14:paraId="288987BA">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2.在解释或者执行本合同的过程中发生争议时</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双方应通过协商方式解决</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 xml:space="preserve"> </w:t>
      </w:r>
    </w:p>
    <w:p w14:paraId="1FA3C170">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3.经协商不能解决的争议</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双方可选择以下第</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种方式解决</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 xml:space="preserve">           </w:t>
      </w:r>
    </w:p>
    <w:p w14:paraId="110772F8">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有管辖权的法院提起诉讼</w:t>
      </w:r>
      <w:r>
        <w:rPr>
          <w:rFonts w:hint="eastAsia" w:asciiTheme="minorEastAsia" w:hAnsiTheme="minorEastAsia" w:eastAsiaTheme="minorEastAsia" w:cstheme="minorEastAsia"/>
          <w:spacing w:val="-81"/>
          <w:sz w:val="24"/>
          <w:szCs w:val="24"/>
        </w:rPr>
        <w:t>；</w:t>
      </w:r>
    </w:p>
    <w:p w14:paraId="226DD8F1">
      <w:pPr>
        <w:spacing w:line="369" w:lineRule="auto"/>
        <w:ind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仲裁委员会提出仲裁</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 xml:space="preserve">                           </w:t>
      </w:r>
    </w:p>
    <w:p w14:paraId="36A97E5F">
      <w:pPr>
        <w:spacing w:line="369" w:lineRule="auto"/>
        <w:ind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.在法院审理和仲裁期间</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除有争议部分外，</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本合同其他部分可以履行的仍</w:t>
      </w:r>
    </w:p>
    <w:p w14:paraId="50FA1B78">
      <w:pPr>
        <w:spacing w:before="1" w:line="215"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应按合同条款继续履行</w:t>
      </w:r>
      <w:r>
        <w:rPr>
          <w:rFonts w:hint="eastAsia" w:asciiTheme="minorEastAsia" w:hAnsiTheme="minorEastAsia" w:eastAsiaTheme="minorEastAsia" w:cstheme="minorEastAsia"/>
          <w:spacing w:val="-59"/>
          <w:sz w:val="24"/>
          <w:szCs w:val="24"/>
        </w:rPr>
        <w:t>。</w:t>
      </w:r>
    </w:p>
    <w:p w14:paraId="6600871E">
      <w:pPr>
        <w:spacing w:before="136" w:line="217" w:lineRule="auto"/>
        <w:ind w:firstLine="499"/>
        <w:rPr>
          <w:rFonts w:hint="eastAsia" w:asciiTheme="minorEastAsia" w:hAnsiTheme="minorEastAsia" w:eastAsiaTheme="minorEastAsia" w:cstheme="minorEastAsia"/>
          <w:spacing w:val="-1"/>
          <w:sz w:val="24"/>
          <w:szCs w:val="24"/>
        </w:rPr>
      </w:pPr>
    </w:p>
    <w:p w14:paraId="336DD63C">
      <w:pPr>
        <w:spacing w:before="136"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第十五</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其他</w:t>
      </w:r>
    </w:p>
    <w:p w14:paraId="0557ABF5">
      <w:pPr>
        <w:spacing w:before="186" w:line="360" w:lineRule="auto"/>
        <w:ind w:left="11" w:right="65"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符合《政府采购法》第 49 条规定的</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经双方协商</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办理政府采购手续后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可 签订补充合同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z w:val="24"/>
          <w:szCs w:val="24"/>
        </w:rPr>
        <w:t>所签订的补充合同与本合同具有同等法律效力</w:t>
      </w:r>
      <w:r>
        <w:rPr>
          <w:rFonts w:hint="eastAsia" w:asciiTheme="minorEastAsia" w:hAnsiTheme="minorEastAsia" w:eastAsiaTheme="minorEastAsia" w:cstheme="minorEastAsia"/>
          <w:spacing w:val="-32"/>
          <w:sz w:val="24"/>
          <w:szCs w:val="24"/>
        </w:rPr>
        <w:t>。</w:t>
      </w:r>
    </w:p>
    <w:p w14:paraId="771E942B">
      <w:pPr>
        <w:spacing w:line="217"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乙双方各执</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份</w:t>
      </w:r>
      <w:r>
        <w:rPr>
          <w:rFonts w:hint="eastAsia" w:asciiTheme="minorEastAsia" w:hAnsiTheme="minorEastAsia" w:eastAsiaTheme="minorEastAsia" w:cstheme="minorEastAsia"/>
          <w:spacing w:val="-10"/>
          <w:sz w:val="24"/>
          <w:szCs w:val="24"/>
        </w:rPr>
        <w:t>。</w:t>
      </w:r>
    </w:p>
    <w:p w14:paraId="76030BF0">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方</w:t>
      </w:r>
      <w:r>
        <w:rPr>
          <w:rFonts w:hint="eastAsia" w:asciiTheme="minorEastAsia" w:hAnsiTheme="minorEastAsia" w:eastAsiaTheme="minorEastAsia" w:cstheme="minorEastAsia"/>
          <w:spacing w:val="-69"/>
          <w:sz w:val="24"/>
          <w:szCs w:val="24"/>
        </w:rPr>
        <w:t>：</w:t>
      </w:r>
      <w:r>
        <w:rPr>
          <w:rFonts w:hint="eastAsia" w:asciiTheme="minorEastAsia" w:hAnsiTheme="minorEastAsia" w:cstheme="minorEastAsia"/>
          <w:spacing w:val="-69"/>
          <w:sz w:val="24"/>
          <w:szCs w:val="24"/>
          <w:lang w:val="en-US" w:eastAsia="zh-CN"/>
        </w:rPr>
        <w:t xml:space="preserve">               </w:t>
      </w:r>
      <w:r>
        <w:rPr>
          <w:rFonts w:hint="eastAsia" w:asciiTheme="minorEastAsia" w:hAnsiTheme="minorEastAsia" w:eastAsiaTheme="minorEastAsia" w:cstheme="minorEastAsia"/>
          <w:sz w:val="24"/>
          <w:szCs w:val="24"/>
        </w:rPr>
        <w:t>乙   方：</w:t>
      </w:r>
    </w:p>
    <w:p w14:paraId="21BD7DE9">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 （盖章）</w:t>
      </w:r>
    </w:p>
    <w:p w14:paraId="0280BBF7">
      <w:pPr>
        <w:spacing w:before="48" w:line="217" w:lineRule="auto"/>
        <w:ind w:firstLine="519"/>
        <w:rPr>
          <w:rFonts w:hint="eastAsia" w:asciiTheme="minorEastAsia" w:hAnsiTheme="minorEastAsia" w:eastAsiaTheme="minorEastAsia" w:cstheme="minorEastAsia"/>
          <w:sz w:val="24"/>
          <w:szCs w:val="24"/>
        </w:rPr>
      </w:pPr>
    </w:p>
    <w:p w14:paraId="28A4C544">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pacing w:val="-48"/>
          <w:sz w:val="24"/>
          <w:szCs w:val="24"/>
        </w:rPr>
        <w:t>）</w:t>
      </w:r>
    </w:p>
    <w:p w14:paraId="6B7203F4">
      <w:pPr>
        <w:spacing w:line="161" w:lineRule="exact"/>
        <w:rPr>
          <w:rFonts w:hint="eastAsia" w:asciiTheme="minorEastAsia" w:hAnsiTheme="minorEastAsia" w:eastAsiaTheme="minorEastAsia" w:cstheme="minorEastAsia"/>
          <w:sz w:val="24"/>
          <w:szCs w:val="24"/>
        </w:rPr>
      </w:pPr>
    </w:p>
    <w:p w14:paraId="3B2CA042">
      <w:pPr>
        <w:rPr>
          <w:rFonts w:hint="eastAsia" w:asciiTheme="minorEastAsia" w:hAnsiTheme="minorEastAsia" w:eastAsiaTheme="minorEastAsia" w:cstheme="minorEastAsia"/>
          <w:sz w:val="24"/>
          <w:szCs w:val="24"/>
        </w:rPr>
        <w:sectPr>
          <w:pgSz w:w="11905" w:h="16840"/>
          <w:pgMar w:top="1134" w:right="1134" w:bottom="1134" w:left="1417" w:header="0" w:footer="0" w:gutter="0"/>
          <w:pgNumType w:fmt="numberInDash"/>
          <w:cols w:space="720" w:num="1"/>
          <w:rtlGutter w:val="0"/>
        </w:sectPr>
      </w:pPr>
    </w:p>
    <w:p w14:paraId="7A26354D">
      <w:pPr>
        <w:spacing w:before="47" w:line="22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C24D8ED">
      <w:pPr>
        <w:spacing w:before="172" w:line="468" w:lineRule="exact"/>
        <w:ind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7CE0718F">
      <w:pPr>
        <w:spacing w:line="21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45221FEA">
      <w:pPr>
        <w:spacing w:before="185" w:line="216" w:lineRule="auto"/>
        <w:ind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186003">
      <w:pPr>
        <w:spacing w:before="187" w:line="216"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5E2E4130">
      <w:pPr>
        <w:spacing w:before="187" w:line="18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合同法律审核（盖章</w:t>
      </w:r>
      <w:r>
        <w:rPr>
          <w:rFonts w:hint="eastAsia" w:asciiTheme="minorEastAsia" w:hAnsiTheme="minorEastAsia" w:eastAsiaTheme="minorEastAsia" w:cstheme="minorEastAsia"/>
          <w:spacing w:val="-67"/>
          <w:sz w:val="24"/>
          <w:szCs w:val="24"/>
        </w:rPr>
        <w:t>）</w:t>
      </w:r>
      <w:r>
        <w:rPr>
          <w:rFonts w:hint="eastAsia" w:asciiTheme="minorEastAsia" w:hAnsiTheme="minorEastAsia" w:eastAsiaTheme="minorEastAsia" w:cstheme="minorEastAsia"/>
          <w:spacing w:val="-66"/>
          <w:sz w:val="24"/>
          <w:szCs w:val="24"/>
        </w:rPr>
        <w:t>：</w:t>
      </w:r>
    </w:p>
    <w:p w14:paraId="7B7F9B77">
      <w:pPr>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14:paraId="0FA97ED7">
      <w:pPr>
        <w:spacing w:before="46"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39694C5">
      <w:pPr>
        <w:spacing w:before="172" w:line="468" w:lineRule="exact"/>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26C859A1">
      <w:pPr>
        <w:spacing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1C61FAF7">
      <w:pPr>
        <w:spacing w:before="185" w:line="216" w:lineRule="auto"/>
        <w:ind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B24788">
      <w:pPr>
        <w:spacing w:before="187" w:line="21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6A0755B3">
      <w:pPr>
        <w:rPr>
          <w:rFonts w:hint="eastAsia" w:asciiTheme="minorEastAsia" w:hAnsiTheme="minorEastAsia" w:eastAsiaTheme="minorEastAsia" w:cstheme="minorEastAsia"/>
          <w:sz w:val="24"/>
          <w:szCs w:val="24"/>
        </w:rPr>
        <w:sectPr>
          <w:type w:val="continuous"/>
          <w:pgSz w:w="11905" w:h="16840"/>
          <w:pgMar w:top="1134" w:right="1134" w:bottom="1134" w:left="1417" w:header="0" w:footer="0" w:gutter="0"/>
          <w:pgNumType w:fmt="numberInDash"/>
          <w:cols w:equalWidth="0" w:num="2">
            <w:col w:w="4632" w:space="100"/>
            <w:col w:w="4621"/>
          </w:cols>
          <w:rtlGutter w:val="0"/>
        </w:sectPr>
      </w:pPr>
    </w:p>
    <w:p w14:paraId="3E2D3018">
      <w:pPr>
        <w:spacing w:before="229" w:line="217" w:lineRule="auto"/>
        <w:ind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间</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z w:val="24"/>
          <w:szCs w:val="24"/>
        </w:rPr>
        <w:t>年     月     日</w:t>
      </w:r>
    </w:p>
    <w:p w14:paraId="18C8A895">
      <w:pPr>
        <w:spacing w:before="199" w:line="220" w:lineRule="auto"/>
        <w:ind w:firstLine="4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特别说明</w:t>
      </w:r>
      <w:r>
        <w:rPr>
          <w:rFonts w:hint="eastAsia" w:asciiTheme="minorEastAsia" w:hAnsiTheme="minorEastAsia" w:eastAsiaTheme="minorEastAsia" w:cstheme="minorEastAsia"/>
          <w:color w:val="auto"/>
          <w:spacing w:val="-5"/>
          <w:sz w:val="24"/>
          <w:szCs w:val="24"/>
        </w:rPr>
        <w:t>：</w:t>
      </w:r>
    </w:p>
    <w:p w14:paraId="67EA1C59">
      <w:pPr>
        <w:spacing w:before="218" w:line="411" w:lineRule="auto"/>
        <w:ind w:right="44" w:firstLine="4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1.本范本根据《政府采购法》</w:t>
      </w:r>
      <w:r>
        <w:rPr>
          <w:rFonts w:hint="eastAsia" w:asciiTheme="minorEastAsia" w:hAnsiTheme="minorEastAsia" w:eastAsiaTheme="minorEastAsia" w:cstheme="minorEastAsia"/>
          <w:color w:val="auto"/>
          <w:spacing w:val="-60"/>
          <w:sz w:val="24"/>
          <w:szCs w:val="24"/>
        </w:rPr>
        <w:t>、</w:t>
      </w:r>
      <w:r>
        <w:rPr>
          <w:rFonts w:hint="eastAsia" w:asciiTheme="minorEastAsia" w:hAnsiTheme="minorEastAsia" w:eastAsiaTheme="minorEastAsia" w:cstheme="minorEastAsia"/>
          <w:color w:val="auto"/>
          <w:sz w:val="24"/>
          <w:szCs w:val="24"/>
        </w:rPr>
        <w:t>《合同法》等法律法规制定</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具体项目的采购合同条款</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在本范本框架内由</w:t>
      </w:r>
      <w:r>
        <w:rPr>
          <w:rFonts w:hint="eastAsia" w:asciiTheme="minorEastAsia" w:hAnsiTheme="minorEastAsia" w:eastAsiaTheme="minorEastAsia" w:cstheme="minorEastAsia"/>
          <w:color w:val="auto"/>
          <w:sz w:val="24"/>
          <w:szCs w:val="24"/>
        </w:rPr>
        <w:t>甲乙双方协商一致签订</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z w:val="24"/>
          <w:szCs w:val="24"/>
        </w:rPr>
        <w:t>空格处划横线</w:t>
      </w:r>
      <w:r>
        <w:rPr>
          <w:rFonts w:hint="eastAsia" w:asciiTheme="minorEastAsia" w:hAnsiTheme="minorEastAsia" w:eastAsiaTheme="minorEastAsia" w:cstheme="minorEastAsia"/>
          <w:color w:val="auto"/>
          <w:spacing w:val="1"/>
          <w:sz w:val="24"/>
          <w:szCs w:val="24"/>
        </w:rPr>
        <w:t>。</w:t>
      </w:r>
    </w:p>
    <w:p w14:paraId="2481350C">
      <w:pPr>
        <w:spacing w:before="1" w:line="411" w:lineRule="auto"/>
        <w:ind w:firstLine="4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3"/>
          <w:sz w:val="24"/>
          <w:szCs w:val="24"/>
        </w:rPr>
        <w:t>收款单位名称应与本</w:t>
      </w:r>
      <w:r>
        <w:rPr>
          <w:rFonts w:hint="eastAsia" w:asciiTheme="minorEastAsia" w:hAnsiTheme="minorEastAsia" w:eastAsiaTheme="minorEastAsia" w:cstheme="minorEastAsia"/>
          <w:color w:val="auto"/>
          <w:spacing w:val="2"/>
          <w:sz w:val="24"/>
          <w:szCs w:val="24"/>
        </w:rPr>
        <w:t>合同乙方单位名称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项目中标单位名称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开具发票单位名称相一</w:t>
      </w: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pacing w:val="-19"/>
          <w:sz w:val="24"/>
          <w:szCs w:val="24"/>
        </w:rPr>
        <w:t>。</w:t>
      </w:r>
    </w:p>
    <w:p w14:paraId="5C059E10">
      <w:pPr>
        <w:spacing w:before="1" w:line="411" w:lineRule="auto"/>
        <w:ind w:left="1" w:firstLine="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3.甲方（采购单位</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z w:val="24"/>
          <w:szCs w:val="24"/>
        </w:rPr>
        <w:t>应盖本单位公章（不允许盖内设科室章</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pacing w:val="-40"/>
          <w:sz w:val="24"/>
          <w:szCs w:val="24"/>
        </w:rPr>
        <w:t>，</w:t>
      </w:r>
      <w:r>
        <w:rPr>
          <w:rFonts w:hint="eastAsia" w:asciiTheme="minorEastAsia" w:hAnsiTheme="minorEastAsia" w:eastAsiaTheme="minorEastAsia" w:cstheme="minorEastAsia"/>
          <w:color w:val="auto"/>
          <w:sz w:val="24"/>
          <w:szCs w:val="24"/>
        </w:rPr>
        <w:t>乙方应盖单位公章或合同 专用章</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合同双方应盖骑缝章</w:t>
      </w:r>
      <w:r>
        <w:rPr>
          <w:rFonts w:hint="eastAsia" w:asciiTheme="minorEastAsia" w:hAnsiTheme="minorEastAsia" w:eastAsiaTheme="minorEastAsia" w:cstheme="minorEastAsia"/>
          <w:color w:val="auto"/>
          <w:spacing w:val="-11"/>
          <w:sz w:val="24"/>
          <w:szCs w:val="24"/>
        </w:rPr>
        <w:t>。</w:t>
      </w:r>
    </w:p>
    <w:p w14:paraId="6F14876D">
      <w:pPr>
        <w:spacing w:before="1" w:line="411" w:lineRule="auto"/>
        <w:ind w:left="1"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除涉密项目外</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根据《政府采购法实施条例》第</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50 条规定</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采购人应当自政府采购 合同签订之日起 2 个工作日内</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将政府采购合同在省级以上人民政府财政部门指定的媒体上公告</w:t>
      </w:r>
      <w:r>
        <w:rPr>
          <w:rFonts w:hint="eastAsia" w:asciiTheme="minorEastAsia" w:hAnsiTheme="minorEastAsia" w:eastAsiaTheme="minorEastAsia" w:cstheme="minorEastAsia"/>
          <w:color w:val="auto"/>
          <w:spacing w:val="-28"/>
          <w:sz w:val="24"/>
          <w:szCs w:val="24"/>
        </w:rPr>
        <w:t>。</w:t>
      </w:r>
    </w:p>
    <w:p w14:paraId="59BCC829">
      <w:pPr>
        <w:rPr>
          <w:rFonts w:hint="eastAsia" w:asciiTheme="minorEastAsia" w:hAnsiTheme="minorEastAsia" w:eastAsiaTheme="minorEastAsia" w:cstheme="minorEastAsia"/>
          <w:sz w:val="24"/>
          <w:szCs w:val="24"/>
        </w:rPr>
        <w:sectPr>
          <w:type w:val="continuous"/>
          <w:pgSz w:w="11905" w:h="16840"/>
          <w:pgMar w:top="1134" w:right="1134" w:bottom="1134" w:left="1417" w:header="0" w:footer="0" w:gutter="0"/>
          <w:pgNumType w:fmt="numberInDash"/>
          <w:cols w:space="720" w:num="1"/>
          <w:rtlGutter w:val="0"/>
        </w:sectPr>
      </w:pPr>
    </w:p>
    <w:p w14:paraId="25D0AB41">
      <w:pPr>
        <w:spacing w:before="137" w:line="164" w:lineRule="auto"/>
        <w:ind w:firstLine="745"/>
        <w:rPr>
          <w:rFonts w:ascii="微软雅黑" w:hAnsi="微软雅黑" w:eastAsia="微软雅黑" w:cs="微软雅黑"/>
          <w:sz w:val="32"/>
          <w:szCs w:val="32"/>
        </w:rPr>
      </w:pPr>
      <w:r>
        <w:rPr>
          <w:rFonts w:ascii="微软雅黑" w:hAnsi="微软雅黑" w:eastAsia="微软雅黑" w:cs="微软雅黑"/>
          <w:spacing w:val="-10"/>
          <w:sz w:val="32"/>
          <w:szCs w:val="32"/>
        </w:rPr>
        <w:t>附</w:t>
      </w:r>
      <w:r>
        <w:rPr>
          <w:rFonts w:ascii="微软雅黑" w:hAnsi="微软雅黑" w:eastAsia="微软雅黑" w:cs="微软雅黑"/>
          <w:spacing w:val="-9"/>
          <w:sz w:val="32"/>
          <w:szCs w:val="32"/>
        </w:rPr>
        <w:t>件</w:t>
      </w:r>
    </w:p>
    <w:p w14:paraId="3E958D48">
      <w:pPr>
        <w:spacing w:line="221" w:lineRule="auto"/>
        <w:ind w:firstLine="2997"/>
        <w:jc w:val="center"/>
        <w:rPr>
          <w:rFonts w:ascii="黑体" w:hAnsi="黑体" w:eastAsia="黑体" w:cs="黑体"/>
          <w:sz w:val="44"/>
          <w:szCs w:val="44"/>
        </w:rPr>
      </w:pPr>
      <w:r>
        <w:rPr>
          <w:rFonts w:ascii="黑体" w:hAnsi="黑体" w:eastAsia="黑体" w:cs="黑体"/>
          <w:spacing w:val="-2"/>
          <w:sz w:val="44"/>
          <w:szCs w:val="44"/>
        </w:rPr>
        <w:t>供货明细项</w:t>
      </w:r>
      <w:r>
        <w:rPr>
          <w:rFonts w:ascii="黑体" w:hAnsi="黑体" w:eastAsia="黑体" w:cs="黑体"/>
          <w:spacing w:val="-1"/>
          <w:sz w:val="44"/>
          <w:szCs w:val="44"/>
        </w:rPr>
        <w:t>目一览表</w:t>
      </w:r>
    </w:p>
    <w:p w14:paraId="4202BA06"/>
    <w:p w14:paraId="2E8A4A47">
      <w:pPr>
        <w:spacing w:line="186" w:lineRule="exact"/>
      </w:pPr>
    </w:p>
    <w:tbl>
      <w:tblPr>
        <w:tblStyle w:val="46"/>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486"/>
        <w:gridCol w:w="2822"/>
        <w:gridCol w:w="787"/>
        <w:gridCol w:w="548"/>
        <w:gridCol w:w="985"/>
        <w:gridCol w:w="1043"/>
        <w:gridCol w:w="1444"/>
      </w:tblGrid>
      <w:tr w14:paraId="6812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7" w:hRule="atLeast"/>
        </w:trPr>
        <w:tc>
          <w:tcPr>
            <w:tcW w:w="801" w:type="dxa"/>
            <w:noWrap w:val="0"/>
            <w:vAlign w:val="top"/>
          </w:tcPr>
          <w:p w14:paraId="47CE3D33">
            <w:pPr>
              <w:spacing w:line="402" w:lineRule="auto"/>
              <w:rPr>
                <w:rFonts w:hint="eastAsia" w:asciiTheme="minorEastAsia" w:hAnsiTheme="minorEastAsia" w:eastAsiaTheme="minorEastAsia" w:cstheme="minorEastAsia"/>
                <w:sz w:val="24"/>
                <w:szCs w:val="24"/>
              </w:rPr>
            </w:pPr>
          </w:p>
          <w:p w14:paraId="697A19B3">
            <w:pPr>
              <w:spacing w:before="103" w:line="185"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486" w:type="dxa"/>
            <w:noWrap w:val="0"/>
            <w:vAlign w:val="top"/>
          </w:tcPr>
          <w:p w14:paraId="1A5D85F6">
            <w:pPr>
              <w:spacing w:line="403" w:lineRule="auto"/>
              <w:rPr>
                <w:rFonts w:hint="eastAsia" w:asciiTheme="minorEastAsia" w:hAnsiTheme="minorEastAsia" w:eastAsiaTheme="minorEastAsia" w:cstheme="minorEastAsia"/>
                <w:sz w:val="24"/>
                <w:szCs w:val="24"/>
              </w:rPr>
            </w:pPr>
          </w:p>
          <w:p w14:paraId="12E0B029">
            <w:pPr>
              <w:spacing w:before="103" w:line="184"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货</w:t>
            </w:r>
            <w:r>
              <w:rPr>
                <w:rFonts w:hint="eastAsia" w:asciiTheme="minorEastAsia" w:hAnsiTheme="minorEastAsia" w:eastAsiaTheme="minorEastAsia" w:cstheme="minorEastAsia"/>
                <w:spacing w:val="-4"/>
                <w:sz w:val="24"/>
                <w:szCs w:val="24"/>
              </w:rPr>
              <w:t>物名称</w:t>
            </w:r>
          </w:p>
        </w:tc>
        <w:tc>
          <w:tcPr>
            <w:tcW w:w="2822" w:type="dxa"/>
            <w:noWrap w:val="0"/>
            <w:vAlign w:val="top"/>
          </w:tcPr>
          <w:p w14:paraId="707AB4C0">
            <w:pPr>
              <w:spacing w:line="247" w:lineRule="auto"/>
              <w:rPr>
                <w:rFonts w:hint="eastAsia" w:asciiTheme="minorEastAsia" w:hAnsiTheme="minorEastAsia" w:eastAsiaTheme="minorEastAsia" w:cstheme="minorEastAsia"/>
                <w:sz w:val="24"/>
                <w:szCs w:val="24"/>
              </w:rPr>
            </w:pPr>
          </w:p>
          <w:p w14:paraId="5C02AEF6">
            <w:pPr>
              <w:spacing w:before="103" w:line="182"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品牌型号规格</w:t>
            </w:r>
            <w:r>
              <w:rPr>
                <w:rFonts w:hint="eastAsia" w:asciiTheme="minorEastAsia" w:hAnsiTheme="minorEastAsia" w:eastAsiaTheme="minorEastAsia" w:cstheme="minorEastAsia"/>
                <w:spacing w:val="-4"/>
                <w:sz w:val="24"/>
                <w:szCs w:val="24"/>
              </w:rPr>
              <w:t>及</w:t>
            </w:r>
            <w:r>
              <w:rPr>
                <w:rFonts w:hint="eastAsia" w:asciiTheme="minorEastAsia" w:hAnsiTheme="minorEastAsia" w:eastAsiaTheme="minorEastAsia" w:cstheme="minorEastAsia"/>
                <w:spacing w:val="-3"/>
                <w:sz w:val="24"/>
                <w:szCs w:val="24"/>
              </w:rPr>
              <w:t>主要技术参</w:t>
            </w:r>
            <w:r>
              <w:rPr>
                <w:rFonts w:hint="eastAsia" w:asciiTheme="minorEastAsia" w:hAnsiTheme="minorEastAsia" w:eastAsiaTheme="minorEastAsia" w:cstheme="minorEastAsia"/>
                <w:spacing w:val="-2"/>
                <w:sz w:val="24"/>
                <w:szCs w:val="24"/>
              </w:rPr>
              <w:t>数</w:t>
            </w:r>
          </w:p>
        </w:tc>
        <w:tc>
          <w:tcPr>
            <w:tcW w:w="787" w:type="dxa"/>
            <w:noWrap w:val="0"/>
            <w:textDirection w:val="tbRlV"/>
            <w:vAlign w:val="top"/>
          </w:tcPr>
          <w:p w14:paraId="5189D433">
            <w:pPr>
              <w:spacing w:before="151" w:line="179" w:lineRule="auto"/>
              <w:ind w:firstLine="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w:t>
            </w:r>
            <w:r>
              <w:rPr>
                <w:rFonts w:hint="eastAsia" w:asciiTheme="minorEastAsia" w:hAnsiTheme="minorEastAsia" w:eastAsiaTheme="minorEastAsia" w:cstheme="minorEastAsia"/>
                <w:spacing w:val="-4"/>
                <w:sz w:val="24"/>
                <w:szCs w:val="24"/>
              </w:rPr>
              <w:t>量 单</w:t>
            </w:r>
            <w:r>
              <w:rPr>
                <w:rFonts w:hint="eastAsia" w:asciiTheme="minorEastAsia" w:hAnsiTheme="minorEastAsia" w:eastAsiaTheme="minorEastAsia" w:cstheme="minorEastAsia"/>
                <w:sz w:val="24"/>
                <w:szCs w:val="24"/>
              </w:rPr>
              <w:t xml:space="preserve"> 位</w:t>
            </w:r>
          </w:p>
        </w:tc>
        <w:tc>
          <w:tcPr>
            <w:tcW w:w="548" w:type="dxa"/>
            <w:noWrap w:val="0"/>
            <w:textDirection w:val="tbRlV"/>
            <w:vAlign w:val="top"/>
          </w:tcPr>
          <w:p w14:paraId="44AD3730">
            <w:pPr>
              <w:spacing w:before="152" w:line="172" w:lineRule="auto"/>
              <w:ind w:firstLine="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 量</w:t>
            </w:r>
          </w:p>
        </w:tc>
        <w:tc>
          <w:tcPr>
            <w:tcW w:w="985" w:type="dxa"/>
            <w:noWrap w:val="0"/>
            <w:vAlign w:val="top"/>
          </w:tcPr>
          <w:p w14:paraId="097CD50C">
            <w:pPr>
              <w:spacing w:line="247" w:lineRule="auto"/>
              <w:rPr>
                <w:rFonts w:hint="eastAsia" w:asciiTheme="minorEastAsia" w:hAnsiTheme="minorEastAsia" w:eastAsiaTheme="minorEastAsia" w:cstheme="minorEastAsia"/>
                <w:sz w:val="24"/>
                <w:szCs w:val="24"/>
              </w:rPr>
            </w:pPr>
          </w:p>
          <w:p w14:paraId="60CFE625">
            <w:pPr>
              <w:spacing w:before="103" w:line="200" w:lineRule="auto"/>
              <w:ind w:left="0" w:leftChars="0" w:right="129"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4"/>
                <w:sz w:val="24"/>
                <w:szCs w:val="24"/>
              </w:rPr>
              <w:t>价</w:t>
            </w:r>
            <w:r>
              <w:rPr>
                <w:rFonts w:hint="eastAsia" w:asciiTheme="minorEastAsia" w:hAnsiTheme="minorEastAsia" w:eastAsiaTheme="minorEastAsia" w:cstheme="minorEastAsia"/>
                <w:sz w:val="24"/>
                <w:szCs w:val="24"/>
              </w:rPr>
              <w:t xml:space="preserve"> （元）</w:t>
            </w:r>
          </w:p>
        </w:tc>
        <w:tc>
          <w:tcPr>
            <w:tcW w:w="1043" w:type="dxa"/>
            <w:noWrap w:val="0"/>
            <w:vAlign w:val="top"/>
          </w:tcPr>
          <w:p w14:paraId="10873BC0">
            <w:pPr>
              <w:spacing w:line="247" w:lineRule="auto"/>
              <w:rPr>
                <w:rFonts w:hint="eastAsia" w:asciiTheme="minorEastAsia" w:hAnsiTheme="minorEastAsia" w:eastAsiaTheme="minorEastAsia" w:cstheme="minorEastAsia"/>
                <w:sz w:val="24"/>
                <w:szCs w:val="24"/>
              </w:rPr>
            </w:pPr>
          </w:p>
          <w:p w14:paraId="604BA90F">
            <w:pPr>
              <w:spacing w:before="103" w:line="200" w:lineRule="auto"/>
              <w:ind w:left="0" w:leftChars="0" w:right="15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总</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9"/>
                <w:sz w:val="24"/>
                <w:szCs w:val="24"/>
              </w:rPr>
              <w:t>价</w:t>
            </w:r>
            <w:r>
              <w:rPr>
                <w:rFonts w:hint="eastAsia" w:asciiTheme="minorEastAsia" w:hAnsiTheme="minorEastAsia" w:eastAsiaTheme="minorEastAsia" w:cstheme="minorEastAsia"/>
                <w:sz w:val="24"/>
                <w:szCs w:val="24"/>
              </w:rPr>
              <w:t xml:space="preserve"> （元）</w:t>
            </w:r>
          </w:p>
        </w:tc>
        <w:tc>
          <w:tcPr>
            <w:tcW w:w="1444" w:type="dxa"/>
            <w:noWrap w:val="0"/>
            <w:vAlign w:val="top"/>
          </w:tcPr>
          <w:p w14:paraId="2FFA83E1">
            <w:pPr>
              <w:spacing w:line="249" w:lineRule="auto"/>
              <w:rPr>
                <w:rFonts w:hint="eastAsia" w:asciiTheme="minorEastAsia" w:hAnsiTheme="minorEastAsia" w:eastAsiaTheme="minorEastAsia" w:cstheme="minorEastAsia"/>
                <w:sz w:val="24"/>
                <w:szCs w:val="24"/>
              </w:rPr>
            </w:pPr>
          </w:p>
          <w:p w14:paraId="08E5C5B4">
            <w:pPr>
              <w:spacing w:before="103" w:line="202" w:lineRule="auto"/>
              <w:ind w:left="0" w:leftChars="0" w:right="24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产地</w:t>
            </w:r>
            <w:r>
              <w:rPr>
                <w:rFonts w:hint="eastAsia" w:asciiTheme="minorEastAsia" w:hAnsiTheme="minorEastAsia" w:eastAsiaTheme="minorEastAsia" w:cstheme="minorEastAsia"/>
                <w:spacing w:val="-2"/>
                <w:sz w:val="24"/>
                <w:szCs w:val="24"/>
              </w:rPr>
              <w:t>生产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厂商名称</w:t>
            </w:r>
          </w:p>
        </w:tc>
      </w:tr>
      <w:tr w14:paraId="3A1A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18625DB">
            <w:pPr>
              <w:rPr>
                <w:rFonts w:hint="eastAsia" w:asciiTheme="minorEastAsia" w:hAnsiTheme="minorEastAsia" w:eastAsiaTheme="minorEastAsia" w:cstheme="minorEastAsia"/>
                <w:sz w:val="24"/>
                <w:szCs w:val="24"/>
              </w:rPr>
            </w:pPr>
          </w:p>
        </w:tc>
        <w:tc>
          <w:tcPr>
            <w:tcW w:w="1486" w:type="dxa"/>
            <w:noWrap w:val="0"/>
            <w:vAlign w:val="top"/>
          </w:tcPr>
          <w:p w14:paraId="0FF91F94">
            <w:pPr>
              <w:rPr>
                <w:rFonts w:hint="eastAsia" w:asciiTheme="minorEastAsia" w:hAnsiTheme="minorEastAsia" w:eastAsiaTheme="minorEastAsia" w:cstheme="minorEastAsia"/>
                <w:sz w:val="24"/>
                <w:szCs w:val="24"/>
              </w:rPr>
            </w:pPr>
          </w:p>
        </w:tc>
        <w:tc>
          <w:tcPr>
            <w:tcW w:w="2822" w:type="dxa"/>
            <w:noWrap w:val="0"/>
            <w:vAlign w:val="top"/>
          </w:tcPr>
          <w:p w14:paraId="50EA1D33">
            <w:pPr>
              <w:spacing w:before="114" w:line="180" w:lineRule="auto"/>
              <w:ind w:firstLine="1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（视明细项目加行）</w:t>
            </w:r>
          </w:p>
        </w:tc>
        <w:tc>
          <w:tcPr>
            <w:tcW w:w="787" w:type="dxa"/>
            <w:noWrap w:val="0"/>
            <w:vAlign w:val="top"/>
          </w:tcPr>
          <w:p w14:paraId="3A4AFC12">
            <w:pPr>
              <w:rPr>
                <w:rFonts w:hint="eastAsia" w:asciiTheme="minorEastAsia" w:hAnsiTheme="minorEastAsia" w:eastAsiaTheme="minorEastAsia" w:cstheme="minorEastAsia"/>
                <w:sz w:val="24"/>
                <w:szCs w:val="24"/>
              </w:rPr>
            </w:pPr>
          </w:p>
        </w:tc>
        <w:tc>
          <w:tcPr>
            <w:tcW w:w="548" w:type="dxa"/>
            <w:noWrap w:val="0"/>
            <w:vAlign w:val="top"/>
          </w:tcPr>
          <w:p w14:paraId="0EE6C130">
            <w:pPr>
              <w:rPr>
                <w:rFonts w:hint="eastAsia" w:asciiTheme="minorEastAsia" w:hAnsiTheme="minorEastAsia" w:eastAsiaTheme="minorEastAsia" w:cstheme="minorEastAsia"/>
                <w:sz w:val="24"/>
                <w:szCs w:val="24"/>
              </w:rPr>
            </w:pPr>
          </w:p>
        </w:tc>
        <w:tc>
          <w:tcPr>
            <w:tcW w:w="985" w:type="dxa"/>
            <w:noWrap w:val="0"/>
            <w:vAlign w:val="top"/>
          </w:tcPr>
          <w:p w14:paraId="43A726BD">
            <w:pPr>
              <w:rPr>
                <w:rFonts w:hint="eastAsia" w:asciiTheme="minorEastAsia" w:hAnsiTheme="minorEastAsia" w:eastAsiaTheme="minorEastAsia" w:cstheme="minorEastAsia"/>
                <w:sz w:val="24"/>
                <w:szCs w:val="24"/>
              </w:rPr>
            </w:pPr>
          </w:p>
        </w:tc>
        <w:tc>
          <w:tcPr>
            <w:tcW w:w="1043" w:type="dxa"/>
            <w:noWrap w:val="0"/>
            <w:vAlign w:val="top"/>
          </w:tcPr>
          <w:p w14:paraId="7FC16E0C">
            <w:pPr>
              <w:rPr>
                <w:rFonts w:hint="eastAsia" w:asciiTheme="minorEastAsia" w:hAnsiTheme="minorEastAsia" w:eastAsiaTheme="minorEastAsia" w:cstheme="minorEastAsia"/>
                <w:sz w:val="24"/>
                <w:szCs w:val="24"/>
              </w:rPr>
            </w:pPr>
          </w:p>
        </w:tc>
        <w:tc>
          <w:tcPr>
            <w:tcW w:w="1444" w:type="dxa"/>
            <w:noWrap w:val="0"/>
            <w:vAlign w:val="top"/>
          </w:tcPr>
          <w:p w14:paraId="248D58A2">
            <w:pPr>
              <w:rPr>
                <w:rFonts w:hint="eastAsia" w:asciiTheme="minorEastAsia" w:hAnsiTheme="minorEastAsia" w:eastAsiaTheme="minorEastAsia" w:cstheme="minorEastAsia"/>
                <w:sz w:val="24"/>
                <w:szCs w:val="24"/>
              </w:rPr>
            </w:pPr>
          </w:p>
        </w:tc>
      </w:tr>
      <w:tr w14:paraId="177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801" w:type="dxa"/>
            <w:noWrap w:val="0"/>
            <w:vAlign w:val="top"/>
          </w:tcPr>
          <w:p w14:paraId="29FF8EAA">
            <w:pPr>
              <w:rPr>
                <w:rFonts w:hint="eastAsia" w:asciiTheme="minorEastAsia" w:hAnsiTheme="minorEastAsia" w:eastAsiaTheme="minorEastAsia" w:cstheme="minorEastAsia"/>
                <w:sz w:val="24"/>
                <w:szCs w:val="24"/>
              </w:rPr>
            </w:pPr>
          </w:p>
        </w:tc>
        <w:tc>
          <w:tcPr>
            <w:tcW w:w="1486" w:type="dxa"/>
            <w:noWrap w:val="0"/>
            <w:vAlign w:val="top"/>
          </w:tcPr>
          <w:p w14:paraId="0F673E83">
            <w:pPr>
              <w:rPr>
                <w:rFonts w:hint="eastAsia" w:asciiTheme="minorEastAsia" w:hAnsiTheme="minorEastAsia" w:eastAsiaTheme="minorEastAsia" w:cstheme="minorEastAsia"/>
                <w:sz w:val="24"/>
                <w:szCs w:val="24"/>
              </w:rPr>
            </w:pPr>
          </w:p>
        </w:tc>
        <w:tc>
          <w:tcPr>
            <w:tcW w:w="2822" w:type="dxa"/>
            <w:noWrap w:val="0"/>
            <w:vAlign w:val="top"/>
          </w:tcPr>
          <w:p w14:paraId="2D63B063">
            <w:pPr>
              <w:rPr>
                <w:rFonts w:hint="eastAsia" w:asciiTheme="minorEastAsia" w:hAnsiTheme="minorEastAsia" w:eastAsiaTheme="minorEastAsia" w:cstheme="minorEastAsia"/>
                <w:sz w:val="24"/>
                <w:szCs w:val="24"/>
              </w:rPr>
            </w:pPr>
          </w:p>
        </w:tc>
        <w:tc>
          <w:tcPr>
            <w:tcW w:w="787" w:type="dxa"/>
            <w:noWrap w:val="0"/>
            <w:vAlign w:val="top"/>
          </w:tcPr>
          <w:p w14:paraId="4D3460C3">
            <w:pPr>
              <w:rPr>
                <w:rFonts w:hint="eastAsia" w:asciiTheme="minorEastAsia" w:hAnsiTheme="minorEastAsia" w:eastAsiaTheme="minorEastAsia" w:cstheme="minorEastAsia"/>
                <w:sz w:val="24"/>
                <w:szCs w:val="24"/>
              </w:rPr>
            </w:pPr>
          </w:p>
        </w:tc>
        <w:tc>
          <w:tcPr>
            <w:tcW w:w="548" w:type="dxa"/>
            <w:noWrap w:val="0"/>
            <w:vAlign w:val="top"/>
          </w:tcPr>
          <w:p w14:paraId="4E204A4E">
            <w:pPr>
              <w:rPr>
                <w:rFonts w:hint="eastAsia" w:asciiTheme="minorEastAsia" w:hAnsiTheme="minorEastAsia" w:eastAsiaTheme="minorEastAsia" w:cstheme="minorEastAsia"/>
                <w:sz w:val="24"/>
                <w:szCs w:val="24"/>
              </w:rPr>
            </w:pPr>
          </w:p>
        </w:tc>
        <w:tc>
          <w:tcPr>
            <w:tcW w:w="985" w:type="dxa"/>
            <w:noWrap w:val="0"/>
            <w:vAlign w:val="top"/>
          </w:tcPr>
          <w:p w14:paraId="57EDF321">
            <w:pPr>
              <w:rPr>
                <w:rFonts w:hint="eastAsia" w:asciiTheme="minorEastAsia" w:hAnsiTheme="minorEastAsia" w:eastAsiaTheme="minorEastAsia" w:cstheme="minorEastAsia"/>
                <w:sz w:val="24"/>
                <w:szCs w:val="24"/>
              </w:rPr>
            </w:pPr>
          </w:p>
        </w:tc>
        <w:tc>
          <w:tcPr>
            <w:tcW w:w="1043" w:type="dxa"/>
            <w:noWrap w:val="0"/>
            <w:vAlign w:val="top"/>
          </w:tcPr>
          <w:p w14:paraId="34852632">
            <w:pPr>
              <w:rPr>
                <w:rFonts w:hint="eastAsia" w:asciiTheme="minorEastAsia" w:hAnsiTheme="minorEastAsia" w:eastAsiaTheme="minorEastAsia" w:cstheme="minorEastAsia"/>
                <w:sz w:val="24"/>
                <w:szCs w:val="24"/>
              </w:rPr>
            </w:pPr>
          </w:p>
        </w:tc>
        <w:tc>
          <w:tcPr>
            <w:tcW w:w="1444" w:type="dxa"/>
            <w:noWrap w:val="0"/>
            <w:vAlign w:val="top"/>
          </w:tcPr>
          <w:p w14:paraId="617000F4">
            <w:pPr>
              <w:rPr>
                <w:rFonts w:hint="eastAsia" w:asciiTheme="minorEastAsia" w:hAnsiTheme="minorEastAsia" w:eastAsiaTheme="minorEastAsia" w:cstheme="minorEastAsia"/>
                <w:sz w:val="24"/>
                <w:szCs w:val="24"/>
              </w:rPr>
            </w:pPr>
          </w:p>
        </w:tc>
      </w:tr>
      <w:tr w14:paraId="769E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1C58E22">
            <w:pPr>
              <w:rPr>
                <w:rFonts w:hint="eastAsia" w:asciiTheme="minorEastAsia" w:hAnsiTheme="minorEastAsia" w:eastAsiaTheme="minorEastAsia" w:cstheme="minorEastAsia"/>
                <w:sz w:val="24"/>
                <w:szCs w:val="24"/>
              </w:rPr>
            </w:pPr>
          </w:p>
        </w:tc>
        <w:tc>
          <w:tcPr>
            <w:tcW w:w="1486" w:type="dxa"/>
            <w:noWrap w:val="0"/>
            <w:vAlign w:val="top"/>
          </w:tcPr>
          <w:p w14:paraId="1C1D188C">
            <w:pPr>
              <w:rPr>
                <w:rFonts w:hint="eastAsia" w:asciiTheme="minorEastAsia" w:hAnsiTheme="minorEastAsia" w:eastAsiaTheme="minorEastAsia" w:cstheme="minorEastAsia"/>
                <w:sz w:val="24"/>
                <w:szCs w:val="24"/>
              </w:rPr>
            </w:pPr>
          </w:p>
        </w:tc>
        <w:tc>
          <w:tcPr>
            <w:tcW w:w="2822" w:type="dxa"/>
            <w:noWrap w:val="0"/>
            <w:vAlign w:val="top"/>
          </w:tcPr>
          <w:p w14:paraId="465BBB5D">
            <w:pPr>
              <w:rPr>
                <w:rFonts w:hint="eastAsia" w:asciiTheme="minorEastAsia" w:hAnsiTheme="minorEastAsia" w:eastAsiaTheme="minorEastAsia" w:cstheme="minorEastAsia"/>
                <w:sz w:val="24"/>
                <w:szCs w:val="24"/>
              </w:rPr>
            </w:pPr>
          </w:p>
        </w:tc>
        <w:tc>
          <w:tcPr>
            <w:tcW w:w="787" w:type="dxa"/>
            <w:noWrap w:val="0"/>
            <w:vAlign w:val="top"/>
          </w:tcPr>
          <w:p w14:paraId="11AE3CD4">
            <w:pPr>
              <w:rPr>
                <w:rFonts w:hint="eastAsia" w:asciiTheme="minorEastAsia" w:hAnsiTheme="minorEastAsia" w:eastAsiaTheme="minorEastAsia" w:cstheme="minorEastAsia"/>
                <w:sz w:val="24"/>
                <w:szCs w:val="24"/>
              </w:rPr>
            </w:pPr>
          </w:p>
        </w:tc>
        <w:tc>
          <w:tcPr>
            <w:tcW w:w="548" w:type="dxa"/>
            <w:noWrap w:val="0"/>
            <w:vAlign w:val="top"/>
          </w:tcPr>
          <w:p w14:paraId="78E0563F">
            <w:pPr>
              <w:rPr>
                <w:rFonts w:hint="eastAsia" w:asciiTheme="minorEastAsia" w:hAnsiTheme="minorEastAsia" w:eastAsiaTheme="minorEastAsia" w:cstheme="minorEastAsia"/>
                <w:sz w:val="24"/>
                <w:szCs w:val="24"/>
              </w:rPr>
            </w:pPr>
          </w:p>
        </w:tc>
        <w:tc>
          <w:tcPr>
            <w:tcW w:w="985" w:type="dxa"/>
            <w:noWrap w:val="0"/>
            <w:vAlign w:val="top"/>
          </w:tcPr>
          <w:p w14:paraId="45410336">
            <w:pPr>
              <w:rPr>
                <w:rFonts w:hint="eastAsia" w:asciiTheme="minorEastAsia" w:hAnsiTheme="minorEastAsia" w:eastAsiaTheme="minorEastAsia" w:cstheme="minorEastAsia"/>
                <w:sz w:val="24"/>
                <w:szCs w:val="24"/>
              </w:rPr>
            </w:pPr>
          </w:p>
        </w:tc>
        <w:tc>
          <w:tcPr>
            <w:tcW w:w="1043" w:type="dxa"/>
            <w:noWrap w:val="0"/>
            <w:vAlign w:val="top"/>
          </w:tcPr>
          <w:p w14:paraId="304848FA">
            <w:pPr>
              <w:rPr>
                <w:rFonts w:hint="eastAsia" w:asciiTheme="minorEastAsia" w:hAnsiTheme="minorEastAsia" w:eastAsiaTheme="minorEastAsia" w:cstheme="minorEastAsia"/>
                <w:sz w:val="24"/>
                <w:szCs w:val="24"/>
              </w:rPr>
            </w:pPr>
          </w:p>
        </w:tc>
        <w:tc>
          <w:tcPr>
            <w:tcW w:w="1444" w:type="dxa"/>
            <w:noWrap w:val="0"/>
            <w:vAlign w:val="top"/>
          </w:tcPr>
          <w:p w14:paraId="771D51AC">
            <w:pPr>
              <w:rPr>
                <w:rFonts w:hint="eastAsia" w:asciiTheme="minorEastAsia" w:hAnsiTheme="minorEastAsia" w:eastAsiaTheme="minorEastAsia" w:cstheme="minorEastAsia"/>
                <w:sz w:val="24"/>
                <w:szCs w:val="24"/>
              </w:rPr>
            </w:pPr>
          </w:p>
        </w:tc>
      </w:tr>
      <w:tr w14:paraId="73FE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518A6B35">
            <w:pPr>
              <w:rPr>
                <w:rFonts w:hint="eastAsia" w:asciiTheme="minorEastAsia" w:hAnsiTheme="minorEastAsia" w:eastAsiaTheme="minorEastAsia" w:cstheme="minorEastAsia"/>
                <w:sz w:val="24"/>
                <w:szCs w:val="24"/>
              </w:rPr>
            </w:pPr>
          </w:p>
        </w:tc>
        <w:tc>
          <w:tcPr>
            <w:tcW w:w="1486" w:type="dxa"/>
            <w:noWrap w:val="0"/>
            <w:vAlign w:val="top"/>
          </w:tcPr>
          <w:p w14:paraId="6FB56780">
            <w:pPr>
              <w:rPr>
                <w:rFonts w:hint="eastAsia" w:asciiTheme="minorEastAsia" w:hAnsiTheme="minorEastAsia" w:eastAsiaTheme="minorEastAsia" w:cstheme="minorEastAsia"/>
                <w:sz w:val="24"/>
                <w:szCs w:val="24"/>
              </w:rPr>
            </w:pPr>
          </w:p>
        </w:tc>
        <w:tc>
          <w:tcPr>
            <w:tcW w:w="2822" w:type="dxa"/>
            <w:noWrap w:val="0"/>
            <w:vAlign w:val="top"/>
          </w:tcPr>
          <w:p w14:paraId="54F5B882">
            <w:pPr>
              <w:rPr>
                <w:rFonts w:hint="eastAsia" w:asciiTheme="minorEastAsia" w:hAnsiTheme="minorEastAsia" w:eastAsiaTheme="minorEastAsia" w:cstheme="minorEastAsia"/>
                <w:sz w:val="24"/>
                <w:szCs w:val="24"/>
              </w:rPr>
            </w:pPr>
          </w:p>
        </w:tc>
        <w:tc>
          <w:tcPr>
            <w:tcW w:w="787" w:type="dxa"/>
            <w:noWrap w:val="0"/>
            <w:vAlign w:val="top"/>
          </w:tcPr>
          <w:p w14:paraId="52300961">
            <w:pPr>
              <w:rPr>
                <w:rFonts w:hint="eastAsia" w:asciiTheme="minorEastAsia" w:hAnsiTheme="minorEastAsia" w:eastAsiaTheme="minorEastAsia" w:cstheme="minorEastAsia"/>
                <w:sz w:val="24"/>
                <w:szCs w:val="24"/>
              </w:rPr>
            </w:pPr>
          </w:p>
        </w:tc>
        <w:tc>
          <w:tcPr>
            <w:tcW w:w="548" w:type="dxa"/>
            <w:noWrap w:val="0"/>
            <w:vAlign w:val="top"/>
          </w:tcPr>
          <w:p w14:paraId="2A5C38DA">
            <w:pPr>
              <w:rPr>
                <w:rFonts w:hint="eastAsia" w:asciiTheme="minorEastAsia" w:hAnsiTheme="minorEastAsia" w:eastAsiaTheme="minorEastAsia" w:cstheme="minorEastAsia"/>
                <w:sz w:val="24"/>
                <w:szCs w:val="24"/>
              </w:rPr>
            </w:pPr>
          </w:p>
        </w:tc>
        <w:tc>
          <w:tcPr>
            <w:tcW w:w="985" w:type="dxa"/>
            <w:noWrap w:val="0"/>
            <w:vAlign w:val="top"/>
          </w:tcPr>
          <w:p w14:paraId="5EC022B1">
            <w:pPr>
              <w:rPr>
                <w:rFonts w:hint="eastAsia" w:asciiTheme="minorEastAsia" w:hAnsiTheme="minorEastAsia" w:eastAsiaTheme="minorEastAsia" w:cstheme="minorEastAsia"/>
                <w:sz w:val="24"/>
                <w:szCs w:val="24"/>
              </w:rPr>
            </w:pPr>
          </w:p>
        </w:tc>
        <w:tc>
          <w:tcPr>
            <w:tcW w:w="1043" w:type="dxa"/>
            <w:noWrap w:val="0"/>
            <w:vAlign w:val="top"/>
          </w:tcPr>
          <w:p w14:paraId="4A1B1D30">
            <w:pPr>
              <w:rPr>
                <w:rFonts w:hint="eastAsia" w:asciiTheme="minorEastAsia" w:hAnsiTheme="minorEastAsia" w:eastAsiaTheme="minorEastAsia" w:cstheme="minorEastAsia"/>
                <w:sz w:val="24"/>
                <w:szCs w:val="24"/>
              </w:rPr>
            </w:pPr>
          </w:p>
        </w:tc>
        <w:tc>
          <w:tcPr>
            <w:tcW w:w="1444" w:type="dxa"/>
            <w:noWrap w:val="0"/>
            <w:vAlign w:val="top"/>
          </w:tcPr>
          <w:p w14:paraId="0E841928">
            <w:pPr>
              <w:rPr>
                <w:rFonts w:hint="eastAsia" w:asciiTheme="minorEastAsia" w:hAnsiTheme="minorEastAsia" w:eastAsiaTheme="minorEastAsia" w:cstheme="minorEastAsia"/>
                <w:sz w:val="24"/>
                <w:szCs w:val="24"/>
              </w:rPr>
            </w:pPr>
          </w:p>
        </w:tc>
      </w:tr>
      <w:tr w14:paraId="185E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19DDBE72">
            <w:pPr>
              <w:rPr>
                <w:rFonts w:hint="eastAsia" w:asciiTheme="minorEastAsia" w:hAnsiTheme="minorEastAsia" w:eastAsiaTheme="minorEastAsia" w:cstheme="minorEastAsia"/>
                <w:sz w:val="24"/>
                <w:szCs w:val="24"/>
              </w:rPr>
            </w:pPr>
          </w:p>
        </w:tc>
        <w:tc>
          <w:tcPr>
            <w:tcW w:w="1486" w:type="dxa"/>
            <w:noWrap w:val="0"/>
            <w:vAlign w:val="top"/>
          </w:tcPr>
          <w:p w14:paraId="5C7D5E1F">
            <w:pPr>
              <w:rPr>
                <w:rFonts w:hint="eastAsia" w:asciiTheme="minorEastAsia" w:hAnsiTheme="minorEastAsia" w:eastAsiaTheme="minorEastAsia" w:cstheme="minorEastAsia"/>
                <w:sz w:val="24"/>
                <w:szCs w:val="24"/>
              </w:rPr>
            </w:pPr>
          </w:p>
        </w:tc>
        <w:tc>
          <w:tcPr>
            <w:tcW w:w="2822" w:type="dxa"/>
            <w:noWrap w:val="0"/>
            <w:vAlign w:val="top"/>
          </w:tcPr>
          <w:p w14:paraId="24589B16">
            <w:pPr>
              <w:rPr>
                <w:rFonts w:hint="eastAsia" w:asciiTheme="minorEastAsia" w:hAnsiTheme="minorEastAsia" w:eastAsiaTheme="minorEastAsia" w:cstheme="minorEastAsia"/>
                <w:sz w:val="24"/>
                <w:szCs w:val="24"/>
              </w:rPr>
            </w:pPr>
          </w:p>
        </w:tc>
        <w:tc>
          <w:tcPr>
            <w:tcW w:w="787" w:type="dxa"/>
            <w:noWrap w:val="0"/>
            <w:vAlign w:val="top"/>
          </w:tcPr>
          <w:p w14:paraId="2AB8B886">
            <w:pPr>
              <w:rPr>
                <w:rFonts w:hint="eastAsia" w:asciiTheme="minorEastAsia" w:hAnsiTheme="minorEastAsia" w:eastAsiaTheme="minorEastAsia" w:cstheme="minorEastAsia"/>
                <w:sz w:val="24"/>
                <w:szCs w:val="24"/>
              </w:rPr>
            </w:pPr>
          </w:p>
        </w:tc>
        <w:tc>
          <w:tcPr>
            <w:tcW w:w="548" w:type="dxa"/>
            <w:noWrap w:val="0"/>
            <w:vAlign w:val="top"/>
          </w:tcPr>
          <w:p w14:paraId="40FFE3FB">
            <w:pPr>
              <w:rPr>
                <w:rFonts w:hint="eastAsia" w:asciiTheme="minorEastAsia" w:hAnsiTheme="minorEastAsia" w:eastAsiaTheme="minorEastAsia" w:cstheme="minorEastAsia"/>
                <w:sz w:val="24"/>
                <w:szCs w:val="24"/>
              </w:rPr>
            </w:pPr>
          </w:p>
        </w:tc>
        <w:tc>
          <w:tcPr>
            <w:tcW w:w="985" w:type="dxa"/>
            <w:noWrap w:val="0"/>
            <w:vAlign w:val="top"/>
          </w:tcPr>
          <w:p w14:paraId="40E1C55B">
            <w:pPr>
              <w:rPr>
                <w:rFonts w:hint="eastAsia" w:asciiTheme="minorEastAsia" w:hAnsiTheme="minorEastAsia" w:eastAsiaTheme="minorEastAsia" w:cstheme="minorEastAsia"/>
                <w:sz w:val="24"/>
                <w:szCs w:val="24"/>
              </w:rPr>
            </w:pPr>
          </w:p>
        </w:tc>
        <w:tc>
          <w:tcPr>
            <w:tcW w:w="1043" w:type="dxa"/>
            <w:noWrap w:val="0"/>
            <w:vAlign w:val="top"/>
          </w:tcPr>
          <w:p w14:paraId="0F8B19B8">
            <w:pPr>
              <w:rPr>
                <w:rFonts w:hint="eastAsia" w:asciiTheme="minorEastAsia" w:hAnsiTheme="minorEastAsia" w:eastAsiaTheme="minorEastAsia" w:cstheme="minorEastAsia"/>
                <w:sz w:val="24"/>
                <w:szCs w:val="24"/>
              </w:rPr>
            </w:pPr>
          </w:p>
        </w:tc>
        <w:tc>
          <w:tcPr>
            <w:tcW w:w="1444" w:type="dxa"/>
            <w:noWrap w:val="0"/>
            <w:vAlign w:val="top"/>
          </w:tcPr>
          <w:p w14:paraId="74FB8C64">
            <w:pPr>
              <w:rPr>
                <w:rFonts w:hint="eastAsia" w:asciiTheme="minorEastAsia" w:hAnsiTheme="minorEastAsia" w:eastAsiaTheme="minorEastAsia" w:cstheme="minorEastAsia"/>
                <w:sz w:val="24"/>
                <w:szCs w:val="24"/>
              </w:rPr>
            </w:pPr>
          </w:p>
        </w:tc>
      </w:tr>
      <w:tr w14:paraId="6A8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1F1F6C3E">
            <w:pPr>
              <w:rPr>
                <w:rFonts w:hint="eastAsia" w:asciiTheme="minorEastAsia" w:hAnsiTheme="minorEastAsia" w:eastAsiaTheme="minorEastAsia" w:cstheme="minorEastAsia"/>
                <w:sz w:val="24"/>
                <w:szCs w:val="24"/>
              </w:rPr>
            </w:pPr>
          </w:p>
        </w:tc>
        <w:tc>
          <w:tcPr>
            <w:tcW w:w="1486" w:type="dxa"/>
            <w:noWrap w:val="0"/>
            <w:vAlign w:val="top"/>
          </w:tcPr>
          <w:p w14:paraId="26AF2C2D">
            <w:pPr>
              <w:rPr>
                <w:rFonts w:hint="eastAsia" w:asciiTheme="minorEastAsia" w:hAnsiTheme="minorEastAsia" w:eastAsiaTheme="minorEastAsia" w:cstheme="minorEastAsia"/>
                <w:sz w:val="24"/>
                <w:szCs w:val="24"/>
              </w:rPr>
            </w:pPr>
          </w:p>
        </w:tc>
        <w:tc>
          <w:tcPr>
            <w:tcW w:w="2822" w:type="dxa"/>
            <w:noWrap w:val="0"/>
            <w:vAlign w:val="top"/>
          </w:tcPr>
          <w:p w14:paraId="155843A5">
            <w:pPr>
              <w:rPr>
                <w:rFonts w:hint="eastAsia" w:asciiTheme="minorEastAsia" w:hAnsiTheme="minorEastAsia" w:eastAsiaTheme="minorEastAsia" w:cstheme="minorEastAsia"/>
                <w:sz w:val="24"/>
                <w:szCs w:val="24"/>
              </w:rPr>
            </w:pPr>
          </w:p>
        </w:tc>
        <w:tc>
          <w:tcPr>
            <w:tcW w:w="787" w:type="dxa"/>
            <w:noWrap w:val="0"/>
            <w:vAlign w:val="top"/>
          </w:tcPr>
          <w:p w14:paraId="66E33FFD">
            <w:pPr>
              <w:rPr>
                <w:rFonts w:hint="eastAsia" w:asciiTheme="minorEastAsia" w:hAnsiTheme="minorEastAsia" w:eastAsiaTheme="minorEastAsia" w:cstheme="minorEastAsia"/>
                <w:sz w:val="24"/>
                <w:szCs w:val="24"/>
              </w:rPr>
            </w:pPr>
          </w:p>
        </w:tc>
        <w:tc>
          <w:tcPr>
            <w:tcW w:w="548" w:type="dxa"/>
            <w:noWrap w:val="0"/>
            <w:vAlign w:val="top"/>
          </w:tcPr>
          <w:p w14:paraId="4A93242E">
            <w:pPr>
              <w:rPr>
                <w:rFonts w:hint="eastAsia" w:asciiTheme="minorEastAsia" w:hAnsiTheme="minorEastAsia" w:eastAsiaTheme="minorEastAsia" w:cstheme="minorEastAsia"/>
                <w:sz w:val="24"/>
                <w:szCs w:val="24"/>
              </w:rPr>
            </w:pPr>
          </w:p>
        </w:tc>
        <w:tc>
          <w:tcPr>
            <w:tcW w:w="985" w:type="dxa"/>
            <w:noWrap w:val="0"/>
            <w:vAlign w:val="top"/>
          </w:tcPr>
          <w:p w14:paraId="7B2824A5">
            <w:pPr>
              <w:rPr>
                <w:rFonts w:hint="eastAsia" w:asciiTheme="minorEastAsia" w:hAnsiTheme="minorEastAsia" w:eastAsiaTheme="minorEastAsia" w:cstheme="minorEastAsia"/>
                <w:sz w:val="24"/>
                <w:szCs w:val="24"/>
              </w:rPr>
            </w:pPr>
          </w:p>
        </w:tc>
        <w:tc>
          <w:tcPr>
            <w:tcW w:w="1043" w:type="dxa"/>
            <w:noWrap w:val="0"/>
            <w:vAlign w:val="top"/>
          </w:tcPr>
          <w:p w14:paraId="042FEC57">
            <w:pPr>
              <w:rPr>
                <w:rFonts w:hint="eastAsia" w:asciiTheme="minorEastAsia" w:hAnsiTheme="minorEastAsia" w:eastAsiaTheme="minorEastAsia" w:cstheme="minorEastAsia"/>
                <w:sz w:val="24"/>
                <w:szCs w:val="24"/>
              </w:rPr>
            </w:pPr>
          </w:p>
        </w:tc>
        <w:tc>
          <w:tcPr>
            <w:tcW w:w="1444" w:type="dxa"/>
            <w:noWrap w:val="0"/>
            <w:vAlign w:val="top"/>
          </w:tcPr>
          <w:p w14:paraId="01C9AA9E">
            <w:pPr>
              <w:rPr>
                <w:rFonts w:hint="eastAsia" w:asciiTheme="minorEastAsia" w:hAnsiTheme="minorEastAsia" w:eastAsiaTheme="minorEastAsia" w:cstheme="minorEastAsia"/>
                <w:sz w:val="24"/>
                <w:szCs w:val="24"/>
              </w:rPr>
            </w:pPr>
          </w:p>
        </w:tc>
      </w:tr>
      <w:tr w14:paraId="0BD4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2C26F18">
            <w:pPr>
              <w:rPr>
                <w:rFonts w:hint="eastAsia" w:asciiTheme="minorEastAsia" w:hAnsiTheme="minorEastAsia" w:eastAsiaTheme="minorEastAsia" w:cstheme="minorEastAsia"/>
                <w:sz w:val="24"/>
                <w:szCs w:val="24"/>
              </w:rPr>
            </w:pPr>
          </w:p>
        </w:tc>
        <w:tc>
          <w:tcPr>
            <w:tcW w:w="1486" w:type="dxa"/>
            <w:noWrap w:val="0"/>
            <w:vAlign w:val="top"/>
          </w:tcPr>
          <w:p w14:paraId="194EAABC">
            <w:pPr>
              <w:rPr>
                <w:rFonts w:hint="eastAsia" w:asciiTheme="minorEastAsia" w:hAnsiTheme="minorEastAsia" w:eastAsiaTheme="minorEastAsia" w:cstheme="minorEastAsia"/>
                <w:sz w:val="24"/>
                <w:szCs w:val="24"/>
              </w:rPr>
            </w:pPr>
          </w:p>
        </w:tc>
        <w:tc>
          <w:tcPr>
            <w:tcW w:w="2822" w:type="dxa"/>
            <w:noWrap w:val="0"/>
            <w:vAlign w:val="top"/>
          </w:tcPr>
          <w:p w14:paraId="49782BB0">
            <w:pPr>
              <w:rPr>
                <w:rFonts w:hint="eastAsia" w:asciiTheme="minorEastAsia" w:hAnsiTheme="minorEastAsia" w:eastAsiaTheme="minorEastAsia" w:cstheme="minorEastAsia"/>
                <w:sz w:val="24"/>
                <w:szCs w:val="24"/>
              </w:rPr>
            </w:pPr>
          </w:p>
        </w:tc>
        <w:tc>
          <w:tcPr>
            <w:tcW w:w="787" w:type="dxa"/>
            <w:noWrap w:val="0"/>
            <w:vAlign w:val="top"/>
          </w:tcPr>
          <w:p w14:paraId="020E1E15">
            <w:pPr>
              <w:rPr>
                <w:rFonts w:hint="eastAsia" w:asciiTheme="minorEastAsia" w:hAnsiTheme="minorEastAsia" w:eastAsiaTheme="minorEastAsia" w:cstheme="minorEastAsia"/>
                <w:sz w:val="24"/>
                <w:szCs w:val="24"/>
              </w:rPr>
            </w:pPr>
          </w:p>
        </w:tc>
        <w:tc>
          <w:tcPr>
            <w:tcW w:w="548" w:type="dxa"/>
            <w:noWrap w:val="0"/>
            <w:vAlign w:val="top"/>
          </w:tcPr>
          <w:p w14:paraId="648AFD4F">
            <w:pPr>
              <w:rPr>
                <w:rFonts w:hint="eastAsia" w:asciiTheme="minorEastAsia" w:hAnsiTheme="minorEastAsia" w:eastAsiaTheme="minorEastAsia" w:cstheme="minorEastAsia"/>
                <w:sz w:val="24"/>
                <w:szCs w:val="24"/>
              </w:rPr>
            </w:pPr>
          </w:p>
        </w:tc>
        <w:tc>
          <w:tcPr>
            <w:tcW w:w="985" w:type="dxa"/>
            <w:noWrap w:val="0"/>
            <w:vAlign w:val="top"/>
          </w:tcPr>
          <w:p w14:paraId="1F98F3C8">
            <w:pPr>
              <w:rPr>
                <w:rFonts w:hint="eastAsia" w:asciiTheme="minorEastAsia" w:hAnsiTheme="minorEastAsia" w:eastAsiaTheme="minorEastAsia" w:cstheme="minorEastAsia"/>
                <w:sz w:val="24"/>
                <w:szCs w:val="24"/>
              </w:rPr>
            </w:pPr>
          </w:p>
        </w:tc>
        <w:tc>
          <w:tcPr>
            <w:tcW w:w="1043" w:type="dxa"/>
            <w:noWrap w:val="0"/>
            <w:vAlign w:val="top"/>
          </w:tcPr>
          <w:p w14:paraId="526D9403">
            <w:pPr>
              <w:rPr>
                <w:rFonts w:hint="eastAsia" w:asciiTheme="minorEastAsia" w:hAnsiTheme="minorEastAsia" w:eastAsiaTheme="minorEastAsia" w:cstheme="minorEastAsia"/>
                <w:sz w:val="24"/>
                <w:szCs w:val="24"/>
              </w:rPr>
            </w:pPr>
          </w:p>
        </w:tc>
        <w:tc>
          <w:tcPr>
            <w:tcW w:w="1444" w:type="dxa"/>
            <w:noWrap w:val="0"/>
            <w:vAlign w:val="top"/>
          </w:tcPr>
          <w:p w14:paraId="5703E7C7">
            <w:pPr>
              <w:rPr>
                <w:rFonts w:hint="eastAsia" w:asciiTheme="minorEastAsia" w:hAnsiTheme="minorEastAsia" w:eastAsiaTheme="minorEastAsia" w:cstheme="minorEastAsia"/>
                <w:sz w:val="24"/>
                <w:szCs w:val="24"/>
              </w:rPr>
            </w:pPr>
          </w:p>
        </w:tc>
      </w:tr>
      <w:tr w14:paraId="2F0BC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790FC326">
            <w:pPr>
              <w:rPr>
                <w:rFonts w:hint="eastAsia" w:asciiTheme="minorEastAsia" w:hAnsiTheme="minorEastAsia" w:eastAsiaTheme="minorEastAsia" w:cstheme="minorEastAsia"/>
                <w:sz w:val="24"/>
                <w:szCs w:val="24"/>
              </w:rPr>
            </w:pPr>
          </w:p>
        </w:tc>
        <w:tc>
          <w:tcPr>
            <w:tcW w:w="1486" w:type="dxa"/>
            <w:noWrap w:val="0"/>
            <w:vAlign w:val="top"/>
          </w:tcPr>
          <w:p w14:paraId="02432EF7">
            <w:pPr>
              <w:rPr>
                <w:rFonts w:hint="eastAsia" w:asciiTheme="minorEastAsia" w:hAnsiTheme="minorEastAsia" w:eastAsiaTheme="minorEastAsia" w:cstheme="minorEastAsia"/>
                <w:sz w:val="24"/>
                <w:szCs w:val="24"/>
              </w:rPr>
            </w:pPr>
          </w:p>
        </w:tc>
        <w:tc>
          <w:tcPr>
            <w:tcW w:w="2822" w:type="dxa"/>
            <w:noWrap w:val="0"/>
            <w:vAlign w:val="top"/>
          </w:tcPr>
          <w:p w14:paraId="5FC6C959">
            <w:pPr>
              <w:rPr>
                <w:rFonts w:hint="eastAsia" w:asciiTheme="minorEastAsia" w:hAnsiTheme="minorEastAsia" w:eastAsiaTheme="minorEastAsia" w:cstheme="minorEastAsia"/>
                <w:sz w:val="24"/>
                <w:szCs w:val="24"/>
              </w:rPr>
            </w:pPr>
          </w:p>
        </w:tc>
        <w:tc>
          <w:tcPr>
            <w:tcW w:w="787" w:type="dxa"/>
            <w:noWrap w:val="0"/>
            <w:vAlign w:val="top"/>
          </w:tcPr>
          <w:p w14:paraId="3C2572BE">
            <w:pPr>
              <w:rPr>
                <w:rFonts w:hint="eastAsia" w:asciiTheme="minorEastAsia" w:hAnsiTheme="minorEastAsia" w:eastAsiaTheme="minorEastAsia" w:cstheme="minorEastAsia"/>
                <w:sz w:val="24"/>
                <w:szCs w:val="24"/>
              </w:rPr>
            </w:pPr>
          </w:p>
        </w:tc>
        <w:tc>
          <w:tcPr>
            <w:tcW w:w="548" w:type="dxa"/>
            <w:noWrap w:val="0"/>
            <w:vAlign w:val="top"/>
          </w:tcPr>
          <w:p w14:paraId="4A72E9E2">
            <w:pPr>
              <w:rPr>
                <w:rFonts w:hint="eastAsia" w:asciiTheme="minorEastAsia" w:hAnsiTheme="minorEastAsia" w:eastAsiaTheme="minorEastAsia" w:cstheme="minorEastAsia"/>
                <w:sz w:val="24"/>
                <w:szCs w:val="24"/>
              </w:rPr>
            </w:pPr>
          </w:p>
        </w:tc>
        <w:tc>
          <w:tcPr>
            <w:tcW w:w="985" w:type="dxa"/>
            <w:noWrap w:val="0"/>
            <w:vAlign w:val="top"/>
          </w:tcPr>
          <w:p w14:paraId="44225779">
            <w:pPr>
              <w:rPr>
                <w:rFonts w:hint="eastAsia" w:asciiTheme="minorEastAsia" w:hAnsiTheme="minorEastAsia" w:eastAsiaTheme="minorEastAsia" w:cstheme="minorEastAsia"/>
                <w:sz w:val="24"/>
                <w:szCs w:val="24"/>
              </w:rPr>
            </w:pPr>
          </w:p>
        </w:tc>
        <w:tc>
          <w:tcPr>
            <w:tcW w:w="1043" w:type="dxa"/>
            <w:noWrap w:val="0"/>
            <w:vAlign w:val="top"/>
          </w:tcPr>
          <w:p w14:paraId="53690581">
            <w:pPr>
              <w:rPr>
                <w:rFonts w:hint="eastAsia" w:asciiTheme="minorEastAsia" w:hAnsiTheme="minorEastAsia" w:eastAsiaTheme="minorEastAsia" w:cstheme="minorEastAsia"/>
                <w:sz w:val="24"/>
                <w:szCs w:val="24"/>
              </w:rPr>
            </w:pPr>
          </w:p>
        </w:tc>
        <w:tc>
          <w:tcPr>
            <w:tcW w:w="1444" w:type="dxa"/>
            <w:noWrap w:val="0"/>
            <w:vAlign w:val="top"/>
          </w:tcPr>
          <w:p w14:paraId="4C15936A">
            <w:pPr>
              <w:rPr>
                <w:rFonts w:hint="eastAsia" w:asciiTheme="minorEastAsia" w:hAnsiTheme="minorEastAsia" w:eastAsiaTheme="minorEastAsia" w:cstheme="minorEastAsia"/>
                <w:sz w:val="24"/>
                <w:szCs w:val="24"/>
              </w:rPr>
            </w:pPr>
          </w:p>
        </w:tc>
      </w:tr>
      <w:tr w14:paraId="7C1B2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801" w:type="dxa"/>
            <w:noWrap w:val="0"/>
            <w:vAlign w:val="top"/>
          </w:tcPr>
          <w:p w14:paraId="3A4034CC">
            <w:pPr>
              <w:rPr>
                <w:rFonts w:hint="eastAsia" w:asciiTheme="minorEastAsia" w:hAnsiTheme="minorEastAsia" w:eastAsiaTheme="minorEastAsia" w:cstheme="minorEastAsia"/>
                <w:sz w:val="24"/>
                <w:szCs w:val="24"/>
              </w:rPr>
            </w:pPr>
          </w:p>
        </w:tc>
        <w:tc>
          <w:tcPr>
            <w:tcW w:w="1486" w:type="dxa"/>
            <w:noWrap w:val="0"/>
            <w:vAlign w:val="top"/>
          </w:tcPr>
          <w:p w14:paraId="550CC9D1">
            <w:pPr>
              <w:rPr>
                <w:rFonts w:hint="eastAsia" w:asciiTheme="minorEastAsia" w:hAnsiTheme="minorEastAsia" w:eastAsiaTheme="minorEastAsia" w:cstheme="minorEastAsia"/>
                <w:sz w:val="24"/>
                <w:szCs w:val="24"/>
              </w:rPr>
            </w:pPr>
          </w:p>
        </w:tc>
        <w:tc>
          <w:tcPr>
            <w:tcW w:w="2822" w:type="dxa"/>
            <w:noWrap w:val="0"/>
            <w:vAlign w:val="top"/>
          </w:tcPr>
          <w:p w14:paraId="7FFB988F">
            <w:pPr>
              <w:rPr>
                <w:rFonts w:hint="eastAsia" w:asciiTheme="minorEastAsia" w:hAnsiTheme="minorEastAsia" w:eastAsiaTheme="minorEastAsia" w:cstheme="minorEastAsia"/>
                <w:sz w:val="24"/>
                <w:szCs w:val="24"/>
              </w:rPr>
            </w:pPr>
          </w:p>
        </w:tc>
        <w:tc>
          <w:tcPr>
            <w:tcW w:w="787" w:type="dxa"/>
            <w:noWrap w:val="0"/>
            <w:vAlign w:val="top"/>
          </w:tcPr>
          <w:p w14:paraId="1E5A70EA">
            <w:pPr>
              <w:rPr>
                <w:rFonts w:hint="eastAsia" w:asciiTheme="minorEastAsia" w:hAnsiTheme="minorEastAsia" w:eastAsiaTheme="minorEastAsia" w:cstheme="minorEastAsia"/>
                <w:sz w:val="24"/>
                <w:szCs w:val="24"/>
              </w:rPr>
            </w:pPr>
          </w:p>
        </w:tc>
        <w:tc>
          <w:tcPr>
            <w:tcW w:w="548" w:type="dxa"/>
            <w:noWrap w:val="0"/>
            <w:vAlign w:val="top"/>
          </w:tcPr>
          <w:p w14:paraId="002D54E6">
            <w:pPr>
              <w:rPr>
                <w:rFonts w:hint="eastAsia" w:asciiTheme="minorEastAsia" w:hAnsiTheme="minorEastAsia" w:eastAsiaTheme="minorEastAsia" w:cstheme="minorEastAsia"/>
                <w:sz w:val="24"/>
                <w:szCs w:val="24"/>
              </w:rPr>
            </w:pPr>
          </w:p>
        </w:tc>
        <w:tc>
          <w:tcPr>
            <w:tcW w:w="985" w:type="dxa"/>
            <w:noWrap w:val="0"/>
            <w:vAlign w:val="top"/>
          </w:tcPr>
          <w:p w14:paraId="2A3F621E">
            <w:pPr>
              <w:rPr>
                <w:rFonts w:hint="eastAsia" w:asciiTheme="minorEastAsia" w:hAnsiTheme="minorEastAsia" w:eastAsiaTheme="minorEastAsia" w:cstheme="minorEastAsia"/>
                <w:sz w:val="24"/>
                <w:szCs w:val="24"/>
              </w:rPr>
            </w:pPr>
          </w:p>
        </w:tc>
        <w:tc>
          <w:tcPr>
            <w:tcW w:w="1043" w:type="dxa"/>
            <w:noWrap w:val="0"/>
            <w:vAlign w:val="top"/>
          </w:tcPr>
          <w:p w14:paraId="04733E17">
            <w:pPr>
              <w:rPr>
                <w:rFonts w:hint="eastAsia" w:asciiTheme="minorEastAsia" w:hAnsiTheme="minorEastAsia" w:eastAsiaTheme="minorEastAsia" w:cstheme="minorEastAsia"/>
                <w:sz w:val="24"/>
                <w:szCs w:val="24"/>
              </w:rPr>
            </w:pPr>
          </w:p>
        </w:tc>
        <w:tc>
          <w:tcPr>
            <w:tcW w:w="1444" w:type="dxa"/>
            <w:noWrap w:val="0"/>
            <w:vAlign w:val="top"/>
          </w:tcPr>
          <w:p w14:paraId="49B29396">
            <w:pPr>
              <w:rPr>
                <w:rFonts w:hint="eastAsia" w:asciiTheme="minorEastAsia" w:hAnsiTheme="minorEastAsia" w:eastAsiaTheme="minorEastAsia" w:cstheme="minorEastAsia"/>
                <w:sz w:val="24"/>
                <w:szCs w:val="24"/>
              </w:rPr>
            </w:pPr>
          </w:p>
        </w:tc>
      </w:tr>
      <w:tr w14:paraId="48F4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4ED0A6EB">
            <w:pPr>
              <w:rPr>
                <w:rFonts w:hint="eastAsia" w:asciiTheme="minorEastAsia" w:hAnsiTheme="minorEastAsia" w:eastAsiaTheme="minorEastAsia" w:cstheme="minorEastAsia"/>
                <w:sz w:val="24"/>
                <w:szCs w:val="24"/>
              </w:rPr>
            </w:pPr>
          </w:p>
        </w:tc>
        <w:tc>
          <w:tcPr>
            <w:tcW w:w="1486" w:type="dxa"/>
            <w:noWrap w:val="0"/>
            <w:vAlign w:val="top"/>
          </w:tcPr>
          <w:p w14:paraId="4EBAAE21">
            <w:pPr>
              <w:rPr>
                <w:rFonts w:hint="eastAsia" w:asciiTheme="minorEastAsia" w:hAnsiTheme="minorEastAsia" w:eastAsiaTheme="minorEastAsia" w:cstheme="minorEastAsia"/>
                <w:sz w:val="24"/>
                <w:szCs w:val="24"/>
              </w:rPr>
            </w:pPr>
          </w:p>
        </w:tc>
        <w:tc>
          <w:tcPr>
            <w:tcW w:w="2822" w:type="dxa"/>
            <w:noWrap w:val="0"/>
            <w:vAlign w:val="top"/>
          </w:tcPr>
          <w:p w14:paraId="0167ECFC">
            <w:pPr>
              <w:rPr>
                <w:rFonts w:hint="eastAsia" w:asciiTheme="minorEastAsia" w:hAnsiTheme="minorEastAsia" w:eastAsiaTheme="minorEastAsia" w:cstheme="minorEastAsia"/>
                <w:sz w:val="24"/>
                <w:szCs w:val="24"/>
              </w:rPr>
            </w:pPr>
          </w:p>
        </w:tc>
        <w:tc>
          <w:tcPr>
            <w:tcW w:w="787" w:type="dxa"/>
            <w:noWrap w:val="0"/>
            <w:vAlign w:val="top"/>
          </w:tcPr>
          <w:p w14:paraId="4A26F425">
            <w:pPr>
              <w:rPr>
                <w:rFonts w:hint="eastAsia" w:asciiTheme="minorEastAsia" w:hAnsiTheme="minorEastAsia" w:eastAsiaTheme="minorEastAsia" w:cstheme="minorEastAsia"/>
                <w:sz w:val="24"/>
                <w:szCs w:val="24"/>
              </w:rPr>
            </w:pPr>
          </w:p>
        </w:tc>
        <w:tc>
          <w:tcPr>
            <w:tcW w:w="548" w:type="dxa"/>
            <w:noWrap w:val="0"/>
            <w:vAlign w:val="top"/>
          </w:tcPr>
          <w:p w14:paraId="214CF8A3">
            <w:pPr>
              <w:rPr>
                <w:rFonts w:hint="eastAsia" w:asciiTheme="minorEastAsia" w:hAnsiTheme="minorEastAsia" w:eastAsiaTheme="minorEastAsia" w:cstheme="minorEastAsia"/>
                <w:sz w:val="24"/>
                <w:szCs w:val="24"/>
              </w:rPr>
            </w:pPr>
          </w:p>
        </w:tc>
        <w:tc>
          <w:tcPr>
            <w:tcW w:w="985" w:type="dxa"/>
            <w:noWrap w:val="0"/>
            <w:vAlign w:val="top"/>
          </w:tcPr>
          <w:p w14:paraId="318F433E">
            <w:pPr>
              <w:rPr>
                <w:rFonts w:hint="eastAsia" w:asciiTheme="minorEastAsia" w:hAnsiTheme="minorEastAsia" w:eastAsiaTheme="minorEastAsia" w:cstheme="minorEastAsia"/>
                <w:sz w:val="24"/>
                <w:szCs w:val="24"/>
              </w:rPr>
            </w:pPr>
          </w:p>
        </w:tc>
        <w:tc>
          <w:tcPr>
            <w:tcW w:w="1043" w:type="dxa"/>
            <w:noWrap w:val="0"/>
            <w:vAlign w:val="top"/>
          </w:tcPr>
          <w:p w14:paraId="1360F4CE">
            <w:pPr>
              <w:rPr>
                <w:rFonts w:hint="eastAsia" w:asciiTheme="minorEastAsia" w:hAnsiTheme="minorEastAsia" w:eastAsiaTheme="minorEastAsia" w:cstheme="minorEastAsia"/>
                <w:sz w:val="24"/>
                <w:szCs w:val="24"/>
              </w:rPr>
            </w:pPr>
          </w:p>
        </w:tc>
        <w:tc>
          <w:tcPr>
            <w:tcW w:w="1444" w:type="dxa"/>
            <w:noWrap w:val="0"/>
            <w:vAlign w:val="top"/>
          </w:tcPr>
          <w:p w14:paraId="34760252">
            <w:pPr>
              <w:rPr>
                <w:rFonts w:hint="eastAsia" w:asciiTheme="minorEastAsia" w:hAnsiTheme="minorEastAsia" w:eastAsiaTheme="minorEastAsia" w:cstheme="minorEastAsia"/>
                <w:sz w:val="24"/>
                <w:szCs w:val="24"/>
              </w:rPr>
            </w:pPr>
          </w:p>
        </w:tc>
      </w:tr>
      <w:tr w14:paraId="270D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61B85DA5">
            <w:pPr>
              <w:rPr>
                <w:rFonts w:hint="eastAsia" w:asciiTheme="minorEastAsia" w:hAnsiTheme="minorEastAsia" w:eastAsiaTheme="minorEastAsia" w:cstheme="minorEastAsia"/>
                <w:sz w:val="24"/>
                <w:szCs w:val="24"/>
              </w:rPr>
            </w:pPr>
          </w:p>
        </w:tc>
        <w:tc>
          <w:tcPr>
            <w:tcW w:w="1486" w:type="dxa"/>
            <w:noWrap w:val="0"/>
            <w:vAlign w:val="top"/>
          </w:tcPr>
          <w:p w14:paraId="1957A588">
            <w:pPr>
              <w:rPr>
                <w:rFonts w:hint="eastAsia" w:asciiTheme="minorEastAsia" w:hAnsiTheme="minorEastAsia" w:eastAsiaTheme="minorEastAsia" w:cstheme="minorEastAsia"/>
                <w:sz w:val="24"/>
                <w:szCs w:val="24"/>
              </w:rPr>
            </w:pPr>
          </w:p>
        </w:tc>
        <w:tc>
          <w:tcPr>
            <w:tcW w:w="5142" w:type="dxa"/>
            <w:gridSpan w:val="4"/>
            <w:noWrap w:val="0"/>
            <w:vAlign w:val="top"/>
          </w:tcPr>
          <w:p w14:paraId="00A3FF64">
            <w:pPr>
              <w:spacing w:before="117" w:line="186"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备品</w:t>
            </w:r>
            <w:r>
              <w:rPr>
                <w:rFonts w:hint="eastAsia" w:asciiTheme="minorEastAsia" w:hAnsiTheme="minorEastAsia" w:eastAsiaTheme="minorEastAsia" w:cstheme="minorEastAsia"/>
                <w:spacing w:val="-2"/>
                <w:sz w:val="24"/>
                <w:szCs w:val="24"/>
              </w:rPr>
              <w:t>备件</w:t>
            </w:r>
          </w:p>
        </w:tc>
        <w:tc>
          <w:tcPr>
            <w:tcW w:w="1043" w:type="dxa"/>
            <w:noWrap w:val="0"/>
            <w:vAlign w:val="top"/>
          </w:tcPr>
          <w:p w14:paraId="55DF53FF">
            <w:pPr>
              <w:rPr>
                <w:rFonts w:hint="eastAsia" w:asciiTheme="minorEastAsia" w:hAnsiTheme="minorEastAsia" w:eastAsiaTheme="minorEastAsia" w:cstheme="minorEastAsia"/>
                <w:sz w:val="24"/>
                <w:szCs w:val="24"/>
              </w:rPr>
            </w:pPr>
          </w:p>
        </w:tc>
        <w:tc>
          <w:tcPr>
            <w:tcW w:w="1444" w:type="dxa"/>
            <w:noWrap w:val="0"/>
            <w:vAlign w:val="top"/>
          </w:tcPr>
          <w:p w14:paraId="71FE08EA">
            <w:pPr>
              <w:rPr>
                <w:rFonts w:hint="eastAsia" w:asciiTheme="minorEastAsia" w:hAnsiTheme="minorEastAsia" w:eastAsiaTheme="minorEastAsia" w:cstheme="minorEastAsia"/>
                <w:sz w:val="24"/>
                <w:szCs w:val="24"/>
              </w:rPr>
            </w:pPr>
          </w:p>
        </w:tc>
      </w:tr>
      <w:tr w14:paraId="5B9D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2F7877D1">
            <w:pPr>
              <w:rPr>
                <w:rFonts w:hint="eastAsia" w:asciiTheme="minorEastAsia" w:hAnsiTheme="minorEastAsia" w:eastAsiaTheme="minorEastAsia" w:cstheme="minorEastAsia"/>
                <w:sz w:val="24"/>
                <w:szCs w:val="24"/>
              </w:rPr>
            </w:pPr>
          </w:p>
        </w:tc>
        <w:tc>
          <w:tcPr>
            <w:tcW w:w="1486" w:type="dxa"/>
            <w:noWrap w:val="0"/>
            <w:vAlign w:val="top"/>
          </w:tcPr>
          <w:p w14:paraId="3AA7FD4D">
            <w:pPr>
              <w:rPr>
                <w:rFonts w:hint="eastAsia" w:asciiTheme="minorEastAsia" w:hAnsiTheme="minorEastAsia" w:eastAsiaTheme="minorEastAsia" w:cstheme="minorEastAsia"/>
                <w:sz w:val="24"/>
                <w:szCs w:val="24"/>
              </w:rPr>
            </w:pPr>
          </w:p>
        </w:tc>
        <w:tc>
          <w:tcPr>
            <w:tcW w:w="5142" w:type="dxa"/>
            <w:gridSpan w:val="4"/>
            <w:noWrap w:val="0"/>
            <w:vAlign w:val="top"/>
          </w:tcPr>
          <w:p w14:paraId="27DD857B">
            <w:pPr>
              <w:spacing w:before="120" w:line="184" w:lineRule="auto"/>
              <w:ind w:firstLine="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易</w:t>
            </w:r>
            <w:r>
              <w:rPr>
                <w:rFonts w:hint="eastAsia" w:asciiTheme="minorEastAsia" w:hAnsiTheme="minorEastAsia" w:eastAsiaTheme="minorEastAsia" w:cstheme="minorEastAsia"/>
                <w:spacing w:val="-5"/>
                <w:sz w:val="24"/>
                <w:szCs w:val="24"/>
              </w:rPr>
              <w:t>损件</w:t>
            </w:r>
          </w:p>
        </w:tc>
        <w:tc>
          <w:tcPr>
            <w:tcW w:w="1043" w:type="dxa"/>
            <w:noWrap w:val="0"/>
            <w:vAlign w:val="top"/>
          </w:tcPr>
          <w:p w14:paraId="0997DCE0">
            <w:pPr>
              <w:rPr>
                <w:rFonts w:hint="eastAsia" w:asciiTheme="minorEastAsia" w:hAnsiTheme="minorEastAsia" w:eastAsiaTheme="minorEastAsia" w:cstheme="minorEastAsia"/>
                <w:sz w:val="24"/>
                <w:szCs w:val="24"/>
              </w:rPr>
            </w:pPr>
          </w:p>
        </w:tc>
        <w:tc>
          <w:tcPr>
            <w:tcW w:w="1444" w:type="dxa"/>
            <w:noWrap w:val="0"/>
            <w:vAlign w:val="top"/>
          </w:tcPr>
          <w:p w14:paraId="0561DF8F">
            <w:pPr>
              <w:rPr>
                <w:rFonts w:hint="eastAsia" w:asciiTheme="minorEastAsia" w:hAnsiTheme="minorEastAsia" w:eastAsiaTheme="minorEastAsia" w:cstheme="minorEastAsia"/>
                <w:sz w:val="24"/>
                <w:szCs w:val="24"/>
              </w:rPr>
            </w:pPr>
          </w:p>
        </w:tc>
      </w:tr>
      <w:tr w14:paraId="49E1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801" w:type="dxa"/>
            <w:noWrap w:val="0"/>
            <w:vAlign w:val="top"/>
          </w:tcPr>
          <w:p w14:paraId="4C4D3DB1">
            <w:pPr>
              <w:rPr>
                <w:rFonts w:hint="eastAsia" w:asciiTheme="minorEastAsia" w:hAnsiTheme="minorEastAsia" w:eastAsiaTheme="minorEastAsia" w:cstheme="minorEastAsia"/>
                <w:sz w:val="24"/>
                <w:szCs w:val="24"/>
              </w:rPr>
            </w:pPr>
          </w:p>
        </w:tc>
        <w:tc>
          <w:tcPr>
            <w:tcW w:w="1486" w:type="dxa"/>
            <w:noWrap w:val="0"/>
            <w:vAlign w:val="top"/>
          </w:tcPr>
          <w:p w14:paraId="4836800A">
            <w:pPr>
              <w:rPr>
                <w:rFonts w:hint="eastAsia" w:asciiTheme="minorEastAsia" w:hAnsiTheme="minorEastAsia" w:eastAsiaTheme="minorEastAsia" w:cstheme="minorEastAsia"/>
                <w:sz w:val="24"/>
                <w:szCs w:val="24"/>
              </w:rPr>
            </w:pPr>
          </w:p>
        </w:tc>
        <w:tc>
          <w:tcPr>
            <w:tcW w:w="5142" w:type="dxa"/>
            <w:gridSpan w:val="4"/>
            <w:noWrap w:val="0"/>
            <w:vAlign w:val="top"/>
          </w:tcPr>
          <w:p w14:paraId="52081CDC">
            <w:pPr>
              <w:spacing w:before="118" w:line="184" w:lineRule="auto"/>
              <w:ind w:firstLin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专用工具</w:t>
            </w:r>
            <w:r>
              <w:rPr>
                <w:rFonts w:hint="eastAsia" w:asciiTheme="minorEastAsia" w:hAnsiTheme="minorEastAsia" w:eastAsiaTheme="minorEastAsia" w:cstheme="minorEastAsia"/>
                <w:spacing w:val="-2"/>
                <w:sz w:val="24"/>
                <w:szCs w:val="24"/>
              </w:rPr>
              <w:t>价</w:t>
            </w:r>
          </w:p>
        </w:tc>
        <w:tc>
          <w:tcPr>
            <w:tcW w:w="1043" w:type="dxa"/>
            <w:noWrap w:val="0"/>
            <w:vAlign w:val="top"/>
          </w:tcPr>
          <w:p w14:paraId="4A2988E4">
            <w:pPr>
              <w:rPr>
                <w:rFonts w:hint="eastAsia" w:asciiTheme="minorEastAsia" w:hAnsiTheme="minorEastAsia" w:eastAsiaTheme="minorEastAsia" w:cstheme="minorEastAsia"/>
                <w:sz w:val="24"/>
                <w:szCs w:val="24"/>
              </w:rPr>
            </w:pPr>
          </w:p>
        </w:tc>
        <w:tc>
          <w:tcPr>
            <w:tcW w:w="1444" w:type="dxa"/>
            <w:noWrap w:val="0"/>
            <w:vAlign w:val="top"/>
          </w:tcPr>
          <w:p w14:paraId="4C35DB4F">
            <w:pPr>
              <w:rPr>
                <w:rFonts w:hint="eastAsia" w:asciiTheme="minorEastAsia" w:hAnsiTheme="minorEastAsia" w:eastAsiaTheme="minorEastAsia" w:cstheme="minorEastAsia"/>
                <w:sz w:val="24"/>
                <w:szCs w:val="24"/>
              </w:rPr>
            </w:pPr>
          </w:p>
        </w:tc>
      </w:tr>
      <w:tr w14:paraId="1443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65345F18">
            <w:pPr>
              <w:rPr>
                <w:rFonts w:hint="eastAsia" w:asciiTheme="minorEastAsia" w:hAnsiTheme="minorEastAsia" w:eastAsiaTheme="minorEastAsia" w:cstheme="minorEastAsia"/>
                <w:sz w:val="24"/>
                <w:szCs w:val="24"/>
              </w:rPr>
            </w:pPr>
          </w:p>
        </w:tc>
        <w:tc>
          <w:tcPr>
            <w:tcW w:w="1486" w:type="dxa"/>
            <w:noWrap w:val="0"/>
            <w:vAlign w:val="top"/>
          </w:tcPr>
          <w:p w14:paraId="7890C54C">
            <w:pPr>
              <w:rPr>
                <w:rFonts w:hint="eastAsia" w:asciiTheme="minorEastAsia" w:hAnsiTheme="minorEastAsia" w:eastAsiaTheme="minorEastAsia" w:cstheme="minorEastAsia"/>
                <w:sz w:val="24"/>
                <w:szCs w:val="24"/>
              </w:rPr>
            </w:pPr>
          </w:p>
        </w:tc>
        <w:tc>
          <w:tcPr>
            <w:tcW w:w="5142" w:type="dxa"/>
            <w:gridSpan w:val="4"/>
            <w:noWrap w:val="0"/>
            <w:vAlign w:val="top"/>
          </w:tcPr>
          <w:p w14:paraId="0E5B4F49">
            <w:pPr>
              <w:spacing w:before="120" w:line="184" w:lineRule="auto"/>
              <w:ind w:firstLine="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安装调</w:t>
            </w:r>
            <w:r>
              <w:rPr>
                <w:rFonts w:hint="eastAsia" w:asciiTheme="minorEastAsia" w:hAnsiTheme="minorEastAsia" w:eastAsiaTheme="minorEastAsia" w:cstheme="minorEastAsia"/>
                <w:spacing w:val="-2"/>
                <w:sz w:val="24"/>
                <w:szCs w:val="24"/>
              </w:rPr>
              <w:t>试费</w:t>
            </w:r>
          </w:p>
        </w:tc>
        <w:tc>
          <w:tcPr>
            <w:tcW w:w="1043" w:type="dxa"/>
            <w:noWrap w:val="0"/>
            <w:vAlign w:val="top"/>
          </w:tcPr>
          <w:p w14:paraId="0A10EC3F">
            <w:pPr>
              <w:rPr>
                <w:rFonts w:hint="eastAsia" w:asciiTheme="minorEastAsia" w:hAnsiTheme="minorEastAsia" w:eastAsiaTheme="minorEastAsia" w:cstheme="minorEastAsia"/>
                <w:sz w:val="24"/>
                <w:szCs w:val="24"/>
              </w:rPr>
            </w:pPr>
          </w:p>
        </w:tc>
        <w:tc>
          <w:tcPr>
            <w:tcW w:w="1444" w:type="dxa"/>
            <w:noWrap w:val="0"/>
            <w:vAlign w:val="top"/>
          </w:tcPr>
          <w:p w14:paraId="51CD9C7C">
            <w:pPr>
              <w:rPr>
                <w:rFonts w:hint="eastAsia" w:asciiTheme="minorEastAsia" w:hAnsiTheme="minorEastAsia" w:eastAsiaTheme="minorEastAsia" w:cstheme="minorEastAsia"/>
                <w:sz w:val="24"/>
                <w:szCs w:val="24"/>
              </w:rPr>
            </w:pPr>
          </w:p>
        </w:tc>
      </w:tr>
      <w:tr w14:paraId="36FE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4CEBDF6">
            <w:pPr>
              <w:rPr>
                <w:rFonts w:hint="eastAsia" w:asciiTheme="minorEastAsia" w:hAnsiTheme="minorEastAsia" w:eastAsiaTheme="minorEastAsia" w:cstheme="minorEastAsia"/>
                <w:sz w:val="24"/>
                <w:szCs w:val="24"/>
              </w:rPr>
            </w:pPr>
          </w:p>
        </w:tc>
        <w:tc>
          <w:tcPr>
            <w:tcW w:w="1486" w:type="dxa"/>
            <w:noWrap w:val="0"/>
            <w:vAlign w:val="top"/>
          </w:tcPr>
          <w:p w14:paraId="63913D24">
            <w:pPr>
              <w:rPr>
                <w:rFonts w:hint="eastAsia" w:asciiTheme="minorEastAsia" w:hAnsiTheme="minorEastAsia" w:eastAsiaTheme="minorEastAsia" w:cstheme="minorEastAsia"/>
                <w:sz w:val="24"/>
                <w:szCs w:val="24"/>
              </w:rPr>
            </w:pPr>
          </w:p>
        </w:tc>
        <w:tc>
          <w:tcPr>
            <w:tcW w:w="5142" w:type="dxa"/>
            <w:gridSpan w:val="4"/>
            <w:noWrap w:val="0"/>
            <w:vAlign w:val="top"/>
          </w:tcPr>
          <w:p w14:paraId="1E7993FD">
            <w:pPr>
              <w:spacing w:before="120" w:line="184" w:lineRule="auto"/>
              <w:ind w:firstLine="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运输至最终目的运费及</w:t>
            </w:r>
            <w:r>
              <w:rPr>
                <w:rFonts w:hint="eastAsia" w:asciiTheme="minorEastAsia" w:hAnsiTheme="minorEastAsia" w:eastAsiaTheme="minorEastAsia" w:cstheme="minorEastAsia"/>
                <w:sz w:val="24"/>
                <w:szCs w:val="24"/>
              </w:rPr>
              <w:t>保险费等</w:t>
            </w:r>
          </w:p>
        </w:tc>
        <w:tc>
          <w:tcPr>
            <w:tcW w:w="1043" w:type="dxa"/>
            <w:noWrap w:val="0"/>
            <w:vAlign w:val="top"/>
          </w:tcPr>
          <w:p w14:paraId="43DC18A0">
            <w:pPr>
              <w:rPr>
                <w:rFonts w:hint="eastAsia" w:asciiTheme="minorEastAsia" w:hAnsiTheme="minorEastAsia" w:eastAsiaTheme="minorEastAsia" w:cstheme="minorEastAsia"/>
                <w:sz w:val="24"/>
                <w:szCs w:val="24"/>
              </w:rPr>
            </w:pPr>
          </w:p>
        </w:tc>
        <w:tc>
          <w:tcPr>
            <w:tcW w:w="1444" w:type="dxa"/>
            <w:noWrap w:val="0"/>
            <w:vAlign w:val="top"/>
          </w:tcPr>
          <w:p w14:paraId="32F5B64E">
            <w:pPr>
              <w:rPr>
                <w:rFonts w:hint="eastAsia" w:asciiTheme="minorEastAsia" w:hAnsiTheme="minorEastAsia" w:eastAsiaTheme="minorEastAsia" w:cstheme="minorEastAsia"/>
                <w:sz w:val="24"/>
                <w:szCs w:val="24"/>
              </w:rPr>
            </w:pPr>
          </w:p>
        </w:tc>
      </w:tr>
      <w:tr w14:paraId="359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974C732">
            <w:pPr>
              <w:rPr>
                <w:rFonts w:hint="eastAsia" w:asciiTheme="minorEastAsia" w:hAnsiTheme="minorEastAsia" w:eastAsiaTheme="minorEastAsia" w:cstheme="minorEastAsia"/>
                <w:sz w:val="24"/>
                <w:szCs w:val="24"/>
              </w:rPr>
            </w:pPr>
          </w:p>
        </w:tc>
        <w:tc>
          <w:tcPr>
            <w:tcW w:w="1486" w:type="dxa"/>
            <w:noWrap w:val="0"/>
            <w:vAlign w:val="top"/>
          </w:tcPr>
          <w:p w14:paraId="6256679A">
            <w:pPr>
              <w:rPr>
                <w:rFonts w:hint="eastAsia" w:asciiTheme="minorEastAsia" w:hAnsiTheme="minorEastAsia" w:eastAsiaTheme="minorEastAsia" w:cstheme="minorEastAsia"/>
                <w:sz w:val="24"/>
                <w:szCs w:val="24"/>
              </w:rPr>
            </w:pPr>
          </w:p>
        </w:tc>
        <w:tc>
          <w:tcPr>
            <w:tcW w:w="5142" w:type="dxa"/>
            <w:gridSpan w:val="4"/>
            <w:noWrap w:val="0"/>
            <w:vAlign w:val="top"/>
          </w:tcPr>
          <w:p w14:paraId="430F8448">
            <w:pPr>
              <w:spacing w:before="120" w:line="180"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技术服务费（含培训等</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费</w:t>
            </w:r>
          </w:p>
        </w:tc>
        <w:tc>
          <w:tcPr>
            <w:tcW w:w="1043" w:type="dxa"/>
            <w:noWrap w:val="0"/>
            <w:vAlign w:val="top"/>
          </w:tcPr>
          <w:p w14:paraId="6F7DEE75">
            <w:pPr>
              <w:rPr>
                <w:rFonts w:hint="eastAsia" w:asciiTheme="minorEastAsia" w:hAnsiTheme="minorEastAsia" w:eastAsiaTheme="minorEastAsia" w:cstheme="minorEastAsia"/>
                <w:sz w:val="24"/>
                <w:szCs w:val="24"/>
              </w:rPr>
            </w:pPr>
          </w:p>
        </w:tc>
        <w:tc>
          <w:tcPr>
            <w:tcW w:w="1444" w:type="dxa"/>
            <w:noWrap w:val="0"/>
            <w:vAlign w:val="top"/>
          </w:tcPr>
          <w:p w14:paraId="12730B38">
            <w:pPr>
              <w:rPr>
                <w:rFonts w:hint="eastAsia" w:asciiTheme="minorEastAsia" w:hAnsiTheme="minorEastAsia" w:eastAsiaTheme="minorEastAsia" w:cstheme="minorEastAsia"/>
                <w:sz w:val="24"/>
                <w:szCs w:val="24"/>
              </w:rPr>
            </w:pPr>
          </w:p>
        </w:tc>
      </w:tr>
      <w:tr w14:paraId="0B85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07D214E4">
            <w:pPr>
              <w:rPr>
                <w:rFonts w:hint="eastAsia" w:asciiTheme="minorEastAsia" w:hAnsiTheme="minorEastAsia" w:eastAsiaTheme="minorEastAsia" w:cstheme="minorEastAsia"/>
                <w:sz w:val="24"/>
                <w:szCs w:val="24"/>
              </w:rPr>
            </w:pPr>
          </w:p>
        </w:tc>
        <w:tc>
          <w:tcPr>
            <w:tcW w:w="1486" w:type="dxa"/>
            <w:noWrap w:val="0"/>
            <w:vAlign w:val="top"/>
          </w:tcPr>
          <w:p w14:paraId="28A27ED4">
            <w:pPr>
              <w:rPr>
                <w:rFonts w:hint="eastAsia" w:asciiTheme="minorEastAsia" w:hAnsiTheme="minorEastAsia" w:eastAsiaTheme="minorEastAsia" w:cstheme="minorEastAsia"/>
                <w:sz w:val="24"/>
                <w:szCs w:val="24"/>
              </w:rPr>
            </w:pPr>
          </w:p>
        </w:tc>
        <w:tc>
          <w:tcPr>
            <w:tcW w:w="5142" w:type="dxa"/>
            <w:gridSpan w:val="4"/>
            <w:noWrap w:val="0"/>
            <w:vAlign w:val="top"/>
          </w:tcPr>
          <w:p w14:paraId="22CFED33">
            <w:pPr>
              <w:spacing w:before="118" w:line="185" w:lineRule="auto"/>
              <w:ind w:firstLine="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其</w:t>
            </w:r>
            <w:r>
              <w:rPr>
                <w:rFonts w:hint="eastAsia" w:asciiTheme="minorEastAsia" w:hAnsiTheme="minorEastAsia" w:eastAsiaTheme="minorEastAsia" w:cstheme="minorEastAsia"/>
                <w:spacing w:val="-2"/>
                <w:sz w:val="24"/>
                <w:szCs w:val="24"/>
              </w:rPr>
              <w:t>他</w:t>
            </w:r>
          </w:p>
        </w:tc>
        <w:tc>
          <w:tcPr>
            <w:tcW w:w="1043" w:type="dxa"/>
            <w:noWrap w:val="0"/>
            <w:vAlign w:val="top"/>
          </w:tcPr>
          <w:p w14:paraId="69C1CE10">
            <w:pPr>
              <w:rPr>
                <w:rFonts w:hint="eastAsia" w:asciiTheme="minorEastAsia" w:hAnsiTheme="minorEastAsia" w:eastAsiaTheme="minorEastAsia" w:cstheme="minorEastAsia"/>
                <w:sz w:val="24"/>
                <w:szCs w:val="24"/>
              </w:rPr>
            </w:pPr>
          </w:p>
        </w:tc>
        <w:tc>
          <w:tcPr>
            <w:tcW w:w="1444" w:type="dxa"/>
            <w:noWrap w:val="0"/>
            <w:vAlign w:val="top"/>
          </w:tcPr>
          <w:p w14:paraId="704C5503">
            <w:pPr>
              <w:rPr>
                <w:rFonts w:hint="eastAsia" w:asciiTheme="minorEastAsia" w:hAnsiTheme="minorEastAsia" w:eastAsiaTheme="minorEastAsia" w:cstheme="minorEastAsia"/>
                <w:sz w:val="24"/>
                <w:szCs w:val="24"/>
              </w:rPr>
            </w:pPr>
          </w:p>
        </w:tc>
      </w:tr>
      <w:tr w14:paraId="6E3D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16" w:type="dxa"/>
            <w:gridSpan w:val="8"/>
            <w:noWrap w:val="0"/>
            <w:vAlign w:val="top"/>
          </w:tcPr>
          <w:p w14:paraId="7FB2C8BA">
            <w:pPr>
              <w:spacing w:before="121" w:line="184" w:lineRule="auto"/>
              <w:ind w:firstLine="6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64135</wp:posOffset>
                      </wp:positionV>
                      <wp:extent cx="429895" cy="227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9895" cy="227965"/>
                              </a:xfrm>
                              <a:prstGeom prst="rect">
                                <a:avLst/>
                              </a:prstGeom>
                              <a:noFill/>
                              <a:ln>
                                <a:noFill/>
                              </a:ln>
                            </wps:spPr>
                            <wps:txbx>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5.35pt;margin-top:5.05pt;height:17.95pt;width:33.85pt;z-index:251660288;mso-width-relative:page;mso-height-relative:page;" filled="f" stroked="f" coordsize="21600,21600" o:gfxdata="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WqeV1QAAAAcBAAAPAAAAAAAAAAEAIAAAACIAAABkcnMvZG93bnJldi54bWxQSwECFAAU&#10;AAAACACHTuJA1M72R7sBAABxAwAADgAAAAAAAAABACAAAAAkAQAAZHJzL2Uyb0RvYy54bWxQSwUG&#10;AAAAAAYABgBZAQAAUQUAAAAA&#10;">
                      <v:fill on="f" focussize="0,0"/>
                      <v:stroke on="f"/>
                      <v:imagedata o:title=""/>
                      <o:lock v:ext="edit" aspectratio="f"/>
                      <v:textbox inset="0mm,0mm,0mm,0mm">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6071235</wp:posOffset>
                      </wp:positionH>
                      <wp:positionV relativeFrom="paragraph">
                        <wp:posOffset>64135</wp:posOffset>
                      </wp:positionV>
                      <wp:extent cx="167005" cy="227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7005" cy="227330"/>
                              </a:xfrm>
                              <a:prstGeom prst="rect">
                                <a:avLst/>
                              </a:prstGeom>
                              <a:noFill/>
                              <a:ln>
                                <a:noFill/>
                              </a:ln>
                            </wps:spPr>
                            <wps:txbx>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wps:txbx>
                            <wps:bodyPr lIns="0" tIns="0" rIns="0" bIns="0" upright="1"/>
                          </wps:wsp>
                        </a:graphicData>
                      </a:graphic>
                    </wp:anchor>
                  </w:drawing>
                </mc:Choice>
                <mc:Fallback>
                  <w:pict>
                    <v:shape id="_x0000_s1026" o:spid="_x0000_s1026" o:spt="202" type="#_x0000_t202" style="position:absolute;left:0pt;margin-left:478.05pt;margin-top:5.05pt;height:17.9pt;width:13.15pt;z-index:251659264;mso-width-relative:page;mso-height-relative:page;" filled="f" stroked="f" coordsize="21600,21600" o:gfxdata="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YVLP3YAAAACQEAAA8AAAAAAAAAAQAgAAAAIgAAAGRycy9kb3ducmV2LnhtbFBLAQIU&#10;ABQAAAAIAIdO4kA0ABCfugEAAHEDAAAOAAAAAAAAAAEAIAAAACcBAABkcnMvZTJvRG9jLnhtbFBL&#10;BQYAAAAABgAGAFkBAABTBQAAAAA=&#10;">
                      <v:fill on="f" focussize="0,0"/>
                      <v:stroke on="f"/>
                      <v:imagedata o:title=""/>
                      <o:lock v:ext="edit" aspectratio="f"/>
                      <v:textbox inset="0mm,0mm,0mm,0mm">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v:textbox>
                    </v:shape>
                  </w:pict>
                </mc:Fallback>
              </mc:AlternateContent>
            </w:r>
            <w:r>
              <w:rPr>
                <w:rFonts w:hint="eastAsia" w:asciiTheme="minorEastAsia" w:hAnsiTheme="minorEastAsia" w:eastAsiaTheme="minorEastAsia" w:cstheme="minorEastAsia"/>
                <w:sz w:val="24"/>
                <w:szCs w:val="24"/>
              </w:rPr>
              <w:t>合同价</w:t>
            </w:r>
            <w:r>
              <w:rPr>
                <w:rFonts w:hint="eastAsia" w:asciiTheme="minorEastAsia" w:hAnsiTheme="minorEastAsia" w:eastAsiaTheme="minorEastAsia" w:cstheme="minorEastAsia"/>
                <w:spacing w:val="-58"/>
                <w:sz w:val="24"/>
                <w:szCs w:val="24"/>
              </w:rPr>
              <w:t>：</w:t>
            </w:r>
          </w:p>
        </w:tc>
      </w:tr>
    </w:tbl>
    <w:p w14:paraId="40DA0F2A">
      <w:pPr>
        <w:sectPr>
          <w:pgSz w:w="11905" w:h="16840"/>
          <w:pgMar w:top="1134" w:right="1134" w:bottom="1134" w:left="1417" w:header="0" w:footer="0" w:gutter="0"/>
          <w:pgNumType w:fmt="numberInDash"/>
          <w:cols w:space="720" w:num="1"/>
          <w:rtlGutter w:val="0"/>
        </w:sectPr>
      </w:pPr>
    </w:p>
    <w:bookmarkEnd w:id="903"/>
    <w:p w14:paraId="1591C252">
      <w:pPr>
        <w:pStyle w:val="2"/>
        <w:tabs>
          <w:tab w:val="left" w:pos="1440"/>
        </w:tabs>
        <w:wordWrap w:val="0"/>
        <w:rPr>
          <w:rFonts w:hint="eastAsia" w:ascii="宋体" w:hAnsi="宋体" w:cs="宋体"/>
          <w:kern w:val="0"/>
          <w:sz w:val="24"/>
          <w:szCs w:val="24"/>
          <w:highlight w:val="none"/>
          <w:lang w:eastAsia="zh-CN"/>
        </w:rPr>
      </w:pPr>
      <w:bookmarkStart w:id="904" w:name="_Toc26470"/>
      <w:bookmarkStart w:id="905" w:name="_Toc27917"/>
      <w:bookmarkStart w:id="906" w:name="_Toc2005"/>
      <w:r>
        <w:rPr>
          <w:rFonts w:hint="eastAsia" w:ascii="宋体" w:hAnsi="宋体" w:cs="宋体"/>
          <w:highlight w:val="none"/>
        </w:rPr>
        <w:t>第五章 采购需求</w:t>
      </w:r>
      <w:bookmarkEnd w:id="904"/>
      <w:bookmarkEnd w:id="905"/>
      <w:bookmarkEnd w:id="906"/>
      <w:bookmarkStart w:id="907" w:name="_Toc9535"/>
      <w:bookmarkStart w:id="908" w:name="_Toc493506288"/>
    </w:p>
    <w:bookmarkEnd w:id="907"/>
    <w:bookmarkEnd w:id="908"/>
    <w:p w14:paraId="27D6CEC6">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09" w:name="_Toc24289"/>
    </w:p>
    <w:p w14:paraId="5394FBE7">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10" w:name="_Toc1077"/>
      <w:bookmarkStart w:id="911" w:name="_Toc17467"/>
      <w:r>
        <w:rPr>
          <w:rFonts w:hint="eastAsia" w:ascii="宋体" w:hAnsi="宋体" w:eastAsia="宋体" w:cs="宋体"/>
          <w:b/>
          <w:bCs/>
          <w:color w:val="auto"/>
          <w:sz w:val="24"/>
          <w:szCs w:val="24"/>
          <w:highlight w:val="none"/>
          <w:lang w:val="en-US" w:eastAsia="zh-CN"/>
        </w:rPr>
        <w:t>采购需求：供应商需对采购需求做出承诺，否则视同不满足本项目采购要求，原则上否决其投标。</w:t>
      </w:r>
      <w:bookmarkEnd w:id="910"/>
      <w:bookmarkEnd w:id="911"/>
    </w:p>
    <w:p w14:paraId="5FC8B8DB">
      <w:pPr>
        <w:wordWrap w:val="0"/>
        <w:spacing w:line="240" w:lineRule="auto"/>
        <w:ind w:firstLine="482" w:firstLineChars="200"/>
        <w:rPr>
          <w:rFonts w:hint="eastAsia" w:asciiTheme="minorEastAsia" w:hAnsiTheme="minorEastAsia" w:eastAsiaTheme="minorEastAsia" w:cstheme="minorEastAsia"/>
          <w:b/>
          <w:bCs/>
          <w:sz w:val="24"/>
          <w:szCs w:val="24"/>
          <w:lang w:val="en-US" w:eastAsia="zh-CN"/>
        </w:rPr>
      </w:pPr>
    </w:p>
    <w:p w14:paraId="4A599CB5">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5.1采购需求</w:t>
      </w:r>
    </w:p>
    <w:p w14:paraId="5B775F6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本次采购共2部电梯，其中：1部客梯，11层11站，载重10</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cstheme="minorEastAsia"/>
          <w:color w:val="auto"/>
          <w:sz w:val="24"/>
          <w:szCs w:val="24"/>
          <w:lang w:val="en-US" w:eastAsia="zh-CN"/>
        </w:rPr>
        <w:t>-1050</w:t>
      </w:r>
      <w:r>
        <w:rPr>
          <w:rFonts w:hint="eastAsia" w:asciiTheme="minorEastAsia" w:hAnsiTheme="minorEastAsia" w:eastAsiaTheme="minorEastAsia" w:cstheme="minorEastAsia"/>
          <w:color w:val="auto"/>
          <w:sz w:val="24"/>
          <w:szCs w:val="24"/>
          <w:lang w:val="en-US" w:eastAsia="zh-CN"/>
        </w:rPr>
        <w:t>KG，运行速度</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75</w:t>
      </w:r>
      <w:r>
        <w:rPr>
          <w:rFonts w:hint="eastAsia" w:asciiTheme="minorEastAsia" w:hAnsiTheme="minorEastAsia" w:eastAsiaTheme="minorEastAsia" w:cstheme="minorEastAsia"/>
          <w:color w:val="auto"/>
          <w:sz w:val="24"/>
          <w:szCs w:val="24"/>
          <w:lang w:val="en-US" w:eastAsia="zh-CN"/>
        </w:rPr>
        <w:t>m/s；1部消防梯，12层12站，载重1000</w:t>
      </w:r>
      <w:r>
        <w:rPr>
          <w:rFonts w:hint="eastAsia" w:asciiTheme="minorEastAsia" w:hAnsiTheme="minorEastAsia" w:cstheme="minorEastAsia"/>
          <w:color w:val="auto"/>
          <w:sz w:val="24"/>
          <w:szCs w:val="24"/>
          <w:lang w:val="en-US" w:eastAsia="zh-CN"/>
        </w:rPr>
        <w:t>-1050</w:t>
      </w:r>
      <w:r>
        <w:rPr>
          <w:rFonts w:hint="eastAsia" w:asciiTheme="minorEastAsia" w:hAnsiTheme="minorEastAsia" w:eastAsiaTheme="minorEastAsia" w:cstheme="minorEastAsia"/>
          <w:color w:val="auto"/>
          <w:sz w:val="24"/>
          <w:szCs w:val="24"/>
          <w:lang w:val="en-US" w:eastAsia="zh-CN"/>
        </w:rPr>
        <w:t>KG，运行速度1.</w:t>
      </w:r>
      <w:r>
        <w:rPr>
          <w:rFonts w:hint="eastAsia" w:asciiTheme="minorEastAsia" w:hAnsiTheme="minorEastAsia" w:cstheme="minorEastAsia"/>
          <w:color w:val="auto"/>
          <w:sz w:val="24"/>
          <w:szCs w:val="24"/>
          <w:lang w:val="en-US" w:eastAsia="zh-CN"/>
        </w:rPr>
        <w:t>75</w:t>
      </w:r>
      <w:r>
        <w:rPr>
          <w:rFonts w:hint="eastAsia" w:asciiTheme="minorEastAsia" w:hAnsiTheme="minorEastAsia" w:eastAsiaTheme="minorEastAsia" w:cstheme="minorEastAsia"/>
          <w:color w:val="auto"/>
          <w:sz w:val="24"/>
          <w:szCs w:val="24"/>
          <w:lang w:val="en-US" w:eastAsia="zh-CN"/>
        </w:rPr>
        <w:t>m/s。包括电梯拆除、井道改造加固及电梯安装工程（拆除原有旧电梯、更换新电梯，井道根据各个厂家电梯设计要求进行改造）。废旧电梯由中标人负责拆除，拆除后由采购人处置。</w:t>
      </w:r>
    </w:p>
    <w:p w14:paraId="13718ACC">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5.2交货期</w:t>
      </w:r>
      <w:r>
        <w:rPr>
          <w:rFonts w:hint="eastAsia" w:asciiTheme="minorEastAsia" w:hAnsiTheme="minorEastAsia" w:eastAsiaTheme="minorEastAsia" w:cstheme="minorEastAsia"/>
          <w:color w:val="auto"/>
          <w:sz w:val="24"/>
          <w:szCs w:val="24"/>
          <w:lang w:val="en-US" w:eastAsia="zh-CN"/>
        </w:rPr>
        <w:t>：合同签订后接到采购人通知15日内完成交付</w:t>
      </w:r>
    </w:p>
    <w:p w14:paraId="0BA7545F">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5.3合同履行期限</w:t>
      </w:r>
      <w:r>
        <w:rPr>
          <w:rFonts w:hint="eastAsia" w:asciiTheme="minorEastAsia" w:hAnsiTheme="minorEastAsia" w:eastAsiaTheme="minorEastAsia" w:cstheme="minorEastAsia"/>
          <w:color w:val="auto"/>
          <w:sz w:val="24"/>
          <w:szCs w:val="24"/>
          <w:lang w:val="en-US" w:eastAsia="zh-CN"/>
        </w:rPr>
        <w:t>：合同签订至质保期结束；</w:t>
      </w:r>
    </w:p>
    <w:p w14:paraId="0F0B1035">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5.4质量要求</w:t>
      </w:r>
      <w:r>
        <w:rPr>
          <w:rFonts w:hint="eastAsia" w:asciiTheme="minorEastAsia" w:hAnsiTheme="minorEastAsia" w:eastAsiaTheme="minorEastAsia" w:cstheme="minorEastAsia"/>
          <w:color w:val="auto"/>
          <w:sz w:val="24"/>
          <w:szCs w:val="24"/>
          <w:lang w:val="en-US" w:eastAsia="zh-CN"/>
        </w:rPr>
        <w:t>：符合相关标准规范的规定、满足采购人要求；</w:t>
      </w:r>
    </w:p>
    <w:p w14:paraId="4503BF70">
      <w:pPr>
        <w:spacing w:before="196" w:line="184" w:lineRule="auto"/>
        <w:ind w:left="4445"/>
        <w:rPr>
          <w:rFonts w:ascii="宋体" w:hAnsi="宋体" w:eastAsia="宋体" w:cs="宋体"/>
          <w:sz w:val="42"/>
          <w:szCs w:val="42"/>
        </w:rPr>
      </w:pPr>
    </w:p>
    <w:p w14:paraId="67DB5FC5">
      <w:pPr>
        <w:spacing w:line="217" w:lineRule="auto"/>
        <w:ind w:left="0" w:leftChars="0" w:firstLine="0" w:firstLineChars="0"/>
        <w:jc w:val="center"/>
        <w:rPr>
          <w:rFonts w:ascii="宋体" w:hAnsi="宋体" w:eastAsia="宋体" w:cs="宋体"/>
          <w:b/>
          <w:bCs/>
          <w:sz w:val="28"/>
          <w:szCs w:val="28"/>
        </w:rPr>
      </w:pPr>
      <w:r>
        <w:rPr>
          <w:rFonts w:ascii="宋体" w:hAnsi="宋体" w:eastAsia="宋体" w:cs="宋体"/>
          <w:b/>
          <w:bCs/>
          <w:spacing w:val="1"/>
          <w:sz w:val="28"/>
          <w:szCs w:val="28"/>
        </w:rPr>
        <w:t>固始县公安局机关大楼采购电梯项目</w:t>
      </w:r>
    </w:p>
    <w:p w14:paraId="6396ED06">
      <w:pPr>
        <w:ind w:left="0" w:leftChars="0" w:firstLine="0" w:firstLineChars="0"/>
      </w:pPr>
    </w:p>
    <w:tbl>
      <w:tblPr>
        <w:tblStyle w:val="46"/>
        <w:tblW w:w="94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
        <w:gridCol w:w="695"/>
        <w:gridCol w:w="664"/>
        <w:gridCol w:w="895"/>
        <w:gridCol w:w="3997"/>
        <w:gridCol w:w="600"/>
        <w:gridCol w:w="938"/>
        <w:gridCol w:w="601"/>
        <w:gridCol w:w="574"/>
        <w:gridCol w:w="449"/>
      </w:tblGrid>
      <w:tr w14:paraId="73041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gridSpan w:val="2"/>
            <w:tcBorders>
              <w:bottom w:val="nil"/>
            </w:tcBorders>
            <w:vAlign w:val="center"/>
          </w:tcPr>
          <w:p w14:paraId="2AC742FB">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序号</w:t>
            </w:r>
          </w:p>
        </w:tc>
        <w:tc>
          <w:tcPr>
            <w:tcW w:w="664" w:type="dxa"/>
            <w:tcBorders>
              <w:bottom w:val="nil"/>
            </w:tcBorders>
            <w:vAlign w:val="center"/>
          </w:tcPr>
          <w:p w14:paraId="6746BD54">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分项</w:t>
            </w:r>
          </w:p>
        </w:tc>
        <w:tc>
          <w:tcPr>
            <w:tcW w:w="895" w:type="dxa"/>
            <w:tcBorders>
              <w:bottom w:val="nil"/>
            </w:tcBorders>
            <w:vAlign w:val="center"/>
          </w:tcPr>
          <w:p w14:paraId="3C03ECA2">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项目编码</w:t>
            </w:r>
          </w:p>
        </w:tc>
        <w:tc>
          <w:tcPr>
            <w:tcW w:w="3997" w:type="dxa"/>
            <w:tcBorders>
              <w:bottom w:val="nil"/>
            </w:tcBorders>
            <w:vAlign w:val="center"/>
          </w:tcPr>
          <w:p w14:paraId="11B3ADD7">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项目名称与特征</w:t>
            </w:r>
          </w:p>
        </w:tc>
        <w:tc>
          <w:tcPr>
            <w:tcW w:w="600" w:type="dxa"/>
            <w:tcBorders>
              <w:bottom w:val="nil"/>
            </w:tcBorders>
            <w:vAlign w:val="center"/>
          </w:tcPr>
          <w:p w14:paraId="7F594D33">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计量单位</w:t>
            </w:r>
          </w:p>
        </w:tc>
        <w:tc>
          <w:tcPr>
            <w:tcW w:w="938" w:type="dxa"/>
            <w:tcBorders>
              <w:bottom w:val="single" w:color="auto" w:sz="4" w:space="0"/>
            </w:tcBorders>
            <w:vAlign w:val="center"/>
          </w:tcPr>
          <w:p w14:paraId="286483D9">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工程量</w:t>
            </w:r>
          </w:p>
        </w:tc>
        <w:tc>
          <w:tcPr>
            <w:tcW w:w="601" w:type="dxa"/>
            <w:vAlign w:val="center"/>
          </w:tcPr>
          <w:p w14:paraId="51AC8688">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综合单价</w:t>
            </w:r>
          </w:p>
        </w:tc>
        <w:tc>
          <w:tcPr>
            <w:tcW w:w="574" w:type="dxa"/>
            <w:vAlign w:val="center"/>
          </w:tcPr>
          <w:p w14:paraId="0F152E30">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合价</w:t>
            </w:r>
          </w:p>
        </w:tc>
        <w:tc>
          <w:tcPr>
            <w:tcW w:w="449" w:type="dxa"/>
            <w:tcBorders>
              <w:bottom w:val="nil"/>
            </w:tcBorders>
            <w:vAlign w:val="center"/>
          </w:tcPr>
          <w:p w14:paraId="6DF033E1">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color w:val="auto"/>
              </w:rPr>
            </w:pPr>
            <w:r>
              <w:rPr>
                <w:color w:val="auto"/>
              </w:rPr>
              <w:t>备注</w:t>
            </w:r>
          </w:p>
        </w:tc>
      </w:tr>
      <w:tr w14:paraId="1B16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697" w:type="dxa"/>
            <w:gridSpan w:val="2"/>
            <w:vAlign w:val="center"/>
          </w:tcPr>
          <w:p w14:paraId="2340D9EC">
            <w:pPr>
              <w:keepNext w:val="0"/>
              <w:keepLines w:val="0"/>
              <w:pageBreakBefore w:val="0"/>
              <w:widowControl w:val="0"/>
              <w:tabs>
                <w:tab w:val="left" w:pos="630"/>
              </w:tabs>
              <w:kinsoku/>
              <w:wordWrap w:val="0"/>
              <w:overflowPunct/>
              <w:topLinePunct w:val="0"/>
              <w:autoSpaceDE/>
              <w:autoSpaceDN/>
              <w:bidi w:val="0"/>
              <w:adjustRightInd/>
              <w:snapToGrid/>
              <w:spacing w:before="55" w:line="241" w:lineRule="auto"/>
              <w:ind w:left="0" w:leftChars="0" w:firstLine="0" w:firstLineChars="0"/>
              <w:jc w:val="center"/>
              <w:textAlignment w:val="auto"/>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kern w:val="2"/>
                <w:sz w:val="21"/>
                <w:szCs w:val="21"/>
                <w:lang w:val="en-US" w:eastAsia="zh-CN" w:bidi="ar-SA"/>
              </w:rPr>
              <w:t>1</w:t>
            </w:r>
          </w:p>
        </w:tc>
        <w:tc>
          <w:tcPr>
            <w:tcW w:w="664" w:type="dxa"/>
            <w:vMerge w:val="restart"/>
            <w:tcBorders>
              <w:bottom w:val="nil"/>
            </w:tcBorders>
            <w:vAlign w:val="center"/>
          </w:tcPr>
          <w:p w14:paraId="433795A0">
            <w:pPr>
              <w:keepNext w:val="0"/>
              <w:keepLines w:val="0"/>
              <w:pageBreakBefore w:val="0"/>
              <w:widowControl w:val="0"/>
              <w:kinsoku/>
              <w:wordWrap w:val="0"/>
              <w:overflowPunct/>
              <w:topLinePunct w:val="0"/>
              <w:autoSpaceDE/>
              <w:autoSpaceDN/>
              <w:bidi w:val="0"/>
              <w:adjustRightInd/>
              <w:snapToGrid/>
              <w:spacing w:before="56" w:line="220" w:lineRule="auto"/>
              <w:ind w:left="0" w:leftChars="0" w:right="49"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拆除旧</w:t>
            </w:r>
            <w:r>
              <w:rPr>
                <w:rFonts w:hint="eastAsia" w:ascii="宋体" w:hAnsi="宋体" w:eastAsia="宋体" w:cs="宋体"/>
                <w:color w:val="auto"/>
                <w:spacing w:val="4"/>
                <w:sz w:val="21"/>
                <w:szCs w:val="21"/>
              </w:rPr>
              <w:t>电梯</w:t>
            </w:r>
          </w:p>
        </w:tc>
        <w:tc>
          <w:tcPr>
            <w:tcW w:w="895" w:type="dxa"/>
            <w:vAlign w:val="center"/>
          </w:tcPr>
          <w:p w14:paraId="4A2747A8">
            <w:pPr>
              <w:keepNext w:val="0"/>
              <w:keepLines w:val="0"/>
              <w:pageBreakBefore w:val="0"/>
              <w:widowControl w:val="0"/>
              <w:kinsoku/>
              <w:wordWrap w:val="0"/>
              <w:overflowPunct/>
              <w:topLinePunct w:val="0"/>
              <w:autoSpaceDE/>
              <w:autoSpaceDN/>
              <w:bidi w:val="0"/>
              <w:adjustRightInd/>
              <w:snapToGrid/>
              <w:spacing w:before="55" w:line="184"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01B001</w:t>
            </w:r>
          </w:p>
        </w:tc>
        <w:tc>
          <w:tcPr>
            <w:tcW w:w="3997" w:type="dxa"/>
            <w:vAlign w:val="center"/>
          </w:tcPr>
          <w:p w14:paraId="70E7B123">
            <w:pPr>
              <w:keepNext w:val="0"/>
              <w:keepLines w:val="0"/>
              <w:pageBreakBefore w:val="0"/>
              <w:widowControl w:val="0"/>
              <w:kinsoku/>
              <w:wordWrap w:val="0"/>
              <w:overflowPunct/>
              <w:topLinePunct w:val="0"/>
              <w:autoSpaceDE/>
              <w:autoSpaceDN/>
              <w:bidi w:val="0"/>
              <w:adjustRightInd/>
              <w:snapToGrid/>
              <w:spacing w:before="90" w:line="240" w:lineRule="auto"/>
              <w:ind w:left="10" w:leftChars="0" w:firstLine="206" w:firstLineChars="100"/>
              <w:jc w:val="both"/>
              <w:textAlignment w:val="auto"/>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旧电梯拆除</w:t>
            </w:r>
          </w:p>
          <w:p w14:paraId="2F156614">
            <w:pPr>
              <w:keepNext w:val="0"/>
              <w:keepLines w:val="0"/>
              <w:pageBreakBefore w:val="0"/>
              <w:widowControl w:val="0"/>
              <w:kinsoku/>
              <w:wordWrap w:val="0"/>
              <w:overflowPunct/>
              <w:topLinePunct w:val="0"/>
              <w:autoSpaceDE/>
              <w:autoSpaceDN/>
              <w:bidi w:val="0"/>
              <w:adjustRightInd/>
              <w:snapToGrid/>
              <w:spacing w:before="90" w:line="240" w:lineRule="auto"/>
              <w:ind w:left="10" w:leftChars="0" w:firstLine="206" w:firstLineChars="100"/>
              <w:jc w:val="both"/>
              <w:textAlignment w:val="auto"/>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旧电梯拆除</w:t>
            </w:r>
          </w:p>
          <w:p w14:paraId="2519CC84">
            <w:pPr>
              <w:keepNext w:val="0"/>
              <w:keepLines w:val="0"/>
              <w:pageBreakBefore w:val="0"/>
              <w:widowControl w:val="0"/>
              <w:kinsoku/>
              <w:wordWrap w:val="0"/>
              <w:overflowPunct/>
              <w:topLinePunct w:val="0"/>
              <w:autoSpaceDE/>
              <w:autoSpaceDN/>
              <w:bidi w:val="0"/>
              <w:adjustRightInd/>
              <w:snapToGrid/>
              <w:spacing w:before="90" w:line="240" w:lineRule="auto"/>
              <w:ind w:left="10" w:leftChars="0" w:firstLine="206"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2</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拆除电梯主机、轿厢</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对重，导轨、</w:t>
            </w:r>
            <w:r>
              <w:rPr>
                <w:rFonts w:hint="eastAsia" w:ascii="宋体" w:hAnsi="宋体" w:eastAsia="宋体" w:cs="宋体"/>
                <w:color w:val="auto"/>
                <w:spacing w:val="-2"/>
                <w:sz w:val="21"/>
                <w:szCs w:val="21"/>
                <w:lang w:val="en-US" w:eastAsia="zh-CN"/>
              </w:rPr>
              <w:t>钢丝绳、</w:t>
            </w:r>
            <w:r>
              <w:rPr>
                <w:rFonts w:hint="eastAsia" w:ascii="宋体" w:hAnsi="宋体" w:eastAsia="宋体" w:cs="宋体"/>
                <w:color w:val="auto"/>
                <w:spacing w:val="-2"/>
                <w:sz w:val="21"/>
                <w:szCs w:val="21"/>
              </w:rPr>
              <w:t>机房及井道内部所有设备、线缆</w:t>
            </w:r>
          </w:p>
        </w:tc>
        <w:tc>
          <w:tcPr>
            <w:tcW w:w="600" w:type="dxa"/>
            <w:tcBorders>
              <w:right w:val="single" w:color="auto" w:sz="4" w:space="0"/>
            </w:tcBorders>
            <w:vAlign w:val="center"/>
          </w:tcPr>
          <w:p w14:paraId="691C3656">
            <w:pPr>
              <w:keepNext w:val="0"/>
              <w:keepLines w:val="0"/>
              <w:pageBreakBefore w:val="0"/>
              <w:widowControl w:val="0"/>
              <w:tabs>
                <w:tab w:val="left" w:pos="630"/>
              </w:tabs>
              <w:kinsoku/>
              <w:wordWrap w:val="0"/>
              <w:overflowPunct/>
              <w:topLinePunct w:val="0"/>
              <w:autoSpaceDE/>
              <w:autoSpaceDN/>
              <w:bidi w:val="0"/>
              <w:adjustRightInd/>
              <w:snapToGrid/>
              <w:spacing w:before="56" w:line="221" w:lineRule="auto"/>
              <w:ind w:left="-187" w:leftChars="-89" w:firstLine="147" w:firstLineChars="7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w:t>
            </w:r>
          </w:p>
        </w:tc>
        <w:tc>
          <w:tcPr>
            <w:tcW w:w="938" w:type="dxa"/>
            <w:tcBorders>
              <w:top w:val="single" w:color="auto" w:sz="4" w:space="0"/>
              <w:left w:val="single" w:color="auto" w:sz="4" w:space="0"/>
              <w:bottom w:val="single" w:color="auto" w:sz="4" w:space="0"/>
              <w:right w:val="single" w:color="auto" w:sz="4" w:space="0"/>
            </w:tcBorders>
            <w:vAlign w:val="center"/>
          </w:tcPr>
          <w:p w14:paraId="1C9059CB">
            <w:pPr>
              <w:keepNext w:val="0"/>
              <w:keepLines w:val="0"/>
              <w:pageBreakBefore w:val="0"/>
              <w:widowControl w:val="0"/>
              <w:kinsoku/>
              <w:wordWrap w:val="0"/>
              <w:overflowPunct/>
              <w:topLinePunct w:val="0"/>
              <w:autoSpaceDE/>
              <w:autoSpaceDN/>
              <w:bidi w:val="0"/>
              <w:adjustRightInd/>
              <w:snapToGrid/>
              <w:spacing w:before="56" w:line="241" w:lineRule="auto"/>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01" w:type="dxa"/>
            <w:vMerge w:val="restart"/>
            <w:tcBorders>
              <w:left w:val="single" w:color="auto" w:sz="4" w:space="0"/>
              <w:bottom w:val="nil"/>
            </w:tcBorders>
            <w:vAlign w:val="top"/>
          </w:tcPr>
          <w:p w14:paraId="5F22882C">
            <w:pPr>
              <w:keepNext w:val="0"/>
              <w:keepLines w:val="0"/>
              <w:pageBreakBefore w:val="0"/>
              <w:widowControl w:val="0"/>
              <w:kinsoku/>
              <w:wordWrap w:val="0"/>
              <w:overflowPunct/>
              <w:topLinePunct w:val="0"/>
              <w:autoSpaceDE/>
              <w:autoSpaceDN/>
              <w:bidi w:val="0"/>
              <w:adjustRightInd/>
              <w:snapToGrid/>
              <w:spacing w:before="55"/>
              <w:ind w:left="227"/>
              <w:textAlignment w:val="auto"/>
              <w:rPr>
                <w:rFonts w:hint="eastAsia" w:ascii="宋体" w:hAnsi="宋体" w:eastAsia="宋体" w:cs="宋体"/>
                <w:color w:val="auto"/>
                <w:sz w:val="21"/>
                <w:szCs w:val="21"/>
              </w:rPr>
            </w:pPr>
          </w:p>
        </w:tc>
        <w:tc>
          <w:tcPr>
            <w:tcW w:w="574" w:type="dxa"/>
            <w:vMerge w:val="restart"/>
            <w:tcBorders>
              <w:bottom w:val="nil"/>
            </w:tcBorders>
            <w:vAlign w:val="top"/>
          </w:tcPr>
          <w:p w14:paraId="16A56CA1">
            <w:pPr>
              <w:keepNext w:val="0"/>
              <w:keepLines w:val="0"/>
              <w:pageBreakBefore w:val="0"/>
              <w:widowControl w:val="0"/>
              <w:kinsoku/>
              <w:wordWrap w:val="0"/>
              <w:overflowPunct/>
              <w:topLinePunct w:val="0"/>
              <w:autoSpaceDE/>
              <w:autoSpaceDN/>
              <w:bidi w:val="0"/>
              <w:adjustRightInd/>
              <w:snapToGrid/>
              <w:spacing w:before="55"/>
              <w:ind w:left="238"/>
              <w:textAlignment w:val="auto"/>
              <w:rPr>
                <w:rFonts w:hint="eastAsia" w:ascii="宋体" w:hAnsi="宋体" w:eastAsia="宋体" w:cs="宋体"/>
                <w:color w:val="auto"/>
                <w:sz w:val="21"/>
                <w:szCs w:val="21"/>
              </w:rPr>
            </w:pPr>
          </w:p>
        </w:tc>
        <w:tc>
          <w:tcPr>
            <w:tcW w:w="449" w:type="dxa"/>
            <w:vMerge w:val="restart"/>
            <w:tcBorders>
              <w:bottom w:val="nil"/>
            </w:tcBorders>
            <w:vAlign w:val="top"/>
          </w:tcPr>
          <w:p w14:paraId="2E97CAD6">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19B61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gridSpan w:val="2"/>
            <w:vAlign w:val="center"/>
          </w:tcPr>
          <w:p w14:paraId="301CE791">
            <w:pPr>
              <w:keepNext w:val="0"/>
              <w:keepLines w:val="0"/>
              <w:pageBreakBefore w:val="0"/>
              <w:widowControl w:val="0"/>
              <w:kinsoku/>
              <w:wordWrap w:val="0"/>
              <w:overflowPunct/>
              <w:topLinePunct w:val="0"/>
              <w:autoSpaceDE/>
              <w:autoSpaceDN/>
              <w:bidi w:val="0"/>
              <w:adjustRightInd/>
              <w:snapToGrid/>
              <w:spacing w:before="56" w:line="220" w:lineRule="auto"/>
              <w:ind w:left="0" w:leftChars="0" w:right="49" w:firstLine="0" w:firstLineChars="0"/>
              <w:jc w:val="center"/>
              <w:textAlignment w:val="auto"/>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kern w:val="2"/>
                <w:sz w:val="21"/>
                <w:szCs w:val="21"/>
                <w:lang w:val="en-US" w:eastAsia="zh-CN" w:bidi="ar-SA"/>
              </w:rPr>
              <w:t>2</w:t>
            </w:r>
          </w:p>
        </w:tc>
        <w:tc>
          <w:tcPr>
            <w:tcW w:w="664" w:type="dxa"/>
            <w:vMerge w:val="continue"/>
            <w:tcBorders>
              <w:top w:val="nil"/>
              <w:bottom w:val="nil"/>
            </w:tcBorders>
            <w:vAlign w:val="top"/>
          </w:tcPr>
          <w:p w14:paraId="4BCACD08">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895" w:type="dxa"/>
            <w:vAlign w:val="center"/>
          </w:tcPr>
          <w:p w14:paraId="4879F1AF">
            <w:pPr>
              <w:keepNext w:val="0"/>
              <w:keepLines w:val="0"/>
              <w:pageBreakBefore w:val="0"/>
              <w:widowControl w:val="0"/>
              <w:kinsoku/>
              <w:wordWrap w:val="0"/>
              <w:overflowPunct/>
              <w:topLinePunct w:val="0"/>
              <w:autoSpaceDE/>
              <w:autoSpaceDN/>
              <w:bidi w:val="0"/>
              <w:adjustRightInd/>
              <w:snapToGrid/>
              <w:spacing w:before="211" w:line="184"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01B002</w:t>
            </w:r>
          </w:p>
        </w:tc>
        <w:tc>
          <w:tcPr>
            <w:tcW w:w="3997" w:type="dxa"/>
            <w:vAlign w:val="center"/>
          </w:tcPr>
          <w:p w14:paraId="6582165F">
            <w:pPr>
              <w:keepNext w:val="0"/>
              <w:keepLines w:val="0"/>
              <w:pageBreakBefore w:val="0"/>
              <w:widowControl w:val="0"/>
              <w:kinsoku/>
              <w:wordWrap w:val="0"/>
              <w:overflowPunct/>
              <w:topLinePunct w:val="0"/>
              <w:autoSpaceDE/>
              <w:autoSpaceDN/>
              <w:bidi w:val="0"/>
              <w:adjustRightInd/>
              <w:snapToGrid/>
              <w:spacing w:before="79" w:line="240" w:lineRule="auto"/>
              <w:ind w:left="10" w:leftChars="0" w:firstLine="212"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电梯井道立体防护</w:t>
            </w:r>
          </w:p>
          <w:p w14:paraId="78794A25">
            <w:pPr>
              <w:keepNext w:val="0"/>
              <w:keepLines w:val="0"/>
              <w:pageBreakBefore w:val="0"/>
              <w:widowControl w:val="0"/>
              <w:kinsoku/>
              <w:wordWrap w:val="0"/>
              <w:overflowPunct/>
              <w:topLinePunct w:val="0"/>
              <w:autoSpaceDE/>
              <w:autoSpaceDN/>
              <w:bidi w:val="0"/>
              <w:adjustRightInd/>
              <w:snapToGrid/>
              <w:spacing w:line="240" w:lineRule="auto"/>
              <w:ind w:left="10" w:leftChars="0" w:firstLine="208"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lang w:val="en-US" w:eastAsia="zh-CN"/>
              </w:rPr>
              <w:t>1</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电梯井道立体安全防护</w:t>
            </w:r>
          </w:p>
        </w:tc>
        <w:tc>
          <w:tcPr>
            <w:tcW w:w="600" w:type="dxa"/>
            <w:tcBorders>
              <w:right w:val="single" w:color="auto" w:sz="4" w:space="0"/>
            </w:tcBorders>
            <w:vAlign w:val="center"/>
          </w:tcPr>
          <w:p w14:paraId="443BC4FB">
            <w:pPr>
              <w:keepNext w:val="0"/>
              <w:keepLines w:val="0"/>
              <w:pageBreakBefore w:val="0"/>
              <w:widowControl w:val="0"/>
              <w:kinsoku/>
              <w:wordWrap w:val="0"/>
              <w:overflowPunct/>
              <w:topLinePunct w:val="0"/>
              <w:autoSpaceDE/>
              <w:autoSpaceDN/>
              <w:bidi w:val="0"/>
              <w:adjustRightInd/>
              <w:snapToGrid/>
              <w:spacing w:before="68" w:line="217" w:lineRule="auto"/>
              <w:ind w:left="10" w:leftChars="0" w:hanging="10" w:hangingChars="5"/>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块</w:t>
            </w:r>
          </w:p>
        </w:tc>
        <w:tc>
          <w:tcPr>
            <w:tcW w:w="938" w:type="dxa"/>
            <w:tcBorders>
              <w:top w:val="single" w:color="auto" w:sz="4" w:space="0"/>
              <w:left w:val="single" w:color="auto" w:sz="4" w:space="0"/>
              <w:bottom w:val="single" w:color="auto" w:sz="4" w:space="0"/>
              <w:right w:val="single" w:color="auto" w:sz="4" w:space="0"/>
            </w:tcBorders>
            <w:vAlign w:val="center"/>
          </w:tcPr>
          <w:p w14:paraId="75CFFCA8">
            <w:pPr>
              <w:pStyle w:val="52"/>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601" w:type="dxa"/>
            <w:vMerge w:val="continue"/>
            <w:tcBorders>
              <w:top w:val="nil"/>
              <w:left w:val="single" w:color="auto" w:sz="4" w:space="0"/>
              <w:bottom w:val="nil"/>
            </w:tcBorders>
            <w:vAlign w:val="top"/>
          </w:tcPr>
          <w:p w14:paraId="7ECD5B65">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574" w:type="dxa"/>
            <w:vMerge w:val="continue"/>
            <w:tcBorders>
              <w:top w:val="nil"/>
              <w:bottom w:val="nil"/>
            </w:tcBorders>
            <w:vAlign w:val="top"/>
          </w:tcPr>
          <w:p w14:paraId="3360E02E">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49" w:type="dxa"/>
            <w:vMerge w:val="continue"/>
            <w:tcBorders>
              <w:top w:val="nil"/>
              <w:bottom w:val="nil"/>
            </w:tcBorders>
            <w:vAlign w:val="top"/>
          </w:tcPr>
          <w:p w14:paraId="65A38323">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13783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gridSpan w:val="2"/>
            <w:vAlign w:val="center"/>
          </w:tcPr>
          <w:p w14:paraId="581C4F99">
            <w:pPr>
              <w:keepNext w:val="0"/>
              <w:keepLines w:val="0"/>
              <w:pageBreakBefore w:val="0"/>
              <w:widowControl w:val="0"/>
              <w:kinsoku/>
              <w:wordWrap w:val="0"/>
              <w:overflowPunct/>
              <w:topLinePunct w:val="0"/>
              <w:autoSpaceDE/>
              <w:autoSpaceDN/>
              <w:bidi w:val="0"/>
              <w:adjustRightInd/>
              <w:snapToGrid/>
              <w:spacing w:before="55"/>
              <w:ind w:left="0" w:leftChars="0" w:firstLine="0" w:firstLineChars="0"/>
              <w:jc w:val="center"/>
              <w:textAlignment w:val="auto"/>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kern w:val="2"/>
                <w:sz w:val="21"/>
                <w:szCs w:val="21"/>
                <w:lang w:val="en-US" w:eastAsia="zh-CN" w:bidi="ar-SA"/>
              </w:rPr>
              <w:t>3</w:t>
            </w:r>
          </w:p>
        </w:tc>
        <w:tc>
          <w:tcPr>
            <w:tcW w:w="664" w:type="dxa"/>
            <w:vMerge w:val="continue"/>
            <w:tcBorders>
              <w:top w:val="nil"/>
              <w:bottom w:val="nil"/>
            </w:tcBorders>
            <w:vAlign w:val="top"/>
          </w:tcPr>
          <w:p w14:paraId="34D55F18">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895" w:type="dxa"/>
            <w:vAlign w:val="center"/>
          </w:tcPr>
          <w:p w14:paraId="3D1B15DC">
            <w:pPr>
              <w:keepNext w:val="0"/>
              <w:keepLines w:val="0"/>
              <w:pageBreakBefore w:val="0"/>
              <w:widowControl w:val="0"/>
              <w:kinsoku/>
              <w:wordWrap w:val="0"/>
              <w:overflowPunct/>
              <w:topLinePunct w:val="0"/>
              <w:autoSpaceDE/>
              <w:autoSpaceDN/>
              <w:bidi w:val="0"/>
              <w:adjustRightInd/>
              <w:snapToGrid/>
              <w:spacing w:before="55" w:line="184"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01B003</w:t>
            </w:r>
          </w:p>
        </w:tc>
        <w:tc>
          <w:tcPr>
            <w:tcW w:w="3997" w:type="dxa"/>
            <w:vAlign w:val="center"/>
          </w:tcPr>
          <w:p w14:paraId="5464FD69">
            <w:pPr>
              <w:keepNext w:val="0"/>
              <w:keepLines w:val="0"/>
              <w:pageBreakBefore w:val="0"/>
              <w:widowControl w:val="0"/>
              <w:kinsoku/>
              <w:wordWrap w:val="0"/>
              <w:overflowPunct/>
              <w:topLinePunct w:val="0"/>
              <w:autoSpaceDE/>
              <w:autoSpaceDN/>
              <w:bidi w:val="0"/>
              <w:adjustRightInd/>
              <w:snapToGrid/>
              <w:spacing w:before="68" w:line="240" w:lineRule="auto"/>
              <w:ind w:left="10" w:leftChars="0" w:firstLine="214"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井道内圈梁加固</w:t>
            </w:r>
          </w:p>
          <w:p w14:paraId="3E3AF7B3">
            <w:pPr>
              <w:keepNext w:val="0"/>
              <w:keepLines w:val="0"/>
              <w:pageBreakBefore w:val="0"/>
              <w:widowControl w:val="0"/>
              <w:kinsoku/>
              <w:wordWrap w:val="0"/>
              <w:overflowPunct/>
              <w:topLinePunct w:val="0"/>
              <w:autoSpaceDE/>
              <w:autoSpaceDN/>
              <w:bidi w:val="0"/>
              <w:adjustRightInd/>
              <w:snapToGrid/>
              <w:spacing w:before="1" w:line="240" w:lineRule="auto"/>
              <w:ind w:left="10" w:leftChars="0" w:firstLine="192"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9"/>
                <w:sz w:val="21"/>
                <w:szCs w:val="21"/>
              </w:rPr>
              <w:t>井</w:t>
            </w:r>
            <w:r>
              <w:rPr>
                <w:rFonts w:hint="eastAsia" w:ascii="宋体" w:hAnsi="宋体" w:eastAsia="宋体" w:cs="宋体"/>
                <w:color w:val="auto"/>
                <w:spacing w:val="-8"/>
                <w:sz w:val="21"/>
                <w:szCs w:val="21"/>
              </w:rPr>
              <w:t>道每2米间距固定一次，必须在井道左壁、右</w:t>
            </w:r>
            <w:r>
              <w:rPr>
                <w:rFonts w:hint="eastAsia" w:ascii="宋体" w:hAnsi="宋体" w:eastAsia="宋体" w:cs="宋体"/>
                <w:color w:val="auto"/>
                <w:spacing w:val="-7"/>
                <w:sz w:val="21"/>
                <w:szCs w:val="21"/>
              </w:rPr>
              <w:t>壁</w:t>
            </w:r>
            <w:r>
              <w:rPr>
                <w:rFonts w:hint="eastAsia" w:ascii="宋体" w:hAnsi="宋体" w:eastAsia="宋体" w:cs="宋体"/>
                <w:color w:val="auto"/>
                <w:spacing w:val="-1"/>
                <w:sz w:val="21"/>
                <w:szCs w:val="21"/>
              </w:rPr>
              <w:t>和后壁用2条18号共6条槽钢加固作为三个支撑面，总高度以井道高度为准</w:t>
            </w:r>
          </w:p>
        </w:tc>
        <w:tc>
          <w:tcPr>
            <w:tcW w:w="600" w:type="dxa"/>
            <w:tcBorders>
              <w:right w:val="single" w:color="auto" w:sz="4" w:space="0"/>
            </w:tcBorders>
            <w:vAlign w:val="center"/>
          </w:tcPr>
          <w:p w14:paraId="454A7DCF">
            <w:pPr>
              <w:pStyle w:val="52"/>
              <w:keepNext w:val="0"/>
              <w:keepLines w:val="0"/>
              <w:pageBreakBefore w:val="0"/>
              <w:widowControl w:val="0"/>
              <w:tabs>
                <w:tab w:val="left" w:pos="630"/>
              </w:tabs>
              <w:kinsoku/>
              <w:wordWrap w:val="0"/>
              <w:overflowPunct/>
              <w:topLinePunct w:val="0"/>
              <w:autoSpaceDE/>
              <w:autoSpaceDN/>
              <w:bidi w:val="0"/>
              <w:adjustRightInd/>
              <w:snapToGrid/>
              <w:spacing w:line="307" w:lineRule="auto"/>
              <w:ind w:left="-187" w:leftChars="-89" w:firstLine="147" w:firstLineChars="70"/>
              <w:jc w:val="center"/>
              <w:textAlignment w:val="auto"/>
              <w:rPr>
                <w:rFonts w:hint="eastAsia" w:ascii="宋体" w:hAnsi="宋体" w:eastAsia="宋体" w:cs="宋体"/>
                <w:color w:val="auto"/>
                <w:kern w:val="2"/>
                <w:sz w:val="21"/>
                <w:szCs w:val="21"/>
                <w:lang w:val="en-US" w:eastAsia="zh-CN" w:bidi="ar-SA"/>
              </w:rPr>
            </w:pPr>
          </w:p>
          <w:p w14:paraId="61A5499F">
            <w:pPr>
              <w:keepNext w:val="0"/>
              <w:keepLines w:val="0"/>
              <w:pageBreakBefore w:val="0"/>
              <w:widowControl w:val="0"/>
              <w:tabs>
                <w:tab w:val="left" w:pos="630"/>
              </w:tabs>
              <w:kinsoku/>
              <w:wordWrap w:val="0"/>
              <w:overflowPunct/>
              <w:topLinePunct w:val="0"/>
              <w:autoSpaceDE/>
              <w:autoSpaceDN/>
              <w:bidi w:val="0"/>
              <w:adjustRightInd/>
              <w:snapToGrid/>
              <w:spacing w:before="55" w:line="226" w:lineRule="auto"/>
              <w:ind w:left="-187" w:leftChars="-89" w:firstLine="147" w:firstLineChars="7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道</w:t>
            </w:r>
          </w:p>
        </w:tc>
        <w:tc>
          <w:tcPr>
            <w:tcW w:w="938" w:type="dxa"/>
            <w:tcBorders>
              <w:top w:val="single" w:color="auto" w:sz="4" w:space="0"/>
              <w:left w:val="single" w:color="auto" w:sz="4" w:space="0"/>
              <w:bottom w:val="single" w:color="auto" w:sz="4" w:space="0"/>
              <w:right w:val="single" w:color="auto" w:sz="4" w:space="0"/>
            </w:tcBorders>
            <w:vAlign w:val="center"/>
          </w:tcPr>
          <w:p w14:paraId="6CB89E93">
            <w:pPr>
              <w:pStyle w:val="52"/>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01" w:type="dxa"/>
            <w:vMerge w:val="continue"/>
            <w:tcBorders>
              <w:top w:val="nil"/>
              <w:left w:val="single" w:color="auto" w:sz="4" w:space="0"/>
              <w:bottom w:val="nil"/>
            </w:tcBorders>
            <w:vAlign w:val="top"/>
          </w:tcPr>
          <w:p w14:paraId="5934720A">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574" w:type="dxa"/>
            <w:vMerge w:val="continue"/>
            <w:tcBorders>
              <w:top w:val="nil"/>
              <w:bottom w:val="nil"/>
            </w:tcBorders>
            <w:vAlign w:val="top"/>
          </w:tcPr>
          <w:p w14:paraId="7269EB9C">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49" w:type="dxa"/>
            <w:vMerge w:val="continue"/>
            <w:tcBorders>
              <w:top w:val="nil"/>
              <w:bottom w:val="nil"/>
            </w:tcBorders>
            <w:vAlign w:val="top"/>
          </w:tcPr>
          <w:p w14:paraId="72F5FADA">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77EFD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gridSpan w:val="2"/>
            <w:vAlign w:val="center"/>
          </w:tcPr>
          <w:p w14:paraId="7D3E6CEA">
            <w:pPr>
              <w:keepNext w:val="0"/>
              <w:keepLines w:val="0"/>
              <w:pageBreakBefore w:val="0"/>
              <w:widowControl w:val="0"/>
              <w:kinsoku/>
              <w:wordWrap w:val="0"/>
              <w:overflowPunct/>
              <w:topLinePunct w:val="0"/>
              <w:autoSpaceDE/>
              <w:autoSpaceDN/>
              <w:bidi w:val="0"/>
              <w:adjustRightInd/>
              <w:snapToGrid/>
              <w:spacing w:before="56" w:line="220" w:lineRule="auto"/>
              <w:ind w:left="0" w:leftChars="0" w:right="49" w:firstLine="0" w:firstLineChars="0"/>
              <w:jc w:val="center"/>
              <w:textAlignment w:val="auto"/>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kern w:val="2"/>
                <w:sz w:val="21"/>
                <w:szCs w:val="21"/>
                <w:lang w:val="en-US" w:eastAsia="zh-CN" w:bidi="ar-SA"/>
              </w:rPr>
              <w:t>4</w:t>
            </w:r>
          </w:p>
        </w:tc>
        <w:tc>
          <w:tcPr>
            <w:tcW w:w="664" w:type="dxa"/>
            <w:vMerge w:val="continue"/>
            <w:tcBorders>
              <w:top w:val="nil"/>
              <w:bottom w:val="nil"/>
            </w:tcBorders>
            <w:vAlign w:val="top"/>
          </w:tcPr>
          <w:p w14:paraId="37E13DBF">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895" w:type="dxa"/>
            <w:vAlign w:val="center"/>
          </w:tcPr>
          <w:p w14:paraId="57D7D2BB">
            <w:pPr>
              <w:keepNext w:val="0"/>
              <w:keepLines w:val="0"/>
              <w:pageBreakBefore w:val="0"/>
              <w:widowControl w:val="0"/>
              <w:kinsoku/>
              <w:wordWrap w:val="0"/>
              <w:overflowPunct/>
              <w:topLinePunct w:val="0"/>
              <w:autoSpaceDE/>
              <w:autoSpaceDN/>
              <w:bidi w:val="0"/>
              <w:adjustRightInd/>
              <w:snapToGrid/>
              <w:spacing w:before="55" w:line="184"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01B004</w:t>
            </w:r>
          </w:p>
        </w:tc>
        <w:tc>
          <w:tcPr>
            <w:tcW w:w="3997" w:type="dxa"/>
            <w:vAlign w:val="center"/>
          </w:tcPr>
          <w:p w14:paraId="409ADD71">
            <w:pPr>
              <w:keepNext w:val="0"/>
              <w:keepLines w:val="0"/>
              <w:pageBreakBefore w:val="0"/>
              <w:widowControl w:val="0"/>
              <w:kinsoku/>
              <w:wordWrap w:val="0"/>
              <w:overflowPunct/>
              <w:topLinePunct w:val="0"/>
              <w:autoSpaceDE/>
              <w:autoSpaceDN/>
              <w:bidi w:val="0"/>
              <w:adjustRightInd/>
              <w:snapToGrid/>
              <w:spacing w:before="90" w:line="240" w:lineRule="auto"/>
              <w:ind w:left="10" w:leftChars="0" w:firstLine="206"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垃圾清运</w:t>
            </w:r>
          </w:p>
          <w:p w14:paraId="0E9330E2">
            <w:pPr>
              <w:keepNext w:val="0"/>
              <w:keepLines w:val="0"/>
              <w:pageBreakBefore w:val="0"/>
              <w:widowControl w:val="0"/>
              <w:kinsoku/>
              <w:wordWrap w:val="0"/>
              <w:overflowPunct/>
              <w:topLinePunct w:val="0"/>
              <w:autoSpaceDE/>
              <w:autoSpaceDN/>
              <w:bidi w:val="0"/>
              <w:adjustRightInd/>
              <w:snapToGrid/>
              <w:spacing w:before="1" w:line="240" w:lineRule="auto"/>
              <w:ind w:left="10" w:leftChars="0" w:firstLine="202"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1</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废旧材料分类、切割整齐堆放，每层楼道垃圾</w:t>
            </w:r>
            <w:r>
              <w:rPr>
                <w:rFonts w:hint="eastAsia" w:ascii="宋体" w:hAnsi="宋体" w:eastAsia="宋体" w:cs="宋体"/>
                <w:color w:val="auto"/>
                <w:spacing w:val="-2"/>
                <w:sz w:val="21"/>
                <w:szCs w:val="21"/>
              </w:rPr>
              <w:t>清运</w:t>
            </w:r>
          </w:p>
        </w:tc>
        <w:tc>
          <w:tcPr>
            <w:tcW w:w="600" w:type="dxa"/>
            <w:tcBorders>
              <w:right w:val="single" w:color="auto" w:sz="4" w:space="0"/>
            </w:tcBorders>
            <w:vAlign w:val="center"/>
          </w:tcPr>
          <w:p w14:paraId="324B9C77">
            <w:pPr>
              <w:keepNext w:val="0"/>
              <w:keepLines w:val="0"/>
              <w:pageBreakBefore w:val="0"/>
              <w:widowControl w:val="0"/>
              <w:kinsoku/>
              <w:wordWrap w:val="0"/>
              <w:overflowPunct/>
              <w:topLinePunct w:val="0"/>
              <w:autoSpaceDE/>
              <w:autoSpaceDN/>
              <w:bidi w:val="0"/>
              <w:adjustRightInd/>
              <w:snapToGrid/>
              <w:spacing w:before="68" w:line="217" w:lineRule="auto"/>
              <w:ind w:left="10" w:leftChars="0" w:hanging="10" w:hangingChars="5"/>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层</w:t>
            </w:r>
          </w:p>
        </w:tc>
        <w:tc>
          <w:tcPr>
            <w:tcW w:w="938" w:type="dxa"/>
            <w:tcBorders>
              <w:top w:val="single" w:color="auto" w:sz="4" w:space="0"/>
              <w:left w:val="single" w:color="auto" w:sz="4" w:space="0"/>
              <w:bottom w:val="single" w:color="auto" w:sz="4" w:space="0"/>
              <w:right w:val="single" w:color="auto" w:sz="4" w:space="0"/>
            </w:tcBorders>
            <w:vAlign w:val="center"/>
          </w:tcPr>
          <w:p w14:paraId="2F47988B">
            <w:pPr>
              <w:pStyle w:val="52"/>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601" w:type="dxa"/>
            <w:vMerge w:val="continue"/>
            <w:tcBorders>
              <w:top w:val="nil"/>
              <w:left w:val="single" w:color="auto" w:sz="4" w:space="0"/>
              <w:bottom w:val="nil"/>
            </w:tcBorders>
            <w:vAlign w:val="top"/>
          </w:tcPr>
          <w:p w14:paraId="6B8C1D7D">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574" w:type="dxa"/>
            <w:vMerge w:val="continue"/>
            <w:tcBorders>
              <w:top w:val="nil"/>
              <w:bottom w:val="nil"/>
            </w:tcBorders>
            <w:vAlign w:val="top"/>
          </w:tcPr>
          <w:p w14:paraId="4A6B8B35">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49" w:type="dxa"/>
            <w:vMerge w:val="continue"/>
            <w:tcBorders>
              <w:top w:val="nil"/>
              <w:bottom w:val="nil"/>
            </w:tcBorders>
            <w:vAlign w:val="top"/>
          </w:tcPr>
          <w:p w14:paraId="05987555">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0A95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gridSpan w:val="2"/>
            <w:vAlign w:val="center"/>
          </w:tcPr>
          <w:p w14:paraId="5AA35B64">
            <w:pPr>
              <w:keepNext w:val="0"/>
              <w:keepLines w:val="0"/>
              <w:pageBreakBefore w:val="0"/>
              <w:widowControl w:val="0"/>
              <w:kinsoku/>
              <w:wordWrap w:val="0"/>
              <w:overflowPunct/>
              <w:topLinePunct w:val="0"/>
              <w:autoSpaceDE/>
              <w:autoSpaceDN/>
              <w:bidi w:val="0"/>
              <w:adjustRightInd/>
              <w:snapToGrid/>
              <w:spacing w:before="56" w:line="220" w:lineRule="auto"/>
              <w:ind w:left="0" w:leftChars="0" w:right="49" w:firstLine="0" w:firstLineChars="0"/>
              <w:jc w:val="center"/>
              <w:textAlignment w:val="auto"/>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kern w:val="2"/>
                <w:sz w:val="21"/>
                <w:szCs w:val="21"/>
                <w:lang w:val="en-US" w:eastAsia="zh-CN" w:bidi="ar-SA"/>
              </w:rPr>
              <w:t>5</w:t>
            </w:r>
          </w:p>
        </w:tc>
        <w:tc>
          <w:tcPr>
            <w:tcW w:w="664" w:type="dxa"/>
            <w:vMerge w:val="continue"/>
            <w:tcBorders>
              <w:top w:val="nil"/>
              <w:bottom w:val="nil"/>
            </w:tcBorders>
            <w:vAlign w:val="top"/>
          </w:tcPr>
          <w:p w14:paraId="3A8EBF06">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895" w:type="dxa"/>
            <w:vAlign w:val="center"/>
          </w:tcPr>
          <w:p w14:paraId="431A1707">
            <w:pPr>
              <w:keepNext w:val="0"/>
              <w:keepLines w:val="0"/>
              <w:pageBreakBefore w:val="0"/>
              <w:widowControl w:val="0"/>
              <w:kinsoku/>
              <w:wordWrap w:val="0"/>
              <w:overflowPunct/>
              <w:topLinePunct w:val="0"/>
              <w:autoSpaceDE/>
              <w:autoSpaceDN/>
              <w:bidi w:val="0"/>
              <w:adjustRightInd/>
              <w:snapToGrid/>
              <w:spacing w:before="213" w:line="184"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01B005</w:t>
            </w:r>
          </w:p>
        </w:tc>
        <w:tc>
          <w:tcPr>
            <w:tcW w:w="3997" w:type="dxa"/>
            <w:vAlign w:val="center"/>
          </w:tcPr>
          <w:p w14:paraId="167B9F60">
            <w:pPr>
              <w:keepNext w:val="0"/>
              <w:keepLines w:val="0"/>
              <w:pageBreakBefore w:val="0"/>
              <w:widowControl w:val="0"/>
              <w:kinsoku/>
              <w:wordWrap w:val="0"/>
              <w:overflowPunct/>
              <w:topLinePunct w:val="0"/>
              <w:autoSpaceDE/>
              <w:autoSpaceDN/>
              <w:bidi w:val="0"/>
              <w:adjustRightInd/>
              <w:snapToGrid/>
              <w:spacing w:before="80" w:line="240" w:lineRule="auto"/>
              <w:ind w:left="10" w:leftChars="0" w:firstLine="222"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管线</w:t>
            </w:r>
          </w:p>
          <w:p w14:paraId="48B7319C">
            <w:pPr>
              <w:keepNext w:val="0"/>
              <w:keepLines w:val="0"/>
              <w:pageBreakBefore w:val="0"/>
              <w:widowControl w:val="0"/>
              <w:kinsoku/>
              <w:wordWrap w:val="0"/>
              <w:overflowPunct/>
              <w:topLinePunct w:val="0"/>
              <w:autoSpaceDE/>
              <w:autoSpaceDN/>
              <w:bidi w:val="0"/>
              <w:adjustRightInd/>
              <w:snapToGrid/>
              <w:spacing w:line="240" w:lineRule="auto"/>
              <w:ind w:left="10" w:leftChars="0" w:firstLine="210"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楼体道内管线预埋安装</w:t>
            </w:r>
          </w:p>
        </w:tc>
        <w:tc>
          <w:tcPr>
            <w:tcW w:w="600" w:type="dxa"/>
            <w:tcBorders>
              <w:right w:val="single" w:color="auto" w:sz="4" w:space="0"/>
            </w:tcBorders>
            <w:vAlign w:val="center"/>
          </w:tcPr>
          <w:p w14:paraId="4DEFB581">
            <w:pPr>
              <w:keepNext w:val="0"/>
              <w:keepLines w:val="0"/>
              <w:pageBreakBefore w:val="0"/>
              <w:widowControl w:val="0"/>
              <w:kinsoku/>
              <w:wordWrap w:val="0"/>
              <w:overflowPunct/>
              <w:topLinePunct w:val="0"/>
              <w:autoSpaceDE/>
              <w:autoSpaceDN/>
              <w:bidi w:val="0"/>
              <w:adjustRightInd/>
              <w:snapToGrid/>
              <w:spacing w:before="68" w:line="217" w:lineRule="auto"/>
              <w:ind w:left="10" w:leftChars="0" w:hanging="10" w:hangingChars="5"/>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w:t>
            </w:r>
          </w:p>
        </w:tc>
        <w:tc>
          <w:tcPr>
            <w:tcW w:w="938" w:type="dxa"/>
            <w:tcBorders>
              <w:top w:val="single" w:color="auto" w:sz="4" w:space="0"/>
              <w:left w:val="single" w:color="auto" w:sz="4" w:space="0"/>
              <w:bottom w:val="single" w:color="auto" w:sz="4" w:space="0"/>
              <w:right w:val="single" w:color="auto" w:sz="4" w:space="0"/>
            </w:tcBorders>
            <w:vAlign w:val="center"/>
          </w:tcPr>
          <w:p w14:paraId="5107D3AA">
            <w:pPr>
              <w:pStyle w:val="52"/>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01" w:type="dxa"/>
            <w:vMerge w:val="continue"/>
            <w:tcBorders>
              <w:top w:val="nil"/>
              <w:left w:val="single" w:color="auto" w:sz="4" w:space="0"/>
              <w:bottom w:val="nil"/>
            </w:tcBorders>
            <w:vAlign w:val="top"/>
          </w:tcPr>
          <w:p w14:paraId="7713189E">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574" w:type="dxa"/>
            <w:vMerge w:val="continue"/>
            <w:tcBorders>
              <w:top w:val="nil"/>
              <w:bottom w:val="nil"/>
            </w:tcBorders>
            <w:vAlign w:val="top"/>
          </w:tcPr>
          <w:p w14:paraId="03282EC7">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49" w:type="dxa"/>
            <w:vMerge w:val="continue"/>
            <w:tcBorders>
              <w:top w:val="nil"/>
              <w:bottom w:val="nil"/>
            </w:tcBorders>
            <w:vAlign w:val="top"/>
          </w:tcPr>
          <w:p w14:paraId="0BE81512">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38F19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gridSpan w:val="2"/>
            <w:vAlign w:val="center"/>
          </w:tcPr>
          <w:p w14:paraId="1BCAF35B">
            <w:pPr>
              <w:keepNext w:val="0"/>
              <w:keepLines w:val="0"/>
              <w:pageBreakBefore w:val="0"/>
              <w:widowControl w:val="0"/>
              <w:kinsoku/>
              <w:wordWrap w:val="0"/>
              <w:overflowPunct/>
              <w:topLinePunct w:val="0"/>
              <w:autoSpaceDE/>
              <w:autoSpaceDN/>
              <w:bidi w:val="0"/>
              <w:adjustRightInd/>
              <w:snapToGrid/>
              <w:spacing w:before="56" w:line="220" w:lineRule="auto"/>
              <w:ind w:left="0" w:leftChars="0" w:right="49" w:firstLine="0" w:firstLineChars="0"/>
              <w:jc w:val="center"/>
              <w:textAlignment w:val="auto"/>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kern w:val="2"/>
                <w:sz w:val="21"/>
                <w:szCs w:val="21"/>
                <w:lang w:val="en-US" w:eastAsia="zh-CN" w:bidi="ar-SA"/>
              </w:rPr>
              <w:t>6</w:t>
            </w:r>
          </w:p>
        </w:tc>
        <w:tc>
          <w:tcPr>
            <w:tcW w:w="664" w:type="dxa"/>
            <w:vMerge w:val="continue"/>
            <w:tcBorders>
              <w:top w:val="nil"/>
            </w:tcBorders>
            <w:vAlign w:val="top"/>
          </w:tcPr>
          <w:p w14:paraId="54F33439">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895" w:type="dxa"/>
            <w:vAlign w:val="center"/>
          </w:tcPr>
          <w:p w14:paraId="7541B3AC">
            <w:pPr>
              <w:keepNext w:val="0"/>
              <w:keepLines w:val="0"/>
              <w:pageBreakBefore w:val="0"/>
              <w:widowControl w:val="0"/>
              <w:kinsoku/>
              <w:wordWrap w:val="0"/>
              <w:overflowPunct/>
              <w:topLinePunct w:val="0"/>
              <w:autoSpaceDE/>
              <w:autoSpaceDN/>
              <w:bidi w:val="0"/>
              <w:adjustRightInd/>
              <w:snapToGrid/>
              <w:spacing w:before="234" w:line="183"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03B002</w:t>
            </w:r>
          </w:p>
        </w:tc>
        <w:tc>
          <w:tcPr>
            <w:tcW w:w="3997" w:type="dxa"/>
            <w:vAlign w:val="center"/>
          </w:tcPr>
          <w:p w14:paraId="76F6A7DF">
            <w:pPr>
              <w:keepNext w:val="0"/>
              <w:keepLines w:val="0"/>
              <w:pageBreakBefore w:val="0"/>
              <w:widowControl w:val="0"/>
              <w:kinsoku/>
              <w:wordWrap w:val="0"/>
              <w:overflowPunct/>
              <w:topLinePunct w:val="0"/>
              <w:autoSpaceDE/>
              <w:autoSpaceDN/>
              <w:bidi w:val="0"/>
              <w:adjustRightInd/>
              <w:snapToGrid/>
              <w:spacing w:before="80" w:line="240" w:lineRule="auto"/>
              <w:ind w:left="10" w:leftChars="0" w:firstLine="220"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零星费用</w:t>
            </w:r>
          </w:p>
          <w:p w14:paraId="053C756A">
            <w:pPr>
              <w:keepNext w:val="0"/>
              <w:keepLines w:val="0"/>
              <w:pageBreakBefore w:val="0"/>
              <w:widowControl w:val="0"/>
              <w:kinsoku/>
              <w:wordWrap w:val="0"/>
              <w:overflowPunct/>
              <w:topLinePunct w:val="0"/>
              <w:autoSpaceDE/>
              <w:autoSpaceDN/>
              <w:bidi w:val="0"/>
              <w:adjustRightInd/>
              <w:snapToGrid/>
              <w:spacing w:line="240" w:lineRule="auto"/>
              <w:ind w:left="10" w:leftChars="0" w:firstLine="210"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零星辅材</w:t>
            </w:r>
          </w:p>
        </w:tc>
        <w:tc>
          <w:tcPr>
            <w:tcW w:w="600" w:type="dxa"/>
            <w:tcBorders>
              <w:right w:val="single" w:color="auto" w:sz="4" w:space="0"/>
            </w:tcBorders>
            <w:vAlign w:val="center"/>
          </w:tcPr>
          <w:p w14:paraId="531BBDFE">
            <w:pPr>
              <w:keepNext w:val="0"/>
              <w:keepLines w:val="0"/>
              <w:pageBreakBefore w:val="0"/>
              <w:widowControl w:val="0"/>
              <w:kinsoku/>
              <w:wordWrap w:val="0"/>
              <w:overflowPunct/>
              <w:topLinePunct w:val="0"/>
              <w:autoSpaceDE/>
              <w:autoSpaceDN/>
              <w:bidi w:val="0"/>
              <w:adjustRightInd/>
              <w:snapToGrid/>
              <w:spacing w:before="68" w:line="217" w:lineRule="auto"/>
              <w:ind w:left="10" w:leftChars="0" w:hanging="10" w:hangingChars="5"/>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w:t>
            </w:r>
          </w:p>
        </w:tc>
        <w:tc>
          <w:tcPr>
            <w:tcW w:w="938" w:type="dxa"/>
            <w:tcBorders>
              <w:top w:val="single" w:color="auto" w:sz="4" w:space="0"/>
              <w:left w:val="single" w:color="auto" w:sz="4" w:space="0"/>
              <w:bottom w:val="single" w:color="auto" w:sz="4" w:space="0"/>
              <w:right w:val="single" w:color="auto" w:sz="4" w:space="0"/>
            </w:tcBorders>
            <w:vAlign w:val="center"/>
          </w:tcPr>
          <w:p w14:paraId="667C21A2">
            <w:pPr>
              <w:pStyle w:val="52"/>
              <w:keepNext w:val="0"/>
              <w:keepLines w:val="0"/>
              <w:pageBreakBefore w:val="0"/>
              <w:widowControl w:val="0"/>
              <w:kinsoku/>
              <w:wordWrap w:val="0"/>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01" w:type="dxa"/>
            <w:vMerge w:val="continue"/>
            <w:tcBorders>
              <w:top w:val="nil"/>
              <w:left w:val="single" w:color="auto" w:sz="4" w:space="0"/>
            </w:tcBorders>
            <w:vAlign w:val="top"/>
          </w:tcPr>
          <w:p w14:paraId="0C9B06C2">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574" w:type="dxa"/>
            <w:vMerge w:val="continue"/>
            <w:tcBorders>
              <w:top w:val="nil"/>
            </w:tcBorders>
            <w:vAlign w:val="top"/>
          </w:tcPr>
          <w:p w14:paraId="7C7E9953">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449" w:type="dxa"/>
            <w:vMerge w:val="continue"/>
            <w:tcBorders>
              <w:top w:val="nil"/>
            </w:tcBorders>
            <w:vAlign w:val="top"/>
          </w:tcPr>
          <w:p w14:paraId="1C19B7B0">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76310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697" w:type="dxa"/>
            <w:gridSpan w:val="2"/>
            <w:vAlign w:val="center"/>
          </w:tcPr>
          <w:p w14:paraId="6F502979">
            <w:pPr>
              <w:keepNext w:val="0"/>
              <w:keepLines w:val="0"/>
              <w:pageBreakBefore w:val="0"/>
              <w:widowControl w:val="0"/>
              <w:kinsoku/>
              <w:wordWrap w:val="0"/>
              <w:overflowPunct/>
              <w:topLinePunct w:val="0"/>
              <w:autoSpaceDE/>
              <w:autoSpaceDN/>
              <w:bidi w:val="0"/>
              <w:adjustRightInd/>
              <w:snapToGrid/>
              <w:spacing w:before="55"/>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664" w:type="dxa"/>
            <w:vAlign w:val="center"/>
          </w:tcPr>
          <w:p w14:paraId="121B8E4E">
            <w:pPr>
              <w:keepNext w:val="0"/>
              <w:keepLines w:val="0"/>
              <w:pageBreakBefore w:val="0"/>
              <w:widowControl w:val="0"/>
              <w:kinsoku/>
              <w:wordWrap w:val="0"/>
              <w:overflowPunct/>
              <w:topLinePunct w:val="0"/>
              <w:autoSpaceDE/>
              <w:autoSpaceDN/>
              <w:bidi w:val="0"/>
              <w:adjustRightInd/>
              <w:snapToGrid/>
              <w:spacing w:before="55" w:line="274" w:lineRule="auto"/>
              <w:ind w:left="0" w:leftChars="0" w:right="59"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电梯及</w:t>
            </w:r>
            <w:r>
              <w:rPr>
                <w:rFonts w:hint="eastAsia" w:ascii="宋体" w:hAnsi="宋体" w:eastAsia="宋体" w:cs="宋体"/>
                <w:color w:val="auto"/>
                <w:spacing w:val="-3"/>
                <w:sz w:val="21"/>
                <w:szCs w:val="21"/>
              </w:rPr>
              <w:t>安装</w:t>
            </w:r>
          </w:p>
        </w:tc>
        <w:tc>
          <w:tcPr>
            <w:tcW w:w="895" w:type="dxa"/>
            <w:vAlign w:val="center"/>
          </w:tcPr>
          <w:p w14:paraId="2556F72F">
            <w:pPr>
              <w:keepNext w:val="0"/>
              <w:keepLines w:val="0"/>
              <w:pageBreakBefore w:val="0"/>
              <w:widowControl w:val="0"/>
              <w:kinsoku/>
              <w:wordWrap w:val="0"/>
              <w:overflowPunct/>
              <w:topLinePunct w:val="0"/>
              <w:autoSpaceDE/>
              <w:autoSpaceDN/>
              <w:bidi w:val="0"/>
              <w:adjustRightInd/>
              <w:snapToGrid/>
              <w:spacing w:before="55"/>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030107001</w:t>
            </w:r>
            <w:bookmarkStart w:id="1000" w:name="_GoBack"/>
            <w:bookmarkEnd w:id="1000"/>
            <w:r>
              <w:rPr>
                <w:rFonts w:hint="eastAsia" w:ascii="宋体" w:hAnsi="宋体" w:eastAsia="宋体" w:cs="宋体"/>
                <w:color w:val="auto"/>
                <w:spacing w:val="-1"/>
                <w:sz w:val="21"/>
                <w:szCs w:val="21"/>
              </w:rPr>
              <w:t>001</w:t>
            </w:r>
          </w:p>
        </w:tc>
        <w:tc>
          <w:tcPr>
            <w:tcW w:w="3997" w:type="dxa"/>
            <w:vAlign w:val="top"/>
          </w:tcPr>
          <w:p w14:paraId="4CFEFC82">
            <w:pPr>
              <w:spacing w:before="1" w:line="210" w:lineRule="auto"/>
              <w:ind w:left="0" w:leftChars="0" w:firstLine="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电梯(1050-1.75-12/12消防)</w:t>
            </w:r>
          </w:p>
          <w:p w14:paraId="063CCE63">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一、基本规格</w:t>
            </w:r>
          </w:p>
          <w:p w14:paraId="70EDD454">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产品型号</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 xml:space="preserve"> 载客电梯</w:t>
            </w:r>
          </w:p>
          <w:p w14:paraId="65590375">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控制方式：1C-2BC(单控)</w:t>
            </w:r>
          </w:p>
          <w:p w14:paraId="2B4F4E5F">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驱动方式：VVVF控制技术，32位全电脑数据网络化控制</w:t>
            </w:r>
          </w:p>
          <w:p w14:paraId="01B97727">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额定载重量：10</w:t>
            </w:r>
            <w:r>
              <w:rPr>
                <w:rFonts w:hint="eastAsia" w:ascii="宋体" w:hAnsi="宋体" w:eastAsia="宋体" w:cs="宋体"/>
                <w:color w:val="auto"/>
                <w:spacing w:val="-1"/>
                <w:sz w:val="21"/>
                <w:szCs w:val="21"/>
                <w:lang w:val="en-US" w:eastAsia="zh-CN"/>
              </w:rPr>
              <w:t>0</w:t>
            </w:r>
            <w:r>
              <w:rPr>
                <w:rFonts w:hint="eastAsia" w:ascii="宋体" w:hAnsi="宋体" w:eastAsia="宋体" w:cs="宋体"/>
                <w:color w:val="auto"/>
                <w:spacing w:val="-1"/>
                <w:sz w:val="21"/>
                <w:szCs w:val="21"/>
              </w:rPr>
              <w:t>0</w:t>
            </w:r>
            <w:r>
              <w:rPr>
                <w:rFonts w:hint="eastAsia" w:ascii="宋体" w:hAnsi="宋体" w:eastAsia="宋体" w:cs="宋体"/>
                <w:color w:val="auto"/>
                <w:spacing w:val="-1"/>
                <w:sz w:val="21"/>
                <w:szCs w:val="21"/>
                <w:lang w:val="en-US" w:eastAsia="zh-CN"/>
              </w:rPr>
              <w:t>--1050</w:t>
            </w:r>
            <w:r>
              <w:rPr>
                <w:rFonts w:hint="eastAsia" w:ascii="宋体" w:hAnsi="宋体" w:eastAsia="宋体" w:cs="宋体"/>
                <w:color w:val="auto"/>
                <w:spacing w:val="-1"/>
                <w:sz w:val="21"/>
                <w:szCs w:val="21"/>
              </w:rPr>
              <w:t>kg</w:t>
            </w:r>
          </w:p>
          <w:p w14:paraId="2EFF2B16">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额定速度：1.75m/s;</w:t>
            </w:r>
          </w:p>
          <w:p w14:paraId="7A208308">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开门尺寸：</w:t>
            </w:r>
            <w:r>
              <w:rPr>
                <w:rFonts w:hint="eastAsia" w:ascii="宋体" w:hAnsi="宋体" w:eastAsia="宋体" w:cs="宋体"/>
                <w:color w:val="auto"/>
                <w:spacing w:val="-1"/>
                <w:sz w:val="21"/>
                <w:szCs w:val="21"/>
                <w:lang w:val="en-US" w:eastAsia="zh-CN"/>
              </w:rPr>
              <w:t>1000-</w:t>
            </w:r>
            <w:r>
              <w:rPr>
                <w:rFonts w:hint="eastAsia" w:ascii="宋体" w:hAnsi="宋体" w:eastAsia="宋体" w:cs="宋体"/>
                <w:color w:val="auto"/>
                <w:spacing w:val="-1"/>
                <w:sz w:val="21"/>
                <w:szCs w:val="21"/>
              </w:rPr>
              <w:t>1050kg</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宽900mm×高2100mm</w:t>
            </w:r>
          </w:p>
          <w:p w14:paraId="52C6BF01">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机房位置：井道上面楼层</w:t>
            </w:r>
          </w:p>
          <w:p w14:paraId="39B6B707">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电   源：动力：380V,50HZ</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 xml:space="preserve">  照明：220V,50HZ</w:t>
            </w:r>
          </w:p>
          <w:p w14:paraId="59DAE9B5">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二、轿厢内部设计：</w:t>
            </w:r>
          </w:p>
          <w:p w14:paraId="086D2BE8">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轿厢内装修：镜面不锈钢</w:t>
            </w:r>
          </w:p>
          <w:p w14:paraId="32D2F436">
            <w:pPr>
              <w:spacing w:before="1" w:line="210" w:lineRule="auto"/>
              <w:ind w:left="428" w:leftChars="204" w:firstLine="0" w:firstLineChars="0"/>
              <w:jc w:val="left"/>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轿厢门/厅门运作：中分门 </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轿顶型号：标准轿顶</w:t>
            </w:r>
          </w:p>
          <w:p w14:paraId="372A108A">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轿厢尺寸：</w:t>
            </w:r>
            <w:r>
              <w:rPr>
                <w:rFonts w:hint="eastAsia" w:ascii="宋体" w:hAnsi="宋体" w:eastAsia="宋体" w:cs="宋体"/>
                <w:color w:val="auto"/>
                <w:spacing w:val="-1"/>
                <w:sz w:val="21"/>
                <w:szCs w:val="21"/>
                <w:lang w:val="en-US" w:eastAsia="zh-CN"/>
              </w:rPr>
              <w:t>1000-</w:t>
            </w:r>
            <w:r>
              <w:rPr>
                <w:rFonts w:hint="eastAsia" w:ascii="宋体" w:hAnsi="宋体" w:eastAsia="宋体" w:cs="宋体"/>
                <w:color w:val="auto"/>
                <w:spacing w:val="-1"/>
                <w:sz w:val="21"/>
                <w:szCs w:val="21"/>
              </w:rPr>
              <w:t>1050kg</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宽1600mm×深1500×高2400mm</w:t>
            </w:r>
          </w:p>
          <w:p w14:paraId="76047040">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地板：PVC拼花地板</w:t>
            </w:r>
          </w:p>
          <w:p w14:paraId="21282CE9">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三、梯厅入口设计：</w:t>
            </w:r>
          </w:p>
          <w:p w14:paraId="079D6A74">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厅门材料：全层为发纹不锈钢</w:t>
            </w:r>
          </w:p>
          <w:p w14:paraId="071D097D">
            <w:pPr>
              <w:spacing w:before="1" w:line="210" w:lineRule="auto"/>
              <w:ind w:left="428" w:leftChars="204" w:firstLine="0" w:firstLineChars="0"/>
              <w:jc w:val="left"/>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门</w:t>
            </w:r>
            <w:r>
              <w:rPr>
                <w:rFonts w:hint="eastAsia" w:ascii="宋体" w:hAnsi="宋体" w:eastAsia="宋体" w:cs="宋体"/>
                <w:color w:val="auto"/>
                <w:spacing w:val="-1"/>
                <w:sz w:val="21"/>
                <w:szCs w:val="21"/>
              </w:rPr>
              <w:t xml:space="preserve">套：全层为发纹不锈钢小门套 </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门机系统：变频变压系统</w:t>
            </w:r>
          </w:p>
          <w:p w14:paraId="01A44541">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地</w:t>
            </w:r>
            <w:r>
              <w:rPr>
                <w:rFonts w:hint="eastAsia" w:ascii="宋体" w:hAnsi="宋体" w:eastAsia="宋体" w:cs="宋体"/>
                <w:color w:val="auto"/>
                <w:spacing w:val="-1"/>
                <w:sz w:val="21"/>
                <w:szCs w:val="21"/>
              </w:rPr>
              <w:t>坎：硬质银白色铝</w:t>
            </w:r>
          </w:p>
          <w:p w14:paraId="574EBF32">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四、讯号板：</w:t>
            </w:r>
          </w:p>
          <w:p w14:paraId="6EE2AAF3">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操作箱型号：配备ZCBx-C111型主操纵箱(发纹不锈钢面板，发纹不锈钢按钮)</w:t>
            </w:r>
          </w:p>
          <w:p w14:paraId="51559085">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操纵箱显示形式和面板材料：数码发光点阵式显示，发纹不锈钢面板</w:t>
            </w:r>
          </w:p>
          <w:p w14:paraId="739936B8">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厅位指示器：每层ZPIx-G110型(数码发光点式显示，发纹不锈钢面板)</w:t>
            </w:r>
          </w:p>
          <w:p w14:paraId="0CC8B244">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五、本机主要功能：</w:t>
            </w:r>
          </w:p>
          <w:p w14:paraId="38763A11">
            <w:pPr>
              <w:keepNext w:val="0"/>
              <w:keepLines w:val="0"/>
              <w:pageBreakBefore w:val="0"/>
              <w:widowControl w:val="0"/>
              <w:kinsoku/>
              <w:wordWrap w:val="0"/>
              <w:overflowPunct/>
              <w:topLinePunct w:val="0"/>
              <w:autoSpaceDE/>
              <w:autoSpaceDN/>
              <w:bidi w:val="0"/>
              <w:adjustRightInd/>
              <w:snapToGrid/>
              <w:spacing w:before="1" w:line="210" w:lineRule="auto"/>
              <w:ind w:left="1668" w:leftChars="200" w:hanging="1248" w:hangingChars="600"/>
              <w:jc w:val="left"/>
              <w:textAlignment w:val="auto"/>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rPr>
              <w:t>选择功能： FE     消防运行；</w:t>
            </w:r>
            <w:r>
              <w:rPr>
                <w:rFonts w:hint="eastAsia" w:ascii="宋体" w:hAnsi="宋体" w:eastAsia="宋体" w:cs="宋体"/>
                <w:color w:val="auto"/>
                <w:spacing w:val="-1"/>
                <w:sz w:val="21"/>
                <w:szCs w:val="21"/>
                <w:lang w:val="en-US" w:eastAsia="zh-CN"/>
              </w:rPr>
              <w:t xml:space="preserve">     </w:t>
            </w:r>
          </w:p>
          <w:p w14:paraId="29A6EEBC">
            <w:pPr>
              <w:keepNext w:val="0"/>
              <w:keepLines w:val="0"/>
              <w:pageBreakBefore w:val="0"/>
              <w:widowControl w:val="0"/>
              <w:kinsoku/>
              <w:wordWrap w:val="0"/>
              <w:overflowPunct/>
              <w:topLinePunct w:val="0"/>
              <w:autoSpaceDE/>
              <w:autoSpaceDN/>
              <w:bidi w:val="0"/>
              <w:adjustRightInd/>
              <w:snapToGrid/>
              <w:spacing w:before="1" w:line="210" w:lineRule="auto"/>
              <w:ind w:left="1470" w:leftChars="70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MBS  光幕安全触板；</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AS</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司机服务；</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CF0-A</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轿内风扇自动关闭：</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CLO-A</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轿内照明自动关闭；</w:t>
            </w:r>
            <w:r>
              <w:rPr>
                <w:rFonts w:hint="eastAsia" w:ascii="宋体" w:hAnsi="宋体" w:eastAsia="宋体" w:cs="宋体"/>
                <w:color w:val="auto"/>
                <w:spacing w:val="-1"/>
                <w:sz w:val="21"/>
                <w:szCs w:val="21"/>
                <w:lang w:val="en-US" w:eastAsia="zh-CN"/>
              </w:rPr>
              <w:t xml:space="preserve"> I</w:t>
            </w:r>
            <w:r>
              <w:rPr>
                <w:rFonts w:hint="eastAsia" w:ascii="宋体" w:hAnsi="宋体" w:eastAsia="宋体" w:cs="宋体"/>
                <w:color w:val="auto"/>
                <w:spacing w:val="-1"/>
                <w:sz w:val="21"/>
                <w:szCs w:val="21"/>
              </w:rPr>
              <w:t>TV-D</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数字式监控电缆。</w:t>
            </w:r>
          </w:p>
        </w:tc>
        <w:tc>
          <w:tcPr>
            <w:tcW w:w="600" w:type="dxa"/>
            <w:vAlign w:val="center"/>
          </w:tcPr>
          <w:p w14:paraId="2014C0C6">
            <w:pPr>
              <w:keepNext w:val="0"/>
              <w:keepLines w:val="0"/>
              <w:pageBreakBefore w:val="0"/>
              <w:widowControl w:val="0"/>
              <w:kinsoku/>
              <w:wordWrap w:val="0"/>
              <w:overflowPunct/>
              <w:topLinePunct w:val="0"/>
              <w:autoSpaceDE/>
              <w:autoSpaceDN/>
              <w:bidi w:val="0"/>
              <w:adjustRightInd/>
              <w:snapToGrid/>
              <w:spacing w:before="68" w:line="217" w:lineRule="auto"/>
              <w:ind w:left="10" w:leftChars="0" w:hanging="10" w:hangingChars="5"/>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部</w:t>
            </w:r>
          </w:p>
        </w:tc>
        <w:tc>
          <w:tcPr>
            <w:tcW w:w="938" w:type="dxa"/>
            <w:tcBorders>
              <w:top w:val="single" w:color="auto" w:sz="4" w:space="0"/>
            </w:tcBorders>
            <w:vAlign w:val="center"/>
          </w:tcPr>
          <w:p w14:paraId="0074DF2B">
            <w:pPr>
              <w:keepNext w:val="0"/>
              <w:keepLines w:val="0"/>
              <w:pageBreakBefore w:val="0"/>
              <w:widowControl w:val="0"/>
              <w:kinsoku/>
              <w:wordWrap w:val="0"/>
              <w:overflowPunct/>
              <w:topLinePunct w:val="0"/>
              <w:autoSpaceDE/>
              <w:autoSpaceDN/>
              <w:bidi w:val="0"/>
              <w:adjustRightInd/>
              <w:snapToGrid/>
              <w:spacing w:before="68" w:line="217" w:lineRule="auto"/>
              <w:ind w:left="10" w:leftChars="0" w:hanging="10" w:hangingChars="5"/>
              <w:jc w:val="center"/>
              <w:textAlignment w:val="auto"/>
              <w:rPr>
                <w:rFonts w:hint="eastAsia" w:ascii="宋体" w:hAnsi="宋体" w:eastAsia="宋体" w:cs="宋体"/>
                <w:color w:val="auto"/>
                <w:kern w:val="2"/>
                <w:sz w:val="21"/>
                <w:szCs w:val="21"/>
                <w:lang w:val="en-US" w:eastAsia="zh-CN" w:bidi="ar-SA"/>
              </w:rPr>
            </w:pPr>
          </w:p>
          <w:p w14:paraId="60FEE20E">
            <w:pPr>
              <w:keepNext w:val="0"/>
              <w:keepLines w:val="0"/>
              <w:pageBreakBefore w:val="0"/>
              <w:widowControl w:val="0"/>
              <w:kinsoku/>
              <w:wordWrap w:val="0"/>
              <w:overflowPunct/>
              <w:topLinePunct w:val="0"/>
              <w:autoSpaceDE/>
              <w:autoSpaceDN/>
              <w:bidi w:val="0"/>
              <w:adjustRightInd/>
              <w:snapToGrid/>
              <w:spacing w:before="68" w:line="217" w:lineRule="auto"/>
              <w:ind w:left="10" w:leftChars="0" w:hanging="10" w:hangingChars="5"/>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601" w:type="dxa"/>
            <w:vAlign w:val="top"/>
          </w:tcPr>
          <w:p w14:paraId="4105D84C">
            <w:pPr>
              <w:keepNext w:val="0"/>
              <w:keepLines w:val="0"/>
              <w:pageBreakBefore w:val="0"/>
              <w:widowControl w:val="0"/>
              <w:kinsoku/>
              <w:wordWrap w:val="0"/>
              <w:overflowPunct/>
              <w:topLinePunct w:val="0"/>
              <w:autoSpaceDE/>
              <w:autoSpaceDN/>
              <w:bidi w:val="0"/>
              <w:adjustRightInd/>
              <w:snapToGrid/>
              <w:spacing w:before="55" w:line="239" w:lineRule="auto"/>
              <w:ind w:left="97"/>
              <w:textAlignment w:val="auto"/>
              <w:rPr>
                <w:rFonts w:hint="eastAsia" w:ascii="宋体" w:hAnsi="宋体" w:eastAsia="宋体" w:cs="宋体"/>
                <w:color w:val="auto"/>
                <w:sz w:val="21"/>
                <w:szCs w:val="21"/>
              </w:rPr>
            </w:pPr>
          </w:p>
        </w:tc>
        <w:tc>
          <w:tcPr>
            <w:tcW w:w="574" w:type="dxa"/>
            <w:vAlign w:val="top"/>
          </w:tcPr>
          <w:p w14:paraId="2FC7A704">
            <w:pPr>
              <w:keepNext w:val="0"/>
              <w:keepLines w:val="0"/>
              <w:pageBreakBefore w:val="0"/>
              <w:widowControl w:val="0"/>
              <w:kinsoku/>
              <w:wordWrap w:val="0"/>
              <w:overflowPunct/>
              <w:topLinePunct w:val="0"/>
              <w:autoSpaceDE/>
              <w:autoSpaceDN/>
              <w:bidi w:val="0"/>
              <w:adjustRightInd/>
              <w:snapToGrid/>
              <w:spacing w:before="55" w:line="239" w:lineRule="auto"/>
              <w:ind w:left="118"/>
              <w:textAlignment w:val="auto"/>
              <w:rPr>
                <w:rFonts w:hint="eastAsia" w:ascii="宋体" w:hAnsi="宋体" w:eastAsia="宋体" w:cs="宋体"/>
                <w:color w:val="auto"/>
                <w:sz w:val="21"/>
                <w:szCs w:val="21"/>
              </w:rPr>
            </w:pPr>
          </w:p>
        </w:tc>
        <w:tc>
          <w:tcPr>
            <w:tcW w:w="449" w:type="dxa"/>
            <w:vAlign w:val="top"/>
          </w:tcPr>
          <w:p w14:paraId="71DD074D">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6723B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dxa"/>
          <w:trHeight w:val="326" w:hRule="atLeast"/>
        </w:trPr>
        <w:tc>
          <w:tcPr>
            <w:tcW w:w="695" w:type="dxa"/>
            <w:vAlign w:val="top"/>
          </w:tcPr>
          <w:p w14:paraId="7807BEE9">
            <w:pPr>
              <w:pStyle w:val="52"/>
              <w:keepNext w:val="0"/>
              <w:keepLines w:val="0"/>
              <w:pageBreakBefore w:val="0"/>
              <w:widowControl w:val="0"/>
              <w:kinsoku/>
              <w:wordWrap w:val="0"/>
              <w:overflowPunct/>
              <w:topLinePunct w:val="0"/>
              <w:autoSpaceDE/>
              <w:autoSpaceDN/>
              <w:bidi w:val="0"/>
              <w:adjustRightInd/>
              <w:snapToGrid/>
              <w:spacing w:line="244" w:lineRule="auto"/>
              <w:textAlignment w:val="auto"/>
              <w:rPr>
                <w:rFonts w:hint="eastAsia" w:ascii="宋体" w:hAnsi="宋体" w:eastAsia="宋体" w:cs="宋体"/>
                <w:color w:val="auto"/>
                <w:sz w:val="21"/>
                <w:szCs w:val="21"/>
              </w:rPr>
            </w:pPr>
          </w:p>
          <w:p w14:paraId="3CF4DE5B">
            <w:pPr>
              <w:pStyle w:val="52"/>
              <w:keepNext w:val="0"/>
              <w:keepLines w:val="0"/>
              <w:pageBreakBefore w:val="0"/>
              <w:widowControl w:val="0"/>
              <w:kinsoku/>
              <w:wordWrap w:val="0"/>
              <w:overflowPunct/>
              <w:topLinePunct w:val="0"/>
              <w:autoSpaceDE/>
              <w:autoSpaceDN/>
              <w:bidi w:val="0"/>
              <w:adjustRightInd/>
              <w:snapToGrid/>
              <w:spacing w:line="244" w:lineRule="auto"/>
              <w:textAlignment w:val="auto"/>
              <w:rPr>
                <w:rFonts w:hint="eastAsia" w:ascii="宋体" w:hAnsi="宋体" w:eastAsia="宋体" w:cs="宋体"/>
                <w:color w:val="auto"/>
                <w:sz w:val="21"/>
                <w:szCs w:val="21"/>
              </w:rPr>
            </w:pPr>
          </w:p>
          <w:p w14:paraId="0DF036B0">
            <w:pPr>
              <w:pStyle w:val="52"/>
              <w:keepNext w:val="0"/>
              <w:keepLines w:val="0"/>
              <w:pageBreakBefore w:val="0"/>
              <w:widowControl w:val="0"/>
              <w:kinsoku/>
              <w:wordWrap w:val="0"/>
              <w:overflowPunct/>
              <w:topLinePunct w:val="0"/>
              <w:autoSpaceDE/>
              <w:autoSpaceDN/>
              <w:bidi w:val="0"/>
              <w:adjustRightInd/>
              <w:snapToGrid/>
              <w:spacing w:line="244" w:lineRule="auto"/>
              <w:textAlignment w:val="auto"/>
              <w:rPr>
                <w:rFonts w:hint="eastAsia" w:ascii="宋体" w:hAnsi="宋体" w:eastAsia="宋体" w:cs="宋体"/>
                <w:color w:val="auto"/>
                <w:sz w:val="21"/>
                <w:szCs w:val="21"/>
              </w:rPr>
            </w:pPr>
          </w:p>
          <w:p w14:paraId="5FE58815">
            <w:pPr>
              <w:pStyle w:val="52"/>
              <w:keepNext w:val="0"/>
              <w:keepLines w:val="0"/>
              <w:pageBreakBefore w:val="0"/>
              <w:widowControl w:val="0"/>
              <w:kinsoku/>
              <w:wordWrap w:val="0"/>
              <w:overflowPunct/>
              <w:topLinePunct w:val="0"/>
              <w:autoSpaceDE/>
              <w:autoSpaceDN/>
              <w:bidi w:val="0"/>
              <w:adjustRightInd/>
              <w:snapToGrid/>
              <w:spacing w:line="244" w:lineRule="auto"/>
              <w:textAlignment w:val="auto"/>
              <w:rPr>
                <w:rFonts w:hint="eastAsia" w:ascii="宋体" w:hAnsi="宋体" w:eastAsia="宋体" w:cs="宋体"/>
                <w:color w:val="auto"/>
                <w:sz w:val="21"/>
                <w:szCs w:val="21"/>
              </w:rPr>
            </w:pPr>
          </w:p>
          <w:p w14:paraId="68838BFE">
            <w:pPr>
              <w:pStyle w:val="52"/>
              <w:keepNext w:val="0"/>
              <w:keepLines w:val="0"/>
              <w:pageBreakBefore w:val="0"/>
              <w:widowControl w:val="0"/>
              <w:kinsoku/>
              <w:wordWrap w:val="0"/>
              <w:overflowPunct/>
              <w:topLinePunct w:val="0"/>
              <w:autoSpaceDE/>
              <w:autoSpaceDN/>
              <w:bidi w:val="0"/>
              <w:adjustRightInd/>
              <w:snapToGrid/>
              <w:spacing w:line="244" w:lineRule="auto"/>
              <w:textAlignment w:val="auto"/>
              <w:rPr>
                <w:rFonts w:hint="eastAsia" w:ascii="宋体" w:hAnsi="宋体" w:eastAsia="宋体" w:cs="宋体"/>
                <w:color w:val="auto"/>
                <w:sz w:val="21"/>
                <w:szCs w:val="21"/>
              </w:rPr>
            </w:pPr>
          </w:p>
          <w:p w14:paraId="626C90D7">
            <w:pPr>
              <w:pStyle w:val="52"/>
              <w:keepNext w:val="0"/>
              <w:keepLines w:val="0"/>
              <w:pageBreakBefore w:val="0"/>
              <w:widowControl w:val="0"/>
              <w:kinsoku/>
              <w:wordWrap w:val="0"/>
              <w:overflowPunct/>
              <w:topLinePunct w:val="0"/>
              <w:autoSpaceDE/>
              <w:autoSpaceDN/>
              <w:bidi w:val="0"/>
              <w:adjustRightInd/>
              <w:snapToGrid/>
              <w:spacing w:line="244" w:lineRule="auto"/>
              <w:textAlignment w:val="auto"/>
              <w:rPr>
                <w:rFonts w:hint="eastAsia" w:ascii="宋体" w:hAnsi="宋体" w:eastAsia="宋体" w:cs="宋体"/>
                <w:color w:val="auto"/>
                <w:sz w:val="21"/>
                <w:szCs w:val="21"/>
              </w:rPr>
            </w:pPr>
          </w:p>
          <w:p w14:paraId="65A26460">
            <w:pPr>
              <w:pStyle w:val="52"/>
              <w:keepNext w:val="0"/>
              <w:keepLines w:val="0"/>
              <w:pageBreakBefore w:val="0"/>
              <w:widowControl w:val="0"/>
              <w:kinsoku/>
              <w:wordWrap w:val="0"/>
              <w:overflowPunct/>
              <w:topLinePunct w:val="0"/>
              <w:autoSpaceDE/>
              <w:autoSpaceDN/>
              <w:bidi w:val="0"/>
              <w:adjustRightInd/>
              <w:snapToGrid/>
              <w:spacing w:line="244" w:lineRule="auto"/>
              <w:textAlignment w:val="auto"/>
              <w:rPr>
                <w:rFonts w:hint="eastAsia" w:ascii="宋体" w:hAnsi="宋体" w:eastAsia="宋体" w:cs="宋体"/>
                <w:color w:val="auto"/>
                <w:sz w:val="21"/>
                <w:szCs w:val="21"/>
              </w:rPr>
            </w:pPr>
          </w:p>
          <w:p w14:paraId="220F6B7E">
            <w:pPr>
              <w:pStyle w:val="52"/>
              <w:keepNext w:val="0"/>
              <w:keepLines w:val="0"/>
              <w:pageBreakBefore w:val="0"/>
              <w:widowControl w:val="0"/>
              <w:kinsoku/>
              <w:wordWrap w:val="0"/>
              <w:overflowPunct/>
              <w:topLinePunct w:val="0"/>
              <w:autoSpaceDE/>
              <w:autoSpaceDN/>
              <w:bidi w:val="0"/>
              <w:adjustRightInd/>
              <w:snapToGrid/>
              <w:spacing w:line="244" w:lineRule="auto"/>
              <w:textAlignment w:val="auto"/>
              <w:rPr>
                <w:rFonts w:hint="eastAsia" w:ascii="宋体" w:hAnsi="宋体" w:eastAsia="宋体" w:cs="宋体"/>
                <w:color w:val="auto"/>
                <w:sz w:val="21"/>
                <w:szCs w:val="21"/>
              </w:rPr>
            </w:pPr>
          </w:p>
          <w:p w14:paraId="391B1912">
            <w:pPr>
              <w:keepNext w:val="0"/>
              <w:keepLines w:val="0"/>
              <w:pageBreakBefore w:val="0"/>
              <w:widowControl w:val="0"/>
              <w:kinsoku/>
              <w:wordWrap w:val="0"/>
              <w:overflowPunct/>
              <w:topLinePunct w:val="0"/>
              <w:autoSpaceDE/>
              <w:autoSpaceDN/>
              <w:bidi w:val="0"/>
              <w:adjustRightInd/>
              <w:snapToGrid/>
              <w:spacing w:before="52"/>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4" w:type="dxa"/>
            <w:vAlign w:val="center"/>
          </w:tcPr>
          <w:p w14:paraId="14F89D77">
            <w:pPr>
              <w:pStyle w:val="52"/>
              <w:keepNext w:val="0"/>
              <w:keepLines w:val="0"/>
              <w:pageBreakBefore w:val="0"/>
              <w:widowControl w:val="0"/>
              <w:kinsoku/>
              <w:wordWrap w:val="0"/>
              <w:overflowPunct/>
              <w:topLinePunct w:val="0"/>
              <w:autoSpaceDE/>
              <w:autoSpaceDN/>
              <w:bidi w:val="0"/>
              <w:adjustRightInd/>
              <w:snapToGrid/>
              <w:spacing w:line="245" w:lineRule="auto"/>
              <w:jc w:val="center"/>
              <w:textAlignment w:val="auto"/>
              <w:rPr>
                <w:rFonts w:hint="eastAsia" w:ascii="宋体" w:hAnsi="宋体" w:eastAsia="宋体" w:cs="宋体"/>
                <w:color w:val="auto"/>
                <w:sz w:val="21"/>
                <w:szCs w:val="21"/>
              </w:rPr>
            </w:pPr>
          </w:p>
          <w:p w14:paraId="777120F9">
            <w:pPr>
              <w:pStyle w:val="52"/>
              <w:keepNext w:val="0"/>
              <w:keepLines w:val="0"/>
              <w:pageBreakBefore w:val="0"/>
              <w:widowControl w:val="0"/>
              <w:kinsoku/>
              <w:wordWrap w:val="0"/>
              <w:overflowPunct/>
              <w:topLinePunct w:val="0"/>
              <w:autoSpaceDE/>
              <w:autoSpaceDN/>
              <w:bidi w:val="0"/>
              <w:adjustRightInd/>
              <w:snapToGrid/>
              <w:spacing w:line="245" w:lineRule="auto"/>
              <w:jc w:val="center"/>
              <w:textAlignment w:val="auto"/>
              <w:rPr>
                <w:rFonts w:hint="eastAsia" w:ascii="宋体" w:hAnsi="宋体" w:eastAsia="宋体" w:cs="宋体"/>
                <w:color w:val="auto"/>
                <w:sz w:val="21"/>
                <w:szCs w:val="21"/>
              </w:rPr>
            </w:pPr>
          </w:p>
          <w:p w14:paraId="1E1A5209">
            <w:pPr>
              <w:pStyle w:val="52"/>
              <w:keepNext w:val="0"/>
              <w:keepLines w:val="0"/>
              <w:pageBreakBefore w:val="0"/>
              <w:widowControl w:val="0"/>
              <w:kinsoku/>
              <w:wordWrap w:val="0"/>
              <w:overflowPunct/>
              <w:topLinePunct w:val="0"/>
              <w:autoSpaceDE/>
              <w:autoSpaceDN/>
              <w:bidi w:val="0"/>
              <w:adjustRightInd/>
              <w:snapToGrid/>
              <w:spacing w:line="245" w:lineRule="auto"/>
              <w:jc w:val="center"/>
              <w:textAlignment w:val="auto"/>
              <w:rPr>
                <w:rFonts w:hint="eastAsia" w:ascii="宋体" w:hAnsi="宋体" w:eastAsia="宋体" w:cs="宋体"/>
                <w:color w:val="auto"/>
                <w:sz w:val="21"/>
                <w:szCs w:val="21"/>
              </w:rPr>
            </w:pPr>
          </w:p>
          <w:p w14:paraId="6C832341">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3BFFD043">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567AC7A3">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357C0C9A">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3CD4E2B1">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5A6DF2CA">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33D428DE">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3D1286A1">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3D563045">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16438052">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62DC219F">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645DDF8D">
            <w:pPr>
              <w:pStyle w:val="52"/>
              <w:keepNext w:val="0"/>
              <w:keepLines w:val="0"/>
              <w:pageBreakBefore w:val="0"/>
              <w:widowControl w:val="0"/>
              <w:kinsoku/>
              <w:wordWrap w:val="0"/>
              <w:overflowPunct/>
              <w:topLinePunct w:val="0"/>
              <w:autoSpaceDE/>
              <w:autoSpaceDN/>
              <w:bidi w:val="0"/>
              <w:adjustRightInd/>
              <w:snapToGrid/>
              <w:spacing w:line="246" w:lineRule="auto"/>
              <w:jc w:val="center"/>
              <w:textAlignment w:val="auto"/>
              <w:rPr>
                <w:rFonts w:hint="eastAsia" w:ascii="宋体" w:hAnsi="宋体" w:eastAsia="宋体" w:cs="宋体"/>
                <w:color w:val="auto"/>
                <w:sz w:val="21"/>
                <w:szCs w:val="21"/>
              </w:rPr>
            </w:pPr>
          </w:p>
          <w:p w14:paraId="6EC4B5E5">
            <w:pPr>
              <w:keepNext w:val="0"/>
              <w:keepLines w:val="0"/>
              <w:pageBreakBefore w:val="0"/>
              <w:widowControl w:val="0"/>
              <w:kinsoku/>
              <w:wordWrap w:val="0"/>
              <w:overflowPunct/>
              <w:topLinePunct w:val="0"/>
              <w:autoSpaceDE/>
              <w:autoSpaceDN/>
              <w:bidi w:val="0"/>
              <w:adjustRightInd/>
              <w:snapToGrid/>
              <w:spacing w:before="55" w:line="274" w:lineRule="auto"/>
              <w:ind w:left="0" w:leftChars="0" w:right="59"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zh-CN"/>
              </w:rPr>
              <w:t>电梯</w:t>
            </w:r>
            <w:r>
              <w:rPr>
                <w:rFonts w:hint="eastAsia" w:ascii="宋体" w:hAnsi="宋体" w:eastAsia="宋体" w:cs="宋体"/>
                <w:color w:val="auto"/>
                <w:spacing w:val="3"/>
                <w:sz w:val="21"/>
                <w:szCs w:val="21"/>
              </w:rPr>
              <w:t>及安装</w:t>
            </w:r>
          </w:p>
        </w:tc>
        <w:tc>
          <w:tcPr>
            <w:tcW w:w="895" w:type="dxa"/>
            <w:vAlign w:val="center"/>
          </w:tcPr>
          <w:p w14:paraId="059D2951">
            <w:pPr>
              <w:pStyle w:val="52"/>
              <w:keepNext w:val="0"/>
              <w:keepLines w:val="0"/>
              <w:pageBreakBefore w:val="0"/>
              <w:widowControl w:val="0"/>
              <w:kinsoku/>
              <w:wordWrap w:val="0"/>
              <w:overflowPunct/>
              <w:topLinePunct w:val="0"/>
              <w:autoSpaceDE/>
              <w:autoSpaceDN/>
              <w:bidi w:val="0"/>
              <w:adjustRightInd/>
              <w:snapToGrid/>
              <w:spacing w:line="243" w:lineRule="auto"/>
              <w:jc w:val="center"/>
              <w:textAlignment w:val="auto"/>
              <w:rPr>
                <w:rFonts w:hint="eastAsia" w:ascii="宋体" w:hAnsi="宋体" w:eastAsia="宋体" w:cs="宋体"/>
                <w:color w:val="auto"/>
                <w:sz w:val="21"/>
                <w:szCs w:val="21"/>
              </w:rPr>
            </w:pPr>
          </w:p>
          <w:p w14:paraId="4CC24CC7">
            <w:pPr>
              <w:pStyle w:val="52"/>
              <w:keepNext w:val="0"/>
              <w:keepLines w:val="0"/>
              <w:pageBreakBefore w:val="0"/>
              <w:widowControl w:val="0"/>
              <w:kinsoku/>
              <w:wordWrap w:val="0"/>
              <w:overflowPunct/>
              <w:topLinePunct w:val="0"/>
              <w:autoSpaceDE/>
              <w:autoSpaceDN/>
              <w:bidi w:val="0"/>
              <w:adjustRightInd/>
              <w:snapToGrid/>
              <w:spacing w:line="243" w:lineRule="auto"/>
              <w:jc w:val="center"/>
              <w:textAlignment w:val="auto"/>
              <w:rPr>
                <w:rFonts w:hint="eastAsia" w:ascii="宋体" w:hAnsi="宋体" w:eastAsia="宋体" w:cs="宋体"/>
                <w:color w:val="auto"/>
                <w:sz w:val="21"/>
                <w:szCs w:val="21"/>
              </w:rPr>
            </w:pPr>
          </w:p>
          <w:p w14:paraId="57C75A7E">
            <w:pPr>
              <w:pStyle w:val="52"/>
              <w:keepNext w:val="0"/>
              <w:keepLines w:val="0"/>
              <w:pageBreakBefore w:val="0"/>
              <w:widowControl w:val="0"/>
              <w:kinsoku/>
              <w:wordWrap w:val="0"/>
              <w:overflowPunct/>
              <w:topLinePunct w:val="0"/>
              <w:autoSpaceDE/>
              <w:autoSpaceDN/>
              <w:bidi w:val="0"/>
              <w:adjustRightInd/>
              <w:snapToGrid/>
              <w:spacing w:line="243" w:lineRule="auto"/>
              <w:jc w:val="center"/>
              <w:textAlignment w:val="auto"/>
              <w:rPr>
                <w:rFonts w:hint="eastAsia" w:ascii="宋体" w:hAnsi="宋体" w:eastAsia="宋体" w:cs="宋体"/>
                <w:color w:val="auto"/>
                <w:sz w:val="21"/>
                <w:szCs w:val="21"/>
              </w:rPr>
            </w:pPr>
          </w:p>
          <w:p w14:paraId="70EC9B19">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18B95147">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51E5A560">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0CA9E2E7">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47277DCE">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1A0A891A">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69FAAB2C">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405C08D6">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2F876BF1">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1077BAE3">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1223BDED">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4D4D5AE6">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28416A8A">
            <w:pPr>
              <w:pStyle w:val="52"/>
              <w:keepNext w:val="0"/>
              <w:keepLines w:val="0"/>
              <w:pageBreakBefore w:val="0"/>
              <w:widowControl w:val="0"/>
              <w:kinsoku/>
              <w:wordWrap w:val="0"/>
              <w:overflowPunct/>
              <w:topLinePunct w:val="0"/>
              <w:autoSpaceDE/>
              <w:autoSpaceDN/>
              <w:bidi w:val="0"/>
              <w:adjustRightInd/>
              <w:snapToGrid/>
              <w:spacing w:line="244" w:lineRule="auto"/>
              <w:jc w:val="center"/>
              <w:textAlignment w:val="auto"/>
              <w:rPr>
                <w:rFonts w:hint="eastAsia" w:ascii="宋体" w:hAnsi="宋体" w:eastAsia="宋体" w:cs="宋体"/>
                <w:color w:val="auto"/>
                <w:sz w:val="21"/>
                <w:szCs w:val="21"/>
              </w:rPr>
            </w:pPr>
          </w:p>
          <w:p w14:paraId="7DE4AEBC">
            <w:pPr>
              <w:keepNext w:val="0"/>
              <w:keepLines w:val="0"/>
              <w:pageBreakBefore w:val="0"/>
              <w:widowControl w:val="0"/>
              <w:kinsoku/>
              <w:wordWrap w:val="0"/>
              <w:overflowPunct/>
              <w:topLinePunct w:val="0"/>
              <w:autoSpaceDE/>
              <w:autoSpaceDN/>
              <w:bidi w:val="0"/>
              <w:adjustRightInd/>
              <w:snapToGrid/>
              <w:spacing w:before="52"/>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030107001002</w:t>
            </w:r>
          </w:p>
        </w:tc>
        <w:tc>
          <w:tcPr>
            <w:tcW w:w="3997" w:type="dxa"/>
            <w:vAlign w:val="top"/>
          </w:tcPr>
          <w:p w14:paraId="4A040737">
            <w:pPr>
              <w:spacing w:before="52" w:line="219"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pacing w:val="1"/>
                <w:sz w:val="21"/>
                <w:szCs w:val="21"/>
                <w:lang w:val="en-US" w:eastAsia="zh-CN"/>
              </w:rPr>
              <w:t xml:space="preserve">电梯 </w:t>
            </w:r>
            <w:r>
              <w:rPr>
                <w:rFonts w:hint="eastAsia" w:ascii="宋体" w:hAnsi="宋体" w:eastAsia="宋体" w:cs="宋体"/>
                <w:color w:val="auto"/>
                <w:spacing w:val="1"/>
                <w:sz w:val="21"/>
                <w:szCs w:val="21"/>
              </w:rPr>
              <w:t>(1050-1.75-11/11</w:t>
            </w:r>
            <w:r>
              <w:rPr>
                <w:rFonts w:hint="eastAsia" w:ascii="宋体" w:hAnsi="宋体" w:eastAsia="宋体" w:cs="宋体"/>
                <w:color w:val="auto"/>
                <w:spacing w:val="1"/>
                <w:sz w:val="21"/>
                <w:szCs w:val="21"/>
                <w:lang w:val="en-US" w:eastAsia="zh-CN"/>
              </w:rPr>
              <w:t>普通客梯</w:t>
            </w:r>
            <w:r>
              <w:rPr>
                <w:rFonts w:hint="eastAsia" w:ascii="宋体" w:hAnsi="宋体" w:eastAsia="宋体" w:cs="宋体"/>
                <w:color w:val="auto"/>
                <w:spacing w:val="1"/>
                <w:sz w:val="21"/>
                <w:szCs w:val="21"/>
              </w:rPr>
              <w:t>)</w:t>
            </w:r>
          </w:p>
          <w:p w14:paraId="5BFBA2FC">
            <w:pPr>
              <w:spacing w:before="19" w:line="197" w:lineRule="auto"/>
              <w:ind w:left="3"/>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rPr>
              <w:t>一、</w:t>
            </w:r>
            <w:r>
              <w:rPr>
                <w:rFonts w:hint="eastAsia" w:ascii="宋体" w:hAnsi="宋体" w:eastAsia="宋体" w:cs="宋体"/>
                <w:color w:val="auto"/>
                <w:spacing w:val="-3"/>
                <w:sz w:val="21"/>
                <w:szCs w:val="21"/>
                <w:lang w:val="en-US" w:eastAsia="zh-CN"/>
              </w:rPr>
              <w:t>基</w:t>
            </w:r>
            <w:r>
              <w:rPr>
                <w:rFonts w:hint="eastAsia" w:ascii="宋体" w:hAnsi="宋体" w:eastAsia="宋体" w:cs="宋体"/>
                <w:color w:val="auto"/>
                <w:spacing w:val="-3"/>
                <w:sz w:val="21"/>
                <w:szCs w:val="21"/>
              </w:rPr>
              <w:t>本</w:t>
            </w:r>
            <w:r>
              <w:rPr>
                <w:rFonts w:hint="eastAsia" w:ascii="宋体" w:hAnsi="宋体" w:eastAsia="宋体" w:cs="宋体"/>
                <w:color w:val="auto"/>
                <w:spacing w:val="-3"/>
                <w:sz w:val="21"/>
                <w:szCs w:val="21"/>
                <w:lang w:val="en-US" w:eastAsia="zh-CN"/>
              </w:rPr>
              <w:t>规格</w:t>
            </w:r>
          </w:p>
          <w:p w14:paraId="62B52941">
            <w:pPr>
              <w:spacing w:line="219" w:lineRule="auto"/>
              <w:ind w:left="3"/>
              <w:rPr>
                <w:rFonts w:hint="default" w:ascii="宋体" w:hAnsi="宋体" w:eastAsia="宋体" w:cs="宋体"/>
                <w:color w:val="auto"/>
                <w:sz w:val="21"/>
                <w:szCs w:val="21"/>
                <w:lang w:val="en-US" w:eastAsia="zh-CN"/>
              </w:rPr>
            </w:pPr>
            <w:r>
              <w:rPr>
                <w:rFonts w:hint="eastAsia" w:ascii="宋体" w:hAnsi="宋体" w:eastAsia="宋体" w:cs="宋体"/>
                <w:color w:val="auto"/>
                <w:spacing w:val="-1"/>
                <w:sz w:val="21"/>
                <w:szCs w:val="21"/>
              </w:rPr>
              <w:t>产品</w:t>
            </w:r>
            <w:r>
              <w:rPr>
                <w:rFonts w:hint="eastAsia" w:ascii="宋体" w:hAnsi="宋体" w:eastAsia="宋体" w:cs="宋体"/>
                <w:color w:val="auto"/>
                <w:spacing w:val="-1"/>
                <w:sz w:val="21"/>
                <w:szCs w:val="21"/>
                <w:lang w:val="en-US" w:eastAsia="zh-CN"/>
              </w:rPr>
              <w:t>型号</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val="en-US" w:eastAsia="zh-CN"/>
              </w:rPr>
              <w:t>载客电梯</w:t>
            </w:r>
          </w:p>
          <w:p w14:paraId="39DE42CF">
            <w:pPr>
              <w:spacing w:before="10" w:line="220" w:lineRule="auto"/>
              <w:ind w:left="3"/>
              <w:rPr>
                <w:rFonts w:hint="eastAsia" w:ascii="宋体" w:hAnsi="宋体" w:eastAsia="宋体" w:cs="宋体"/>
                <w:color w:val="auto"/>
                <w:sz w:val="21"/>
                <w:szCs w:val="21"/>
              </w:rPr>
            </w:pPr>
            <w:r>
              <w:rPr>
                <w:rFonts w:hint="eastAsia" w:ascii="宋体" w:hAnsi="宋体" w:eastAsia="宋体" w:cs="宋体"/>
                <w:color w:val="auto"/>
                <w:spacing w:val="2"/>
                <w:sz w:val="21"/>
                <w:szCs w:val="21"/>
              </w:rPr>
              <w:t>拉制方式</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rPr>
              <w:t>IC</w:t>
            </w:r>
            <w:r>
              <w:rPr>
                <w:rFonts w:hint="eastAsia" w:ascii="宋体" w:hAnsi="宋体" w:eastAsia="宋体" w:cs="宋体"/>
                <w:color w:val="auto"/>
                <w:spacing w:val="2"/>
                <w:sz w:val="21"/>
                <w:szCs w:val="21"/>
              </w:rPr>
              <w:t>-2</w:t>
            </w:r>
            <w:r>
              <w:rPr>
                <w:rFonts w:hint="eastAsia" w:ascii="宋体" w:hAnsi="宋体" w:eastAsia="宋体" w:cs="宋体"/>
                <w:color w:val="auto"/>
                <w:spacing w:val="2"/>
                <w:sz w:val="21"/>
                <w:szCs w:val="21"/>
                <w:lang w:val="en-US" w:eastAsia="zh-CN"/>
              </w:rPr>
              <w:t>BC</w:t>
            </w:r>
            <w:r>
              <w:rPr>
                <w:rFonts w:hint="eastAsia" w:ascii="宋体" w:hAnsi="宋体" w:eastAsia="宋体" w:cs="宋体"/>
                <w:color w:val="auto"/>
                <w:spacing w:val="2"/>
                <w:sz w:val="21"/>
                <w:szCs w:val="21"/>
              </w:rPr>
              <w:t>(</w:t>
            </w:r>
            <w:r>
              <w:rPr>
                <w:rFonts w:hint="eastAsia" w:ascii="宋体" w:hAnsi="宋体" w:eastAsia="宋体" w:cs="宋体"/>
                <w:color w:val="auto"/>
                <w:spacing w:val="2"/>
                <w:sz w:val="21"/>
                <w:szCs w:val="21"/>
                <w:lang w:val="en-US" w:eastAsia="zh-CN"/>
              </w:rPr>
              <w:t>单控</w:t>
            </w:r>
            <w:r>
              <w:rPr>
                <w:rFonts w:hint="eastAsia" w:ascii="宋体" w:hAnsi="宋体" w:eastAsia="宋体" w:cs="宋体"/>
                <w:color w:val="auto"/>
                <w:spacing w:val="2"/>
                <w:sz w:val="21"/>
                <w:szCs w:val="21"/>
              </w:rPr>
              <w:t>)</w:t>
            </w:r>
          </w:p>
          <w:p w14:paraId="09E085FA">
            <w:pPr>
              <w:tabs>
                <w:tab w:val="left" w:pos="2730"/>
              </w:tabs>
              <w:spacing w:before="8" w:line="205" w:lineRule="auto"/>
              <w:ind w:right="-33" w:right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驱动</w:t>
            </w:r>
            <w:r>
              <w:rPr>
                <w:rFonts w:hint="eastAsia" w:ascii="宋体" w:hAnsi="宋体" w:eastAsia="宋体" w:cs="宋体"/>
                <w:color w:val="auto"/>
                <w:spacing w:val="-1"/>
                <w:sz w:val="21"/>
                <w:szCs w:val="21"/>
              </w:rPr>
              <w:t>方式</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VVVF控制技术，32位全电脑数据网络化控制</w:t>
            </w:r>
          </w:p>
          <w:p w14:paraId="5C25611D">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额定载重量：10</w:t>
            </w:r>
            <w:r>
              <w:rPr>
                <w:rFonts w:hint="eastAsia" w:ascii="宋体" w:hAnsi="宋体" w:eastAsia="宋体" w:cs="宋体"/>
                <w:color w:val="auto"/>
                <w:spacing w:val="-1"/>
                <w:sz w:val="21"/>
                <w:szCs w:val="21"/>
                <w:lang w:val="en-US" w:eastAsia="zh-CN"/>
              </w:rPr>
              <w:t>0</w:t>
            </w:r>
            <w:r>
              <w:rPr>
                <w:rFonts w:hint="eastAsia" w:ascii="宋体" w:hAnsi="宋体" w:eastAsia="宋体" w:cs="宋体"/>
                <w:color w:val="auto"/>
                <w:spacing w:val="-1"/>
                <w:sz w:val="21"/>
                <w:szCs w:val="21"/>
              </w:rPr>
              <w:t>0</w:t>
            </w:r>
            <w:r>
              <w:rPr>
                <w:rFonts w:hint="eastAsia" w:ascii="宋体" w:hAnsi="宋体" w:eastAsia="宋体" w:cs="宋体"/>
                <w:color w:val="auto"/>
                <w:spacing w:val="-1"/>
                <w:sz w:val="21"/>
                <w:szCs w:val="21"/>
                <w:lang w:val="en-US" w:eastAsia="zh-CN"/>
              </w:rPr>
              <w:t>-1050</w:t>
            </w:r>
            <w:r>
              <w:rPr>
                <w:rFonts w:hint="eastAsia" w:ascii="宋体" w:hAnsi="宋体" w:eastAsia="宋体" w:cs="宋体"/>
                <w:color w:val="auto"/>
                <w:spacing w:val="-1"/>
                <w:sz w:val="21"/>
                <w:szCs w:val="21"/>
              </w:rPr>
              <w:t>kg</w:t>
            </w:r>
          </w:p>
          <w:p w14:paraId="5B6D2C3D">
            <w:pPr>
              <w:spacing w:before="1" w:line="210" w:lineRule="auto"/>
              <w:ind w:left="12"/>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额定速度：1.75m/s</w:t>
            </w:r>
            <w:r>
              <w:rPr>
                <w:rFonts w:hint="eastAsia" w:ascii="宋体" w:hAnsi="宋体" w:eastAsia="宋体" w:cs="宋体"/>
                <w:color w:val="auto"/>
                <w:spacing w:val="-1"/>
                <w:sz w:val="21"/>
                <w:szCs w:val="21"/>
                <w:lang w:eastAsia="zh-CN"/>
              </w:rPr>
              <w:t>；</w:t>
            </w:r>
          </w:p>
          <w:p w14:paraId="1BCE2051">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开门尺寸：10</w:t>
            </w:r>
            <w:r>
              <w:rPr>
                <w:rFonts w:hint="eastAsia" w:ascii="宋体" w:hAnsi="宋体" w:eastAsia="宋体" w:cs="宋体"/>
                <w:color w:val="auto"/>
                <w:spacing w:val="-1"/>
                <w:sz w:val="21"/>
                <w:szCs w:val="21"/>
                <w:lang w:val="en-US" w:eastAsia="zh-CN"/>
              </w:rPr>
              <w:t>0</w:t>
            </w:r>
            <w:r>
              <w:rPr>
                <w:rFonts w:hint="eastAsia" w:ascii="宋体" w:hAnsi="宋体" w:eastAsia="宋体" w:cs="宋体"/>
                <w:color w:val="auto"/>
                <w:spacing w:val="-1"/>
                <w:sz w:val="21"/>
                <w:szCs w:val="21"/>
              </w:rPr>
              <w:t>0</w:t>
            </w:r>
            <w:r>
              <w:rPr>
                <w:rFonts w:hint="eastAsia" w:ascii="宋体" w:hAnsi="宋体" w:eastAsia="宋体" w:cs="宋体"/>
                <w:color w:val="auto"/>
                <w:spacing w:val="-1"/>
                <w:sz w:val="21"/>
                <w:szCs w:val="21"/>
                <w:lang w:val="en-US" w:eastAsia="zh-CN"/>
              </w:rPr>
              <w:t>-1050</w:t>
            </w:r>
            <w:r>
              <w:rPr>
                <w:rFonts w:hint="eastAsia" w:ascii="宋体" w:hAnsi="宋体" w:eastAsia="宋体" w:cs="宋体"/>
                <w:color w:val="auto"/>
                <w:spacing w:val="-1"/>
                <w:sz w:val="21"/>
                <w:szCs w:val="21"/>
              </w:rPr>
              <w:t>kg</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宽900mm×高2100mm</w:t>
            </w:r>
          </w:p>
          <w:p w14:paraId="5DB95FCE">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机房位置：井道上面楼层</w:t>
            </w:r>
          </w:p>
          <w:p w14:paraId="580606E2">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电   源：动力：380V,50HZ</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 xml:space="preserve">  照明：220V,50HZ</w:t>
            </w:r>
          </w:p>
          <w:p w14:paraId="0D69198B">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二、轿厢内部设计：</w:t>
            </w:r>
          </w:p>
          <w:p w14:paraId="2001CA84">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轿厢内装修：镜面不锈钢</w:t>
            </w:r>
          </w:p>
          <w:p w14:paraId="168A6A20">
            <w:pPr>
              <w:spacing w:before="1" w:line="210" w:lineRule="auto"/>
              <w:ind w:left="428" w:leftChars="204" w:firstLine="0" w:firstLineChars="0"/>
              <w:jc w:val="left"/>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轿厢门/厅门运作：中分门 </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轿顶型号：标准轿顶</w:t>
            </w:r>
          </w:p>
          <w:p w14:paraId="57C3A12B">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轿厢尺寸：</w:t>
            </w:r>
            <w:r>
              <w:rPr>
                <w:rFonts w:hint="eastAsia" w:ascii="宋体" w:hAnsi="宋体" w:eastAsia="宋体" w:cs="宋体"/>
                <w:color w:val="auto"/>
                <w:spacing w:val="-1"/>
                <w:sz w:val="21"/>
                <w:szCs w:val="21"/>
                <w:lang w:val="en-US" w:eastAsia="zh-CN"/>
              </w:rPr>
              <w:t>1000-</w:t>
            </w:r>
            <w:r>
              <w:rPr>
                <w:rFonts w:hint="eastAsia" w:ascii="宋体" w:hAnsi="宋体" w:eastAsia="宋体" w:cs="宋体"/>
                <w:color w:val="auto"/>
                <w:spacing w:val="-1"/>
                <w:sz w:val="21"/>
                <w:szCs w:val="21"/>
              </w:rPr>
              <w:t>1050kg</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宽1600mm×深1500×高2400mm</w:t>
            </w:r>
          </w:p>
          <w:p w14:paraId="30B57142">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地板：PVC拼花地板</w:t>
            </w:r>
          </w:p>
          <w:p w14:paraId="5F1C3FFF">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三、梯厅入口设计：</w:t>
            </w:r>
          </w:p>
          <w:p w14:paraId="7ABBBB79">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厅门材料：全层为发纹不锈钢</w:t>
            </w:r>
          </w:p>
          <w:p w14:paraId="776FA128">
            <w:pPr>
              <w:spacing w:before="1" w:line="210" w:lineRule="auto"/>
              <w:ind w:left="428" w:leftChars="204" w:firstLine="0" w:firstLineChars="0"/>
              <w:jc w:val="left"/>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门</w:t>
            </w:r>
            <w:r>
              <w:rPr>
                <w:rFonts w:hint="eastAsia" w:ascii="宋体" w:hAnsi="宋体" w:eastAsia="宋体" w:cs="宋体"/>
                <w:color w:val="auto"/>
                <w:spacing w:val="-1"/>
                <w:sz w:val="21"/>
                <w:szCs w:val="21"/>
              </w:rPr>
              <w:t xml:space="preserve">套：全层为发纹不锈钢小门套 </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门机系统：变频变压系统</w:t>
            </w:r>
          </w:p>
          <w:p w14:paraId="2116711D">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地</w:t>
            </w:r>
            <w:r>
              <w:rPr>
                <w:rFonts w:hint="eastAsia" w:ascii="宋体" w:hAnsi="宋体" w:eastAsia="宋体" w:cs="宋体"/>
                <w:color w:val="auto"/>
                <w:spacing w:val="-1"/>
                <w:sz w:val="21"/>
                <w:szCs w:val="21"/>
              </w:rPr>
              <w:t>坎：硬质银白色铝</w:t>
            </w:r>
          </w:p>
          <w:p w14:paraId="7E50D1A6">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四、讯号板：</w:t>
            </w:r>
          </w:p>
          <w:p w14:paraId="60A94A76">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操作箱型号：配备ZCBx-C111型主操纵箱(发纹不锈钢面板，发纹不锈钢按钮)</w:t>
            </w:r>
          </w:p>
          <w:p w14:paraId="08F7658F">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操纵箱显示形式和面板材料：数码发光点阵式显示，发纹不锈钢面板</w:t>
            </w:r>
          </w:p>
          <w:p w14:paraId="0FCD6FD6">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厅位指示器：每层ZPIx-G110型(数码发光点式显示，发纹不锈钢面板)</w:t>
            </w:r>
          </w:p>
          <w:p w14:paraId="49783FE3">
            <w:pPr>
              <w:spacing w:before="1" w:line="210" w:lineRule="auto"/>
              <w:ind w:left="12"/>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五、本机主要功能：</w:t>
            </w:r>
          </w:p>
          <w:p w14:paraId="3042E18C">
            <w:pPr>
              <w:keepNext w:val="0"/>
              <w:keepLines w:val="0"/>
              <w:pageBreakBefore w:val="0"/>
              <w:widowControl w:val="0"/>
              <w:kinsoku/>
              <w:wordWrap w:val="0"/>
              <w:overflowPunct/>
              <w:topLinePunct w:val="0"/>
              <w:autoSpaceDE/>
              <w:autoSpaceDN/>
              <w:bidi w:val="0"/>
              <w:adjustRightInd/>
              <w:snapToGrid/>
              <w:spacing w:before="1" w:line="210" w:lineRule="auto"/>
              <w:ind w:left="1460" w:leftChars="200" w:hanging="1040" w:hangingChars="500"/>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选择功能：FE     消防运行；</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MBS  光幕安全触板；</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AS</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司机服务；</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CF0-A</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轿内风扇自动关闭：</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CLO-A</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轿内照明自动关闭；</w:t>
            </w:r>
            <w:r>
              <w:rPr>
                <w:rFonts w:hint="eastAsia" w:ascii="宋体" w:hAnsi="宋体" w:eastAsia="宋体" w:cs="宋体"/>
                <w:color w:val="auto"/>
                <w:spacing w:val="-1"/>
                <w:sz w:val="21"/>
                <w:szCs w:val="21"/>
                <w:lang w:val="en-US" w:eastAsia="zh-CN"/>
              </w:rPr>
              <w:t xml:space="preserve"> I</w:t>
            </w:r>
            <w:r>
              <w:rPr>
                <w:rFonts w:hint="eastAsia" w:ascii="宋体" w:hAnsi="宋体" w:eastAsia="宋体" w:cs="宋体"/>
                <w:color w:val="auto"/>
                <w:spacing w:val="-1"/>
                <w:sz w:val="21"/>
                <w:szCs w:val="21"/>
              </w:rPr>
              <w:t>TV-D</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
                <w:sz w:val="21"/>
                <w:szCs w:val="21"/>
              </w:rPr>
              <w:t>数字式监控电缆。</w:t>
            </w:r>
          </w:p>
        </w:tc>
        <w:tc>
          <w:tcPr>
            <w:tcW w:w="600" w:type="dxa"/>
            <w:vAlign w:val="center"/>
          </w:tcPr>
          <w:p w14:paraId="0DE9CDFA">
            <w:pPr>
              <w:keepNext w:val="0"/>
              <w:keepLines w:val="0"/>
              <w:pageBreakBefore w:val="0"/>
              <w:widowControl w:val="0"/>
              <w:kinsoku/>
              <w:wordWrap w:val="0"/>
              <w:overflowPunct/>
              <w:topLinePunct w:val="0"/>
              <w:autoSpaceDE/>
              <w:autoSpaceDN/>
              <w:bidi w:val="0"/>
              <w:adjustRightInd/>
              <w:snapToGrid/>
              <w:spacing w:before="52" w:line="221" w:lineRule="auto"/>
              <w:ind w:left="0" w:lef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部</w:t>
            </w:r>
          </w:p>
        </w:tc>
        <w:tc>
          <w:tcPr>
            <w:tcW w:w="938" w:type="dxa"/>
            <w:vAlign w:val="center"/>
          </w:tcPr>
          <w:p w14:paraId="0E23364B">
            <w:pPr>
              <w:bidi w:val="0"/>
              <w:ind w:left="0" w:leftChars="0" w:firstLine="0" w:firstLineChars="0"/>
              <w:jc w:val="center"/>
              <w:rPr>
                <w:rFonts w:hint="default"/>
                <w:color w:val="auto"/>
                <w:lang w:val="en-US" w:eastAsia="zh-CN"/>
              </w:rPr>
            </w:pPr>
            <w:r>
              <w:rPr>
                <w:rFonts w:hint="eastAsia"/>
                <w:color w:val="auto"/>
                <w:lang w:val="en-US" w:eastAsia="zh-CN"/>
              </w:rPr>
              <w:t>1</w:t>
            </w:r>
          </w:p>
        </w:tc>
        <w:tc>
          <w:tcPr>
            <w:tcW w:w="601" w:type="dxa"/>
            <w:vAlign w:val="top"/>
          </w:tcPr>
          <w:p w14:paraId="4AC6782A">
            <w:pPr>
              <w:keepNext w:val="0"/>
              <w:keepLines w:val="0"/>
              <w:pageBreakBefore w:val="0"/>
              <w:widowControl w:val="0"/>
              <w:kinsoku/>
              <w:wordWrap w:val="0"/>
              <w:overflowPunct/>
              <w:topLinePunct w:val="0"/>
              <w:autoSpaceDE/>
              <w:autoSpaceDN/>
              <w:bidi w:val="0"/>
              <w:adjustRightInd/>
              <w:snapToGrid/>
              <w:spacing w:before="52"/>
              <w:ind w:left="286"/>
              <w:textAlignment w:val="auto"/>
              <w:rPr>
                <w:rFonts w:hint="eastAsia" w:ascii="宋体" w:hAnsi="宋体" w:eastAsia="宋体" w:cs="宋体"/>
                <w:color w:val="auto"/>
                <w:sz w:val="21"/>
                <w:szCs w:val="21"/>
              </w:rPr>
            </w:pPr>
          </w:p>
        </w:tc>
        <w:tc>
          <w:tcPr>
            <w:tcW w:w="574" w:type="dxa"/>
            <w:vAlign w:val="top"/>
          </w:tcPr>
          <w:p w14:paraId="712651E4">
            <w:pPr>
              <w:keepNext w:val="0"/>
              <w:keepLines w:val="0"/>
              <w:pageBreakBefore w:val="0"/>
              <w:widowControl w:val="0"/>
              <w:kinsoku/>
              <w:wordWrap w:val="0"/>
              <w:overflowPunct/>
              <w:topLinePunct w:val="0"/>
              <w:autoSpaceDE/>
              <w:autoSpaceDN/>
              <w:bidi w:val="0"/>
              <w:adjustRightInd/>
              <w:snapToGrid/>
              <w:spacing w:before="52"/>
              <w:jc w:val="right"/>
              <w:textAlignment w:val="auto"/>
              <w:rPr>
                <w:rFonts w:hint="eastAsia" w:ascii="宋体" w:hAnsi="宋体" w:eastAsia="宋体" w:cs="宋体"/>
                <w:color w:val="auto"/>
                <w:sz w:val="21"/>
                <w:szCs w:val="21"/>
              </w:rPr>
            </w:pPr>
          </w:p>
        </w:tc>
        <w:tc>
          <w:tcPr>
            <w:tcW w:w="449" w:type="dxa"/>
            <w:vAlign w:val="top"/>
          </w:tcPr>
          <w:p w14:paraId="5DD158A4">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r w14:paraId="26D21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dxa"/>
          <w:trHeight w:val="440" w:hRule="atLeast"/>
        </w:trPr>
        <w:tc>
          <w:tcPr>
            <w:tcW w:w="695" w:type="dxa"/>
            <w:vAlign w:val="top"/>
          </w:tcPr>
          <w:p w14:paraId="67929492">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64" w:type="dxa"/>
            <w:vAlign w:val="top"/>
          </w:tcPr>
          <w:p w14:paraId="7EC44BB3">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895" w:type="dxa"/>
            <w:vAlign w:val="top"/>
          </w:tcPr>
          <w:p w14:paraId="391B1891">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3997" w:type="dxa"/>
            <w:vAlign w:val="center"/>
          </w:tcPr>
          <w:p w14:paraId="666DB4C9">
            <w:pPr>
              <w:keepNext w:val="0"/>
              <w:keepLines w:val="0"/>
              <w:pageBreakBefore w:val="0"/>
              <w:widowControl w:val="0"/>
              <w:kinsoku/>
              <w:wordWrap w:val="0"/>
              <w:overflowPunct/>
              <w:topLinePunct w:val="0"/>
              <w:autoSpaceDE/>
              <w:autoSpaceDN/>
              <w:bidi w:val="0"/>
              <w:adjustRightInd/>
              <w:snapToGrid/>
              <w:spacing w:before="105" w:line="221" w:lineRule="auto"/>
              <w:ind w:left="3"/>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合计</w:t>
            </w:r>
          </w:p>
        </w:tc>
        <w:tc>
          <w:tcPr>
            <w:tcW w:w="600" w:type="dxa"/>
            <w:vAlign w:val="top"/>
          </w:tcPr>
          <w:p w14:paraId="4532D6DE">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938" w:type="dxa"/>
            <w:vAlign w:val="top"/>
          </w:tcPr>
          <w:p w14:paraId="4CBB8F97">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601" w:type="dxa"/>
            <w:vAlign w:val="top"/>
          </w:tcPr>
          <w:p w14:paraId="695602CB">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c>
          <w:tcPr>
            <w:tcW w:w="574" w:type="dxa"/>
            <w:vAlign w:val="top"/>
          </w:tcPr>
          <w:p w14:paraId="51DF19E8">
            <w:pPr>
              <w:keepNext w:val="0"/>
              <w:keepLines w:val="0"/>
              <w:pageBreakBefore w:val="0"/>
              <w:widowControl w:val="0"/>
              <w:kinsoku/>
              <w:wordWrap w:val="0"/>
              <w:overflowPunct/>
              <w:topLinePunct w:val="0"/>
              <w:autoSpaceDE/>
              <w:autoSpaceDN/>
              <w:bidi w:val="0"/>
              <w:adjustRightInd/>
              <w:snapToGrid/>
              <w:spacing w:before="120"/>
              <w:ind w:left="157"/>
              <w:textAlignment w:val="auto"/>
              <w:rPr>
                <w:rFonts w:hint="eastAsia" w:ascii="宋体" w:hAnsi="宋体" w:eastAsia="宋体" w:cs="宋体"/>
                <w:color w:val="auto"/>
                <w:sz w:val="21"/>
                <w:szCs w:val="21"/>
              </w:rPr>
            </w:pPr>
          </w:p>
        </w:tc>
        <w:tc>
          <w:tcPr>
            <w:tcW w:w="449" w:type="dxa"/>
            <w:vAlign w:val="top"/>
          </w:tcPr>
          <w:p w14:paraId="16C44C4C">
            <w:pPr>
              <w:pStyle w:val="52"/>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rPr>
            </w:pPr>
          </w:p>
        </w:tc>
      </w:tr>
    </w:tbl>
    <w:p w14:paraId="3EC87896">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p w14:paraId="1652A821">
      <w:pPr>
        <w:wordWrap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bookmarkEnd w:id="909"/>
    </w:p>
    <w:p w14:paraId="53F17B82">
      <w:pPr>
        <w:pStyle w:val="2"/>
        <w:tabs>
          <w:tab w:val="left" w:pos="1440"/>
        </w:tabs>
        <w:bidi w:val="0"/>
      </w:pPr>
      <w:bookmarkStart w:id="912" w:name="_Toc27205"/>
      <w:r>
        <w:rPr>
          <w:rFonts w:hint="eastAsia"/>
        </w:rPr>
        <w:t>第六章 响应文件格式</w:t>
      </w:r>
      <w:bookmarkEnd w:id="912"/>
    </w:p>
    <w:p w14:paraId="743DBB58">
      <w:pPr>
        <w:wordWrap w:val="0"/>
        <w:snapToGrid w:val="0"/>
        <w:spacing w:after="120" w:afterLines="50"/>
        <w:rPr>
          <w:rFonts w:ascii="宋体" w:hAnsi="宋体" w:cs="宋体"/>
        </w:rPr>
      </w:pPr>
    </w:p>
    <w:p w14:paraId="0BD22830">
      <w:pPr>
        <w:wordWrap w:val="0"/>
        <w:snapToGrid w:val="0"/>
        <w:spacing w:line="420" w:lineRule="exact"/>
        <w:ind w:firstLine="1446" w:firstLineChars="450"/>
        <w:rPr>
          <w:rFonts w:ascii="宋体" w:hAnsi="宋体" w:cs="宋体"/>
          <w:b/>
          <w:bCs/>
          <w:sz w:val="32"/>
          <w:szCs w:val="32"/>
          <w:u w:val="single"/>
        </w:rPr>
      </w:pPr>
      <w:bookmarkStart w:id="913" w:name="_A1_投标书"/>
      <w:bookmarkEnd w:id="913"/>
      <w:bookmarkStart w:id="914" w:name="_Toc179091096"/>
      <w:bookmarkStart w:id="915" w:name="_Toc372807484"/>
      <w:bookmarkStart w:id="916" w:name="_Toc192127127"/>
      <w:bookmarkStart w:id="917" w:name="_Toc410631173"/>
      <w:bookmarkStart w:id="918" w:name="_Toc23340"/>
      <w:bookmarkStart w:id="919" w:name="_Toc128455956"/>
      <w:bookmarkStart w:id="920" w:name="_Toc416103814"/>
      <w:bookmarkStart w:id="921" w:name="_Toc192127128"/>
      <w:bookmarkStart w:id="922" w:name="_Toc176663528"/>
      <w:bookmarkStart w:id="923" w:name="_Toc414445764"/>
      <w:bookmarkStart w:id="924" w:name="_Toc162669084"/>
      <w:bookmarkStart w:id="925" w:name="_Toc181038076"/>
    </w:p>
    <w:p w14:paraId="5EBD42AD">
      <w:pPr>
        <w:wordWrap w:val="0"/>
        <w:snapToGrid w:val="0"/>
        <w:spacing w:line="420" w:lineRule="exact"/>
        <w:ind w:firstLine="1446" w:firstLineChars="450"/>
        <w:rPr>
          <w:rFonts w:ascii="宋体" w:hAnsi="宋体" w:cs="宋体"/>
          <w:b/>
          <w:bCs/>
          <w:sz w:val="32"/>
          <w:szCs w:val="32"/>
          <w:u w:val="single"/>
        </w:rPr>
      </w:pPr>
    </w:p>
    <w:p w14:paraId="2A457552">
      <w:pPr>
        <w:wordWrap w:val="0"/>
        <w:snapToGrid w:val="0"/>
        <w:spacing w:line="420" w:lineRule="exact"/>
        <w:ind w:firstLine="1446" w:firstLineChars="450"/>
        <w:rPr>
          <w:rFonts w:ascii="宋体" w:hAnsi="宋体" w:cs="宋体"/>
          <w:sz w:val="32"/>
          <w:szCs w:val="32"/>
        </w:rPr>
      </w:pPr>
      <w:r>
        <w:rPr>
          <w:rFonts w:hint="eastAsia" w:ascii="宋体" w:hAnsi="宋体" w:cs="宋体"/>
          <w:b/>
          <w:bCs/>
          <w:sz w:val="32"/>
          <w:szCs w:val="32"/>
          <w:u w:val="single"/>
        </w:rPr>
        <w:t xml:space="preserve">                 </w:t>
      </w:r>
      <w:bookmarkStart w:id="926" w:name="_Toc13474"/>
      <w:bookmarkStart w:id="927" w:name="_Toc3967_WPSOffice_Level1"/>
      <w:bookmarkStart w:id="928" w:name="_Toc8245_WPSOffice_Level1"/>
      <w:bookmarkStart w:id="929" w:name="_Toc22805_WPSOffice_Level1"/>
      <w:bookmarkStart w:id="930" w:name="_Toc4484"/>
      <w:bookmarkStart w:id="931" w:name="_Toc16795_WPSOffice_Level1"/>
      <w:bookmarkStart w:id="932" w:name="_Toc6392"/>
      <w:bookmarkStart w:id="933" w:name="_Toc25632"/>
      <w:r>
        <w:rPr>
          <w:rFonts w:hint="eastAsia" w:ascii="宋体" w:hAnsi="宋体" w:cs="宋体"/>
          <w:b/>
          <w:bCs/>
          <w:sz w:val="32"/>
          <w:szCs w:val="32"/>
        </w:rPr>
        <w:t>（</w:t>
      </w:r>
      <w:r>
        <w:rPr>
          <w:rFonts w:hint="eastAsia" w:ascii="宋体" w:hAnsi="宋体" w:cs="宋体"/>
          <w:b/>
          <w:bCs/>
          <w:sz w:val="32"/>
          <w:szCs w:val="32"/>
          <w:lang w:val="en-US" w:eastAsia="zh-CN"/>
        </w:rPr>
        <w:t>项目</w:t>
      </w:r>
      <w:r>
        <w:rPr>
          <w:rFonts w:hint="eastAsia" w:ascii="宋体" w:hAnsi="宋体" w:cs="宋体"/>
          <w:b/>
          <w:bCs/>
          <w:sz w:val="32"/>
          <w:szCs w:val="32"/>
          <w:lang w:eastAsia="zh-CN"/>
        </w:rPr>
        <w:t>名称</w:t>
      </w:r>
      <w:r>
        <w:rPr>
          <w:rFonts w:hint="eastAsia" w:ascii="宋体" w:hAnsi="宋体" w:cs="宋体"/>
          <w:b/>
          <w:bCs/>
          <w:sz w:val="32"/>
          <w:szCs w:val="32"/>
        </w:rPr>
        <w:t>）</w:t>
      </w:r>
      <w:bookmarkEnd w:id="926"/>
      <w:bookmarkEnd w:id="927"/>
      <w:bookmarkEnd w:id="928"/>
      <w:bookmarkEnd w:id="929"/>
      <w:bookmarkEnd w:id="930"/>
      <w:bookmarkEnd w:id="931"/>
      <w:bookmarkEnd w:id="932"/>
      <w:bookmarkEnd w:id="933"/>
      <w:r>
        <w:rPr>
          <w:rFonts w:hint="eastAsia" w:ascii="宋体" w:hAnsi="宋体" w:cs="宋体"/>
          <w:b/>
          <w:bCs/>
          <w:sz w:val="32"/>
          <w:szCs w:val="32"/>
        </w:rPr>
        <w:t>竞争性磋商</w:t>
      </w:r>
    </w:p>
    <w:p w14:paraId="5A699A78">
      <w:pPr>
        <w:wordWrap w:val="0"/>
        <w:spacing w:line="1000" w:lineRule="exact"/>
        <w:jc w:val="center"/>
        <w:rPr>
          <w:rFonts w:ascii="宋体" w:hAnsi="宋体" w:cs="宋体"/>
          <w:b/>
          <w:bCs/>
          <w:sz w:val="84"/>
          <w:szCs w:val="84"/>
        </w:rPr>
      </w:pPr>
    </w:p>
    <w:p w14:paraId="5E11A0C3">
      <w:pPr>
        <w:wordWrap w:val="0"/>
        <w:spacing w:line="1000" w:lineRule="exact"/>
        <w:jc w:val="center"/>
        <w:rPr>
          <w:rFonts w:ascii="宋体" w:hAnsi="宋体" w:cs="宋体"/>
          <w:sz w:val="52"/>
          <w:szCs w:val="52"/>
        </w:rPr>
      </w:pPr>
      <w:r>
        <w:rPr>
          <w:rFonts w:hint="eastAsia" w:ascii="宋体" w:hAnsi="宋体" w:cs="宋体"/>
          <w:b/>
          <w:bCs/>
          <w:sz w:val="84"/>
          <w:szCs w:val="84"/>
        </w:rPr>
        <w:t>响 应 文 件</w:t>
      </w:r>
    </w:p>
    <w:p w14:paraId="321D65D0">
      <w:pPr>
        <w:wordWrap w:val="0"/>
        <w:spacing w:before="240" w:beforeLines="100"/>
        <w:ind w:firstLine="3840" w:firstLineChars="1200"/>
        <w:rPr>
          <w:rFonts w:ascii="宋体" w:hAnsi="宋体" w:cs="宋体"/>
          <w:sz w:val="32"/>
          <w:szCs w:val="32"/>
        </w:rPr>
      </w:pPr>
    </w:p>
    <w:p w14:paraId="486D9A8A">
      <w:pPr>
        <w:wordWrap w:val="0"/>
        <w:ind w:firstLine="0" w:firstLineChars="0"/>
        <w:jc w:val="center"/>
        <w:rPr>
          <w:rFonts w:ascii="宋体" w:hAnsi="宋体" w:cs="宋体"/>
          <w:sz w:val="24"/>
          <w:szCs w:val="24"/>
        </w:rPr>
      </w:pPr>
      <w:r>
        <w:rPr>
          <w:rFonts w:hint="eastAsia" w:ascii="宋体" w:hAnsi="宋体" w:cs="宋体"/>
          <w:sz w:val="24"/>
          <w:szCs w:val="24"/>
        </w:rPr>
        <w:t>采购编号：</w:t>
      </w:r>
    </w:p>
    <w:p w14:paraId="3498A9F4">
      <w:pPr>
        <w:wordWrap w:val="0"/>
        <w:jc w:val="center"/>
        <w:rPr>
          <w:rFonts w:ascii="宋体" w:hAnsi="宋体" w:cs="宋体"/>
          <w:sz w:val="32"/>
          <w:szCs w:val="32"/>
        </w:rPr>
      </w:pPr>
    </w:p>
    <w:p w14:paraId="6E0712BB">
      <w:pPr>
        <w:wordWrap w:val="0"/>
        <w:jc w:val="center"/>
        <w:rPr>
          <w:rFonts w:ascii="宋体" w:hAnsi="宋体" w:cs="宋体"/>
          <w:sz w:val="32"/>
          <w:szCs w:val="32"/>
        </w:rPr>
      </w:pPr>
    </w:p>
    <w:p w14:paraId="13FF2C1F">
      <w:pPr>
        <w:wordWrap w:val="0"/>
        <w:jc w:val="center"/>
        <w:rPr>
          <w:rFonts w:ascii="宋体" w:hAnsi="宋体" w:cs="宋体"/>
          <w:sz w:val="32"/>
          <w:szCs w:val="32"/>
        </w:rPr>
      </w:pPr>
    </w:p>
    <w:p w14:paraId="1BB69048">
      <w:pPr>
        <w:wordWrap w:val="0"/>
        <w:jc w:val="center"/>
        <w:rPr>
          <w:rFonts w:ascii="宋体" w:hAnsi="宋体" w:cs="宋体"/>
          <w:sz w:val="32"/>
          <w:szCs w:val="32"/>
        </w:rPr>
      </w:pPr>
    </w:p>
    <w:p w14:paraId="4B608173">
      <w:pPr>
        <w:wordWrap w:val="0"/>
        <w:jc w:val="center"/>
        <w:rPr>
          <w:rFonts w:ascii="宋体" w:hAnsi="宋体" w:cs="宋体"/>
          <w:sz w:val="32"/>
          <w:szCs w:val="32"/>
        </w:rPr>
      </w:pPr>
    </w:p>
    <w:p w14:paraId="40D6DEB2">
      <w:pPr>
        <w:wordWrap w:val="0"/>
        <w:jc w:val="center"/>
        <w:rPr>
          <w:rFonts w:ascii="宋体" w:hAnsi="宋体" w:cs="宋体"/>
          <w:sz w:val="32"/>
          <w:szCs w:val="32"/>
        </w:rPr>
      </w:pPr>
    </w:p>
    <w:p w14:paraId="27369BB1">
      <w:pPr>
        <w:wordWrap w:val="0"/>
        <w:jc w:val="center"/>
        <w:rPr>
          <w:rFonts w:ascii="宋体" w:hAnsi="宋体" w:cs="宋体"/>
          <w:sz w:val="32"/>
          <w:szCs w:val="32"/>
        </w:rPr>
      </w:pPr>
    </w:p>
    <w:p w14:paraId="7D1731B7">
      <w:pPr>
        <w:wordWrap w:val="0"/>
        <w:rPr>
          <w:rFonts w:ascii="宋体" w:hAnsi="宋体" w:cs="宋体"/>
          <w:sz w:val="32"/>
          <w:szCs w:val="32"/>
        </w:rPr>
      </w:pPr>
    </w:p>
    <w:p w14:paraId="1FEE286A">
      <w:pPr>
        <w:wordWrap w:val="0"/>
        <w:jc w:val="center"/>
        <w:rPr>
          <w:rFonts w:ascii="宋体" w:hAnsi="宋体" w:cs="宋体"/>
          <w:sz w:val="32"/>
          <w:szCs w:val="32"/>
        </w:rPr>
      </w:pPr>
    </w:p>
    <w:p w14:paraId="6C2ECF01">
      <w:pPr>
        <w:wordWrap w:val="0"/>
        <w:spacing w:line="360" w:lineRule="auto"/>
        <w:jc w:val="center"/>
        <w:rPr>
          <w:rFonts w:ascii="宋体" w:hAnsi="宋体" w:cs="宋体"/>
          <w:sz w:val="32"/>
          <w:szCs w:val="32"/>
        </w:rPr>
      </w:pPr>
    </w:p>
    <w:p w14:paraId="6EEBC2F4">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bookmarkStart w:id="934" w:name="_Toc16044"/>
      <w:bookmarkStart w:id="935" w:name="_Toc18652_WPSOffice_Level1"/>
      <w:bookmarkStart w:id="936" w:name="_Toc14463_WPSOffice_Level1"/>
      <w:bookmarkStart w:id="937" w:name="_Toc7378"/>
      <w:bookmarkStart w:id="938" w:name="_Toc22812_WPSOffice_Level1"/>
      <w:bookmarkStart w:id="939" w:name="_Toc7391"/>
      <w:bookmarkStart w:id="940" w:name="_Toc14451_WPSOffice_Level1"/>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（单位电子签章）</w:t>
      </w:r>
      <w:bookmarkEnd w:id="934"/>
      <w:bookmarkEnd w:id="935"/>
      <w:bookmarkEnd w:id="936"/>
      <w:bookmarkEnd w:id="937"/>
      <w:bookmarkEnd w:id="938"/>
      <w:bookmarkEnd w:id="939"/>
      <w:bookmarkEnd w:id="940"/>
    </w:p>
    <w:p w14:paraId="22C81D7C">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lang w:val="en-US" w:eastAsia="zh-CN"/>
        </w:rPr>
        <w:t>负责人）</w:t>
      </w:r>
      <w:r>
        <w:rPr>
          <w:rFonts w:hint="eastAsia" w:ascii="宋体" w:hAnsi="宋体" w:cs="宋体"/>
          <w:b/>
          <w:bCs/>
          <w:sz w:val="24"/>
          <w:szCs w:val="24"/>
        </w:rPr>
        <w:t>或其委托代理人</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（电子签名或盖章）</w:t>
      </w:r>
    </w:p>
    <w:p w14:paraId="6BBD9953">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sz w:val="24"/>
          <w:szCs w:val="24"/>
        </w:rPr>
        <w:sectPr>
          <w:pgSz w:w="11906" w:h="16838"/>
          <w:pgMar w:top="1134" w:right="1134" w:bottom="1134" w:left="1417" w:header="851" w:footer="850" w:gutter="0"/>
          <w:pgNumType w:fmt="numberInDash"/>
          <w:cols w:space="720" w:num="1"/>
          <w:rtlGutter w:val="0"/>
          <w:docGrid w:linePitch="312" w:charSpace="0"/>
        </w:sectPr>
      </w:pPr>
      <w:bookmarkStart w:id="941" w:name="_Toc16649"/>
      <w:bookmarkStart w:id="942" w:name="_Toc21015_WPSOffice_Level1"/>
      <w:bookmarkStart w:id="943" w:name="_Toc31395"/>
      <w:bookmarkStart w:id="944" w:name="_Toc3607_WPSOffice_Level1"/>
      <w:bookmarkStart w:id="945" w:name="_Toc31848_WPSOffice_Level1"/>
      <w:bookmarkStart w:id="946" w:name="_Toc12941"/>
      <w:bookmarkStart w:id="947" w:name="_Toc20450"/>
      <w:bookmarkStart w:id="948" w:name="_Toc27351_WPSOffice_Level1"/>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bookmarkEnd w:id="941"/>
      <w:bookmarkEnd w:id="942"/>
      <w:bookmarkEnd w:id="943"/>
      <w:bookmarkEnd w:id="944"/>
      <w:bookmarkEnd w:id="945"/>
      <w:bookmarkEnd w:id="946"/>
      <w:bookmarkEnd w:id="947"/>
      <w:bookmarkEnd w:id="948"/>
    </w:p>
    <w:p w14:paraId="0E27816B">
      <w:pPr>
        <w:wordWrap w:val="0"/>
        <w:spacing w:line="460" w:lineRule="exact"/>
        <w:jc w:val="center"/>
        <w:rPr>
          <w:rFonts w:hint="eastAsia" w:ascii="宋体" w:hAnsi="宋体" w:cs="宋体"/>
          <w:b/>
          <w:bCs/>
          <w:sz w:val="28"/>
          <w:szCs w:val="28"/>
        </w:rPr>
      </w:pPr>
      <w:r>
        <w:rPr>
          <w:rFonts w:hint="eastAsia" w:ascii="宋体" w:hAnsi="宋体" w:cs="宋体"/>
          <w:b/>
          <w:bCs/>
          <w:sz w:val="28"/>
          <w:szCs w:val="28"/>
        </w:rPr>
        <w:t>目录</w:t>
      </w:r>
    </w:p>
    <w:p w14:paraId="5F6F1D99">
      <w:pPr>
        <w:wordWrap w:val="0"/>
        <w:spacing w:line="460" w:lineRule="exact"/>
        <w:jc w:val="center"/>
        <w:rPr>
          <w:rFonts w:hint="eastAsia" w:ascii="宋体" w:hAnsi="宋体" w:cs="宋体"/>
          <w:b/>
          <w:bCs/>
          <w:sz w:val="28"/>
          <w:szCs w:val="28"/>
        </w:rPr>
      </w:pPr>
    </w:p>
    <w:p w14:paraId="2DD4481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一、响应函及响应函附录</w:t>
      </w:r>
    </w:p>
    <w:p w14:paraId="749A6D2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w:t>
      </w:r>
      <w:r>
        <w:rPr>
          <w:rFonts w:hint="eastAsia"/>
          <w:sz w:val="24"/>
          <w:szCs w:val="24"/>
        </w:rPr>
        <w:t>分项报价表</w:t>
      </w:r>
    </w:p>
    <w:p w14:paraId="204C568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三、法定代表人（单位负责人）身份证明</w:t>
      </w:r>
    </w:p>
    <w:p w14:paraId="128D1751">
      <w:pPr>
        <w:keepNext w:val="0"/>
        <w:keepLines w:val="0"/>
        <w:pageBreakBefore w:val="0"/>
        <w:widowControl w:val="0"/>
        <w:kinsoku/>
        <w:wordWrap w:val="0"/>
        <w:overflowPunct/>
        <w:topLinePunct w:val="0"/>
        <w:autoSpaceDE/>
        <w:autoSpaceDN/>
        <w:bidi w:val="0"/>
        <w:adjustRightInd/>
        <w:snapToGrid/>
        <w:spacing w:line="460" w:lineRule="exact"/>
        <w:ind w:firstLine="960" w:firstLineChars="400"/>
        <w:textAlignment w:val="auto"/>
        <w:rPr>
          <w:rFonts w:ascii="宋体" w:hAnsi="宋体" w:cs="宋体"/>
          <w:sz w:val="24"/>
          <w:szCs w:val="24"/>
        </w:rPr>
      </w:pPr>
      <w:r>
        <w:rPr>
          <w:rFonts w:hint="eastAsia" w:ascii="宋体" w:hAnsi="宋体" w:cs="宋体"/>
          <w:sz w:val="24"/>
          <w:szCs w:val="24"/>
        </w:rPr>
        <w:t>授权委托书</w:t>
      </w:r>
    </w:p>
    <w:p w14:paraId="0A422B17">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四、商务条款偏离表</w:t>
      </w:r>
    </w:p>
    <w:p w14:paraId="7642BFF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cs="宋体"/>
          <w:sz w:val="24"/>
          <w:szCs w:val="24"/>
        </w:rPr>
        <w:t>五、</w:t>
      </w:r>
      <w:r>
        <w:rPr>
          <w:rFonts w:hint="eastAsia" w:ascii="宋体" w:hAnsi="宋体"/>
          <w:sz w:val="24"/>
          <w:szCs w:val="24"/>
          <w:lang w:val="en-US" w:eastAsia="zh-CN"/>
        </w:rPr>
        <w:t>技术</w:t>
      </w:r>
      <w:r>
        <w:rPr>
          <w:rFonts w:hint="eastAsia" w:ascii="宋体" w:hAnsi="宋体"/>
          <w:sz w:val="24"/>
          <w:szCs w:val="24"/>
        </w:rPr>
        <w:t>条款偏离表</w:t>
      </w:r>
    </w:p>
    <w:p w14:paraId="5B1C1D9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六、资格证明材料</w:t>
      </w:r>
    </w:p>
    <w:p w14:paraId="334BFEF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七、</w:t>
      </w:r>
      <w:r>
        <w:rPr>
          <w:rFonts w:hint="eastAsia" w:ascii="宋体" w:hAnsi="宋体" w:cs="宋体"/>
          <w:sz w:val="24"/>
          <w:szCs w:val="24"/>
          <w:lang w:val="en-US" w:eastAsia="zh-CN"/>
        </w:rPr>
        <w:t>技术部分</w:t>
      </w:r>
    </w:p>
    <w:p w14:paraId="4D2E739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八、</w:t>
      </w:r>
      <w:r>
        <w:rPr>
          <w:rFonts w:hint="eastAsia" w:ascii="宋体" w:hAnsi="宋体" w:cs="宋体"/>
          <w:sz w:val="24"/>
          <w:szCs w:val="24"/>
          <w:lang w:val="en-US" w:eastAsia="zh-CN"/>
        </w:rPr>
        <w:t>其他材料</w:t>
      </w:r>
    </w:p>
    <w:p w14:paraId="454683A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九、</w:t>
      </w:r>
      <w:r>
        <w:rPr>
          <w:rFonts w:hint="eastAsia" w:ascii="宋体" w:hAnsi="宋体" w:cs="宋体"/>
          <w:sz w:val="24"/>
          <w:szCs w:val="24"/>
          <w:lang w:val="en-US" w:eastAsia="zh-CN"/>
        </w:rPr>
        <w:t>供应商认为应该提交的其他材料</w:t>
      </w:r>
    </w:p>
    <w:p w14:paraId="7EC596D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十、关于政府采购政策（有则附，没有不附）</w:t>
      </w:r>
    </w:p>
    <w:p w14:paraId="66F379D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p>
    <w:p w14:paraId="73C070F8">
      <w:pPr>
        <w:bidi w:val="0"/>
      </w:pPr>
      <w:r>
        <w:rPr>
          <w:rFonts w:hint="eastAsia"/>
        </w:rPr>
        <w:br w:type="page"/>
      </w:r>
      <w:bookmarkEnd w:id="914"/>
      <w:bookmarkEnd w:id="915"/>
      <w:bookmarkEnd w:id="916"/>
      <w:bookmarkEnd w:id="917"/>
      <w:bookmarkEnd w:id="918"/>
      <w:bookmarkEnd w:id="919"/>
      <w:bookmarkEnd w:id="920"/>
      <w:bookmarkEnd w:id="921"/>
      <w:bookmarkEnd w:id="922"/>
      <w:bookmarkEnd w:id="923"/>
      <w:bookmarkEnd w:id="924"/>
      <w:bookmarkEnd w:id="925"/>
      <w:bookmarkStart w:id="949" w:name="_Toc19981"/>
      <w:bookmarkStart w:id="950" w:name="_Toc192127131"/>
      <w:bookmarkStart w:id="951" w:name="_Toc195922057"/>
    </w:p>
    <w:p w14:paraId="4D8A80F8">
      <w:pPr>
        <w:pStyle w:val="3"/>
        <w:bidi w:val="0"/>
        <w:jc w:val="center"/>
        <w:rPr>
          <w:rFonts w:hint="eastAsia" w:ascii="宋体" w:hAnsi="宋体" w:eastAsia="宋体" w:cs="宋体"/>
        </w:rPr>
      </w:pPr>
      <w:bookmarkStart w:id="952" w:name="_Toc24700"/>
      <w:r>
        <w:rPr>
          <w:rFonts w:hint="eastAsia" w:ascii="宋体" w:hAnsi="宋体" w:eastAsia="宋体" w:cs="宋体"/>
        </w:rPr>
        <w:t>一、响应函及响应函附录</w:t>
      </w:r>
    </w:p>
    <w:p w14:paraId="343C6835">
      <w:pPr>
        <w:wordWrap w:val="0"/>
        <w:spacing w:line="420" w:lineRule="exact"/>
        <w:jc w:val="center"/>
        <w:outlineLvl w:val="2"/>
        <w:rPr>
          <w:rFonts w:ascii="宋体" w:hAnsi="宋体" w:cs="宋体"/>
          <w:b/>
          <w:sz w:val="24"/>
          <w:szCs w:val="24"/>
        </w:rPr>
      </w:pPr>
      <w:r>
        <w:rPr>
          <w:rFonts w:hint="eastAsia" w:ascii="宋体" w:hAnsi="宋体" w:cs="宋体"/>
          <w:b/>
          <w:sz w:val="24"/>
          <w:szCs w:val="24"/>
        </w:rPr>
        <w:t>（一）响应函</w:t>
      </w:r>
      <w:bookmarkEnd w:id="952"/>
    </w:p>
    <w:p w14:paraId="576DD01C">
      <w:pPr>
        <w:pStyle w:val="13"/>
        <w:wordWrap w:val="0"/>
        <w:spacing w:line="420" w:lineRule="exact"/>
        <w:ind w:left="112" w:leftChars="0" w:hanging="112" w:hangingChars="4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549BEB65">
      <w:pPr>
        <w:spacing w:line="520" w:lineRule="exact"/>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rPr>
        <w:t>我们收到了</w:t>
      </w:r>
      <w:r>
        <w:rPr>
          <w:rFonts w:hint="eastAsia" w:ascii="宋体" w:hAnsi="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cs="宋体"/>
          <w:sz w:val="24"/>
          <w:szCs w:val="24"/>
          <w:lang w:val="en-US" w:eastAsia="zh-CN"/>
        </w:rPr>
        <w:t>竞争性磋商</w:t>
      </w:r>
      <w:r>
        <w:rPr>
          <w:rFonts w:hint="eastAsia" w:ascii="宋体" w:hAnsi="宋体" w:eastAsia="宋体" w:cs="宋体"/>
          <w:sz w:val="24"/>
          <w:szCs w:val="24"/>
        </w:rPr>
        <w:t>文件，经详细研究，我们决定参</w:t>
      </w:r>
    </w:p>
    <w:p w14:paraId="62B41D88">
      <w:pPr>
        <w:spacing w:line="520" w:lineRule="exact"/>
        <w:jc w:val="left"/>
        <w:rPr>
          <w:rFonts w:hint="eastAsia" w:ascii="宋体" w:hAnsi="宋体" w:eastAsia="宋体" w:cs="宋体"/>
          <w:sz w:val="24"/>
          <w:szCs w:val="24"/>
        </w:rPr>
      </w:pPr>
      <w:r>
        <w:rPr>
          <w:rFonts w:hint="eastAsia" w:ascii="宋体" w:hAnsi="宋体" w:eastAsia="宋体" w:cs="宋体"/>
          <w:sz w:val="24"/>
          <w:szCs w:val="24"/>
        </w:rPr>
        <w:t>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的招标投标活动，我们郑重声明以下诸点并负法律责任。</w:t>
      </w:r>
    </w:p>
    <w:p w14:paraId="50850232">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文件中规定的条款和要求，投标总报价为大写：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E3DC24">
      <w:pPr>
        <w:spacing w:line="520" w:lineRule="exact"/>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供货期</w:t>
      </w:r>
      <w:r>
        <w:rPr>
          <w:rFonts w:hint="eastAsia" w:ascii="宋体" w:hAnsi="宋体" w:eastAsia="宋体" w:cs="宋体"/>
          <w:sz w:val="24"/>
          <w:szCs w:val="24"/>
          <w:u w:val="single"/>
        </w:rPr>
        <w:t xml:space="preserve">      </w:t>
      </w:r>
      <w:r>
        <w:rPr>
          <w:rFonts w:hint="eastAsia" w:ascii="宋体" w:hAnsi="宋体" w:eastAsia="宋体" w:cs="宋体"/>
          <w:sz w:val="24"/>
          <w:szCs w:val="24"/>
        </w:rPr>
        <w:t>，质保期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D949CB">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20AA7B36">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3．我方在此承诺，我方若能成交，保证在</w:t>
      </w:r>
      <w:r>
        <w:rPr>
          <w:rFonts w:hint="eastAsia" w:ascii="宋体" w:hAnsi="宋体" w:eastAsia="宋体" w:cs="宋体"/>
          <w:sz w:val="24"/>
          <w:szCs w:val="24"/>
          <w:lang w:eastAsia="zh-CN"/>
        </w:rPr>
        <w:t>供货及安装期</w:t>
      </w:r>
      <w:r>
        <w:rPr>
          <w:rFonts w:hint="eastAsia" w:ascii="宋体" w:hAnsi="宋体" w:eastAsia="宋体" w:cs="宋体"/>
          <w:sz w:val="24"/>
          <w:szCs w:val="24"/>
        </w:rPr>
        <w:t>内，全面履行竞争性磋商文件中规定的职责和义务。</w:t>
      </w:r>
    </w:p>
    <w:p w14:paraId="59A4B1DE">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4．如果我方成交，我方保证按合同条款中规定的内容执行；我方保证质量达到国家及行业现行标准规范规定的合格要求，并按竞争性磋商文件和有关规定提交一切资料。</w:t>
      </w:r>
    </w:p>
    <w:p w14:paraId="448D81A9">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5．我方同意从60日历天（从磋商截止之日算起）内保持响应文件有效，在此有效期内，我方将严格遵守响应文件的承诺，本响应文件对我方具有约束力，并可随时被接受成交。</w:t>
      </w:r>
    </w:p>
    <w:p w14:paraId="448D77A5">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6．除响应文件所提交的资料外，我方同意随时接受贵方的检查、询问，并根据磋商需要补充贵方要求提交的资料。</w:t>
      </w:r>
    </w:p>
    <w:p w14:paraId="433FA659">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7．如果我方成交后，我方没有任何正当理由而拒签合同，同时我方愿意补偿该项工作因我方延误所造成的经济损失。</w:t>
      </w:r>
    </w:p>
    <w:p w14:paraId="2C1BD967">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8．我方愿接受合同条款中规定的合同价款计算和调整方式。</w:t>
      </w:r>
    </w:p>
    <w:p w14:paraId="61A8747C">
      <w:pPr>
        <w:pStyle w:val="13"/>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9．除非另外达成协议并生效，贵方的成交通知书和本响应文件将成为约束我方的合同文件组成部分。</w:t>
      </w:r>
    </w:p>
    <w:p w14:paraId="0E9FDD05">
      <w:pPr>
        <w:pStyle w:val="13"/>
        <w:wordWrap w:val="0"/>
        <w:spacing w:line="420" w:lineRule="exact"/>
        <w:ind w:left="0" w:leftChars="0" w:firstLine="0" w:firstLineChars="0"/>
        <w:rPr>
          <w:rFonts w:hint="eastAsia" w:ascii="宋体" w:hAnsi="宋体" w:eastAsia="宋体" w:cs="宋体"/>
          <w:sz w:val="24"/>
          <w:szCs w:val="24"/>
        </w:rPr>
      </w:pPr>
    </w:p>
    <w:p w14:paraId="5A44905C">
      <w:pPr>
        <w:pStyle w:val="13"/>
        <w:wordWrap w:val="0"/>
        <w:spacing w:line="420" w:lineRule="exact"/>
        <w:ind w:left="0" w:leftChars="0" w:firstLine="0" w:firstLineChars="0"/>
        <w:rPr>
          <w:rFonts w:hint="eastAsia" w:ascii="宋体" w:hAnsi="宋体" w:eastAsia="宋体" w:cs="宋体"/>
          <w:sz w:val="24"/>
          <w:szCs w:val="24"/>
        </w:rPr>
      </w:pPr>
    </w:p>
    <w:p w14:paraId="3C48C7AE">
      <w:pPr>
        <w:pStyle w:val="13"/>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（单位电子签章）</w:t>
      </w:r>
    </w:p>
    <w:p w14:paraId="6C1746E3">
      <w:pPr>
        <w:pStyle w:val="13"/>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（电子签名或盖章）</w:t>
      </w:r>
    </w:p>
    <w:p w14:paraId="376C4045">
      <w:pPr>
        <w:pStyle w:val="13"/>
        <w:wordWrap w:val="0"/>
        <w:spacing w:line="420" w:lineRule="exact"/>
        <w:ind w:left="1" w:leftChars="0" w:firstLine="480" w:firstLineChars="200"/>
        <w:jc w:val="right"/>
        <w:rPr>
          <w:rFonts w:hint="eastAsia" w:ascii="宋体" w:hAnsi="宋体" w:eastAsia="宋体" w:cs="宋体"/>
          <w:b/>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630A80">
      <w:pPr>
        <w:wordWrap w:val="0"/>
        <w:autoSpaceDE w:val="0"/>
        <w:autoSpaceDN w:val="0"/>
        <w:adjustRightInd w:val="0"/>
        <w:snapToGrid w:val="0"/>
        <w:spacing w:line="360" w:lineRule="auto"/>
        <w:ind w:firstLine="4320" w:firstLineChars="1800"/>
        <w:jc w:val="right"/>
        <w:rPr>
          <w:rFonts w:hint="eastAsia" w:ascii="宋体" w:hAnsi="宋体" w:eastAsia="宋体" w:cs="宋体"/>
          <w:kern w:val="0"/>
          <w:sz w:val="24"/>
          <w:szCs w:val="24"/>
        </w:rPr>
        <w:sectPr>
          <w:footerReference r:id="rId10" w:type="default"/>
          <w:pgSz w:w="11906" w:h="16838"/>
          <w:pgMar w:top="1134" w:right="1134" w:bottom="1134" w:left="1417" w:header="851" w:footer="850" w:gutter="0"/>
          <w:pgNumType w:fmt="numberInDash"/>
          <w:cols w:space="720" w:num="1"/>
          <w:rtlGutter w:val="0"/>
          <w:docGrid w:linePitch="312" w:charSpace="0"/>
        </w:sectPr>
      </w:pPr>
    </w:p>
    <w:bookmarkEnd w:id="949"/>
    <w:p w14:paraId="2FAA87C8">
      <w:pPr>
        <w:wordWrap w:val="0"/>
        <w:spacing w:line="420" w:lineRule="exact"/>
        <w:jc w:val="center"/>
        <w:outlineLvl w:val="2"/>
        <w:rPr>
          <w:rFonts w:ascii="宋体" w:hAnsi="宋体" w:cs="宋体"/>
          <w:b/>
          <w:bCs/>
          <w:sz w:val="28"/>
          <w:szCs w:val="28"/>
        </w:rPr>
      </w:pPr>
      <w:bookmarkStart w:id="953" w:name="_Toc8862"/>
      <w:bookmarkStart w:id="954" w:name="_Toc11398"/>
      <w:bookmarkStart w:id="955" w:name="_Toc28667"/>
      <w:r>
        <w:rPr>
          <w:rFonts w:hint="eastAsia" w:ascii="宋体" w:hAnsi="宋体" w:cs="宋体"/>
          <w:b/>
          <w:bCs/>
          <w:sz w:val="28"/>
          <w:szCs w:val="28"/>
        </w:rPr>
        <w:t>（二）响应函附录</w:t>
      </w:r>
      <w:bookmarkEnd w:id="953"/>
      <w:bookmarkEnd w:id="954"/>
    </w:p>
    <w:tbl>
      <w:tblPr>
        <w:tblStyle w:val="23"/>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6DE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883E36C">
            <w:pPr>
              <w:wordWrap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EF6BE12">
            <w:pPr>
              <w:wordWrap w:val="0"/>
              <w:rPr>
                <w:rFonts w:ascii="宋体" w:hAnsi="宋体" w:cs="宋体"/>
                <w:sz w:val="24"/>
                <w:szCs w:val="24"/>
              </w:rPr>
            </w:pPr>
          </w:p>
        </w:tc>
      </w:tr>
      <w:tr w14:paraId="740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184375D">
            <w:pPr>
              <w:wordWrap w:val="0"/>
              <w:jc w:val="center"/>
              <w:rPr>
                <w:rFonts w:ascii="宋体" w:hAnsi="宋体" w:cs="宋体"/>
                <w:sz w:val="24"/>
                <w:szCs w:val="24"/>
              </w:rPr>
            </w:pPr>
            <w:r>
              <w:rPr>
                <w:rFonts w:hint="eastAsia" w:ascii="宋体" w:hAnsi="宋体" w:cs="宋体"/>
                <w:sz w:val="24"/>
                <w:szCs w:val="24"/>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75E05326">
            <w:pPr>
              <w:wordWrap w:val="0"/>
              <w:rPr>
                <w:rFonts w:ascii="宋体" w:hAnsi="宋体" w:cs="宋体"/>
                <w:sz w:val="24"/>
                <w:szCs w:val="24"/>
              </w:rPr>
            </w:pPr>
          </w:p>
        </w:tc>
      </w:tr>
      <w:tr w14:paraId="7174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18CBE25">
            <w:pPr>
              <w:wordWrap w:val="0"/>
              <w:jc w:val="center"/>
              <w:rPr>
                <w:rFonts w:ascii="宋体" w:hAnsi="宋体" w:cs="宋体"/>
                <w:sz w:val="24"/>
                <w:szCs w:val="24"/>
              </w:rPr>
            </w:pPr>
            <w:r>
              <w:rPr>
                <w:rFonts w:hint="eastAsia" w:ascii="宋体" w:hAnsi="宋体" w:cs="宋体"/>
                <w:sz w:val="24"/>
                <w:szCs w:val="24"/>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06F94D68">
            <w:pPr>
              <w:wordWrap w:val="0"/>
              <w:rPr>
                <w:rFonts w:ascii="宋体" w:hAnsi="宋体" w:cs="宋体"/>
                <w:sz w:val="24"/>
                <w:szCs w:val="24"/>
              </w:rPr>
            </w:pPr>
            <w:r>
              <w:rPr>
                <w:rFonts w:hint="eastAsia" w:ascii="宋体" w:hAnsi="宋体" w:cs="宋体"/>
                <w:sz w:val="24"/>
                <w:szCs w:val="24"/>
              </w:rPr>
              <w:t>（大写）</w:t>
            </w:r>
          </w:p>
        </w:tc>
        <w:tc>
          <w:tcPr>
            <w:tcW w:w="3726" w:type="dxa"/>
            <w:tcBorders>
              <w:top w:val="single" w:color="auto" w:sz="4" w:space="0"/>
              <w:left w:val="single" w:color="auto" w:sz="4" w:space="0"/>
              <w:bottom w:val="single" w:color="auto" w:sz="4" w:space="0"/>
              <w:right w:val="single" w:color="auto" w:sz="4" w:space="0"/>
            </w:tcBorders>
            <w:vAlign w:val="center"/>
          </w:tcPr>
          <w:p w14:paraId="67420286">
            <w:pPr>
              <w:wordWrap w:val="0"/>
              <w:rPr>
                <w:rFonts w:ascii="宋体" w:hAnsi="宋体" w:cs="宋体"/>
                <w:sz w:val="24"/>
                <w:szCs w:val="24"/>
              </w:rPr>
            </w:pPr>
            <w:r>
              <w:rPr>
                <w:rFonts w:hint="eastAsia" w:ascii="宋体" w:hAnsi="宋体" w:cs="宋体"/>
                <w:sz w:val="24"/>
                <w:szCs w:val="24"/>
              </w:rPr>
              <w:t>（小写）</w:t>
            </w:r>
          </w:p>
        </w:tc>
      </w:tr>
      <w:tr w14:paraId="3F3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68109B0D">
            <w:pPr>
              <w:wordWrap w:val="0"/>
              <w:ind w:firstLine="480"/>
              <w:jc w:val="center"/>
              <w:rPr>
                <w:rFonts w:ascii="宋体" w:hAnsi="宋体" w:cs="宋体"/>
                <w:sz w:val="24"/>
                <w:szCs w:val="24"/>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781AE36">
            <w:pPr>
              <w:wordWrap w:val="0"/>
              <w:rPr>
                <w:rFonts w:ascii="宋体" w:hAnsi="宋体" w:cs="宋体"/>
                <w:sz w:val="24"/>
                <w:szCs w:val="24"/>
              </w:rPr>
            </w:pPr>
            <w:r>
              <w:rPr>
                <w:rFonts w:hint="eastAsia" w:ascii="宋体" w:hAnsi="宋体" w:cs="宋体"/>
                <w:sz w:val="24"/>
                <w:szCs w:val="24"/>
              </w:rPr>
              <w:t>（供应商应在此填列第一次报价，但以供应商最后一次的磋商报价为成交价）</w:t>
            </w:r>
          </w:p>
        </w:tc>
      </w:tr>
      <w:tr w14:paraId="1C1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141C5FE">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供货期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FE9B059">
            <w:pPr>
              <w:wordWrap w:val="0"/>
              <w:rPr>
                <w:rFonts w:ascii="宋体" w:hAnsi="宋体" w:cs="宋体"/>
                <w:sz w:val="24"/>
                <w:szCs w:val="24"/>
              </w:rPr>
            </w:pPr>
          </w:p>
        </w:tc>
      </w:tr>
      <w:tr w14:paraId="0A5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5A7D056">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3DB02B72">
            <w:pPr>
              <w:wordWrap w:val="0"/>
              <w:rPr>
                <w:rFonts w:ascii="宋体" w:hAnsi="宋体" w:cs="宋体"/>
                <w:sz w:val="24"/>
                <w:szCs w:val="24"/>
              </w:rPr>
            </w:pPr>
          </w:p>
        </w:tc>
      </w:tr>
      <w:tr w14:paraId="585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49DBF63">
            <w:pPr>
              <w:wordWrap w:val="0"/>
              <w:jc w:val="center"/>
              <w:rPr>
                <w:rFonts w:hint="default" w:ascii="宋体" w:hAnsi="宋体" w:cs="宋体"/>
                <w:sz w:val="24"/>
                <w:szCs w:val="24"/>
                <w:lang w:val="en-US" w:eastAsia="zh-CN"/>
              </w:rPr>
            </w:pPr>
            <w:r>
              <w:rPr>
                <w:rFonts w:hint="eastAsia" w:ascii="宋体" w:hAnsi="宋体" w:cs="宋体"/>
                <w:sz w:val="24"/>
                <w:szCs w:val="24"/>
                <w:lang w:val="en-US" w:eastAsia="zh-CN"/>
              </w:rPr>
              <w:t>质保期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652A7E">
            <w:pPr>
              <w:wordWrap w:val="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p>
        </w:tc>
      </w:tr>
      <w:tr w14:paraId="2BBB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558A261">
            <w:pPr>
              <w:wordWrap w:val="0"/>
              <w:jc w:val="center"/>
              <w:rPr>
                <w:rFonts w:ascii="宋体" w:hAnsi="宋体" w:cs="宋体"/>
                <w:sz w:val="24"/>
                <w:szCs w:val="24"/>
              </w:rPr>
            </w:pPr>
            <w:r>
              <w:rPr>
                <w:rFonts w:hint="eastAsia" w:ascii="宋体" w:hAnsi="宋体" w:cs="宋体"/>
                <w:sz w:val="24"/>
                <w:szCs w:val="24"/>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6AFFD3E">
            <w:pPr>
              <w:wordWrap w:val="0"/>
              <w:rPr>
                <w:rFonts w:ascii="宋体" w:hAnsi="宋体" w:cs="宋体"/>
                <w:sz w:val="24"/>
                <w:szCs w:val="24"/>
              </w:rPr>
            </w:pPr>
          </w:p>
        </w:tc>
      </w:tr>
      <w:tr w14:paraId="72C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3E36E250">
            <w:pPr>
              <w:wordWrap w:val="0"/>
              <w:jc w:val="center"/>
              <w:rPr>
                <w:rFonts w:ascii="宋体" w:hAnsi="宋体" w:cs="宋体"/>
                <w:sz w:val="24"/>
                <w:szCs w:val="24"/>
              </w:rPr>
            </w:pPr>
            <w:r>
              <w:rPr>
                <w:rFonts w:hint="eastAsia" w:ascii="宋体" w:hAnsi="宋体" w:cs="宋体"/>
                <w:sz w:val="24"/>
                <w:szCs w:val="24"/>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860C607">
            <w:pPr>
              <w:wordWrap w:val="0"/>
              <w:jc w:val="center"/>
              <w:rPr>
                <w:rFonts w:ascii="宋体" w:hAnsi="宋体" w:cs="宋体"/>
                <w:sz w:val="24"/>
                <w:szCs w:val="24"/>
                <w:lang w:val="ru-RU"/>
              </w:rPr>
            </w:pPr>
          </w:p>
        </w:tc>
      </w:tr>
    </w:tbl>
    <w:p w14:paraId="7B91246F">
      <w:pPr>
        <w:wordWrap w:val="0"/>
        <w:spacing w:line="420" w:lineRule="exact"/>
        <w:rPr>
          <w:rFonts w:ascii="宋体" w:hAnsi="宋体" w:cs="宋体"/>
          <w:sz w:val="24"/>
        </w:rPr>
      </w:pPr>
    </w:p>
    <w:p w14:paraId="26F35708">
      <w:pPr>
        <w:wordWrap w:val="0"/>
        <w:spacing w:line="420" w:lineRule="exact"/>
        <w:rPr>
          <w:rFonts w:ascii="宋体" w:hAnsi="宋体" w:cs="宋体"/>
          <w:sz w:val="24"/>
        </w:rPr>
      </w:pPr>
    </w:p>
    <w:p w14:paraId="3F407F44">
      <w:pPr>
        <w:wordWrap w:val="0"/>
        <w:spacing w:line="420" w:lineRule="exact"/>
        <w:rPr>
          <w:rFonts w:ascii="宋体" w:hAnsi="宋体" w:cs="宋体"/>
          <w:sz w:val="24"/>
          <w:szCs w:val="24"/>
        </w:rPr>
      </w:pPr>
    </w:p>
    <w:p w14:paraId="6A45953C">
      <w:pPr>
        <w:wordWrap w:val="0"/>
        <w:spacing w:line="420" w:lineRule="exact"/>
        <w:jc w:val="right"/>
        <w:rPr>
          <w:rFonts w:ascii="宋体" w:hAnsi="宋体" w:cs="宋体"/>
          <w:sz w:val="24"/>
          <w:szCs w:val="24"/>
        </w:rPr>
      </w:pPr>
      <w:r>
        <w:rPr>
          <w:rFonts w:hint="eastAsia" w:ascii="宋体" w:hAnsi="宋体" w:cs="宋体"/>
          <w:sz w:val="24"/>
          <w:szCs w:val="24"/>
        </w:rPr>
        <w:t>供应商法定代表人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或其授权委托人(电子签名或盖章)</w:t>
      </w:r>
      <w:r>
        <w:rPr>
          <w:rFonts w:hint="eastAsia" w:ascii="宋体" w:hAnsi="宋体" w:cs="宋体"/>
          <w:sz w:val="24"/>
          <w:szCs w:val="24"/>
          <w:u w:val="single"/>
        </w:rPr>
        <w:t xml:space="preserve">              </w:t>
      </w:r>
      <w:r>
        <w:rPr>
          <w:rFonts w:hint="eastAsia" w:ascii="宋体" w:hAnsi="宋体" w:cs="宋体"/>
          <w:sz w:val="24"/>
          <w:szCs w:val="24"/>
        </w:rPr>
        <w:t>供应商(单位电子签章)：</w:t>
      </w:r>
      <w:r>
        <w:rPr>
          <w:rFonts w:hint="eastAsia" w:ascii="宋体" w:hAnsi="宋体" w:cs="宋体"/>
          <w:sz w:val="24"/>
          <w:szCs w:val="24"/>
          <w:u w:val="single"/>
        </w:rPr>
        <w:t xml:space="preserve">                  </w:t>
      </w:r>
    </w:p>
    <w:p w14:paraId="3B422E06">
      <w:pPr>
        <w:wordWrap w:val="0"/>
        <w:spacing w:line="420" w:lineRule="exact"/>
        <w:jc w:val="right"/>
        <w:rPr>
          <w:rFonts w:ascii="宋体" w:hAnsi="宋体" w:cs="宋体"/>
          <w:b/>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C9D3386">
      <w:pPr>
        <w:wordWrap w:val="0"/>
        <w:ind w:firstLine="420"/>
        <w:rPr>
          <w:rFonts w:ascii="宋体" w:hAnsi="宋体" w:cs="宋体"/>
          <w:sz w:val="24"/>
          <w:szCs w:val="24"/>
        </w:rPr>
      </w:pPr>
      <w:r>
        <w:rPr>
          <w:rFonts w:hint="eastAsia" w:ascii="宋体" w:hAnsi="宋体" w:cs="宋体"/>
          <w:sz w:val="24"/>
          <w:szCs w:val="24"/>
        </w:rPr>
        <w:br w:type="page"/>
      </w:r>
    </w:p>
    <w:p w14:paraId="21DC4578">
      <w:pPr>
        <w:pStyle w:val="3"/>
        <w:bidi w:val="0"/>
        <w:jc w:val="center"/>
        <w:rPr>
          <w:rFonts w:hint="eastAsia" w:ascii="宋体" w:hAnsi="宋体" w:eastAsia="宋体" w:cs="宋体"/>
        </w:rPr>
      </w:pPr>
      <w:bookmarkStart w:id="956" w:name="_Toc466298161"/>
      <w:bookmarkStart w:id="957" w:name="_Toc2481"/>
      <w:bookmarkStart w:id="958" w:name="_Toc31033"/>
      <w:bookmarkStart w:id="959" w:name="_Toc918"/>
      <w:bookmarkStart w:id="960" w:name="_Toc8120"/>
      <w:r>
        <w:rPr>
          <w:rFonts w:hint="eastAsia" w:ascii="宋体" w:hAnsi="宋体" w:eastAsia="宋体" w:cs="宋体"/>
        </w:rPr>
        <w:t>二、分项报价表</w:t>
      </w:r>
    </w:p>
    <w:p w14:paraId="34E22DB6">
      <w:pPr>
        <w:spacing w:line="360" w:lineRule="auto"/>
        <w:rPr>
          <w:rFonts w:hint="eastAsia" w:ascii="宋体" w:hAnsi="宋体"/>
          <w:sz w:val="24"/>
          <w:szCs w:val="24"/>
        </w:rPr>
      </w:pPr>
      <w:r>
        <w:rPr>
          <w:rFonts w:hint="eastAsia" w:ascii="宋体" w:hAnsi="宋体"/>
          <w:sz w:val="24"/>
          <w:szCs w:val="24"/>
        </w:rPr>
        <w:t xml:space="preserve">                                                      金额单位：元</w:t>
      </w:r>
    </w:p>
    <w:tbl>
      <w:tblPr>
        <w:tblStyle w:val="46"/>
        <w:tblpPr w:leftFromText="180" w:rightFromText="180" w:vertAnchor="text" w:horzAnchor="page" w:tblpX="828" w:tblpY="55"/>
        <w:tblOverlap w:val="never"/>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666"/>
        <w:gridCol w:w="1384"/>
        <w:gridCol w:w="1030"/>
        <w:gridCol w:w="909"/>
        <w:gridCol w:w="979"/>
        <w:gridCol w:w="1014"/>
        <w:gridCol w:w="997"/>
        <w:gridCol w:w="1000"/>
      </w:tblGrid>
      <w:tr w14:paraId="5E0D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597" w:type="dxa"/>
            <w:vAlign w:val="center"/>
          </w:tcPr>
          <w:p w14:paraId="2A5E8842">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66" w:type="dxa"/>
            <w:vAlign w:val="center"/>
          </w:tcPr>
          <w:p w14:paraId="51FDDCF1">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384" w:type="dxa"/>
            <w:vAlign w:val="center"/>
          </w:tcPr>
          <w:p w14:paraId="107D306B">
            <w:pPr>
              <w:ind w:left="0" w:leftChars="0"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品牌/</w:t>
            </w:r>
            <w:r>
              <w:rPr>
                <w:rFonts w:hint="eastAsia" w:asciiTheme="minorEastAsia" w:hAnsiTheme="minorEastAsia" w:eastAsiaTheme="minorEastAsia" w:cstheme="minorEastAsia"/>
                <w:color w:val="auto"/>
                <w:sz w:val="24"/>
                <w:szCs w:val="24"/>
                <w:lang w:val="en-US" w:eastAsia="zh-CN"/>
              </w:rPr>
              <w:t>制造商</w:t>
            </w:r>
          </w:p>
        </w:tc>
        <w:tc>
          <w:tcPr>
            <w:tcW w:w="1030" w:type="dxa"/>
            <w:vAlign w:val="center"/>
          </w:tcPr>
          <w:p w14:paraId="564DB791">
            <w:pPr>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规格型号</w:t>
            </w:r>
          </w:p>
        </w:tc>
        <w:tc>
          <w:tcPr>
            <w:tcW w:w="909" w:type="dxa"/>
            <w:vAlign w:val="center"/>
          </w:tcPr>
          <w:p w14:paraId="548C54F9">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979" w:type="dxa"/>
            <w:vAlign w:val="center"/>
          </w:tcPr>
          <w:p w14:paraId="42DA726E">
            <w:pPr>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w:t>
            </w:r>
          </w:p>
        </w:tc>
        <w:tc>
          <w:tcPr>
            <w:tcW w:w="1014" w:type="dxa"/>
            <w:vAlign w:val="center"/>
          </w:tcPr>
          <w:p w14:paraId="08E760D6">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997" w:type="dxa"/>
            <w:vAlign w:val="center"/>
          </w:tcPr>
          <w:p w14:paraId="79750D79">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000" w:type="dxa"/>
            <w:vAlign w:val="center"/>
          </w:tcPr>
          <w:p w14:paraId="2156778E">
            <w:pPr>
              <w:ind w:left="0" w:leftChars="0"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备注</w:t>
            </w:r>
          </w:p>
        </w:tc>
      </w:tr>
      <w:tr w14:paraId="122A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97" w:type="dxa"/>
            <w:vAlign w:val="center"/>
          </w:tcPr>
          <w:p w14:paraId="4444FC02">
            <w:pPr>
              <w:jc w:val="both"/>
              <w:rPr>
                <w:rFonts w:hint="eastAsia" w:asciiTheme="minorEastAsia" w:hAnsiTheme="minorEastAsia" w:eastAsiaTheme="minorEastAsia" w:cstheme="minorEastAsia"/>
                <w:color w:val="auto"/>
                <w:sz w:val="24"/>
                <w:szCs w:val="24"/>
              </w:rPr>
            </w:pPr>
          </w:p>
        </w:tc>
        <w:tc>
          <w:tcPr>
            <w:tcW w:w="1666" w:type="dxa"/>
            <w:vAlign w:val="center"/>
          </w:tcPr>
          <w:p w14:paraId="5509529E">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0D1732DF">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50F49D4F">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6BC12525">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141BE3A9">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2A450569">
            <w:pPr>
              <w:jc w:val="center"/>
              <w:rPr>
                <w:rFonts w:hint="eastAsia" w:asciiTheme="minorEastAsia" w:hAnsiTheme="minorEastAsia" w:eastAsiaTheme="minorEastAsia" w:cstheme="minorEastAsia"/>
                <w:color w:val="auto"/>
                <w:sz w:val="24"/>
                <w:szCs w:val="24"/>
              </w:rPr>
            </w:pPr>
          </w:p>
        </w:tc>
        <w:tc>
          <w:tcPr>
            <w:tcW w:w="997" w:type="dxa"/>
            <w:vAlign w:val="center"/>
          </w:tcPr>
          <w:p w14:paraId="1F291BCC">
            <w:pPr>
              <w:jc w:val="center"/>
              <w:rPr>
                <w:rFonts w:hint="eastAsia" w:asciiTheme="minorEastAsia" w:hAnsiTheme="minorEastAsia" w:eastAsiaTheme="minorEastAsia" w:cstheme="minorEastAsia"/>
                <w:color w:val="auto"/>
                <w:sz w:val="24"/>
                <w:szCs w:val="24"/>
              </w:rPr>
            </w:pPr>
          </w:p>
        </w:tc>
        <w:tc>
          <w:tcPr>
            <w:tcW w:w="1000" w:type="dxa"/>
            <w:vAlign w:val="center"/>
          </w:tcPr>
          <w:p w14:paraId="43C904C9">
            <w:pPr>
              <w:jc w:val="center"/>
              <w:rPr>
                <w:rFonts w:hint="eastAsia" w:asciiTheme="minorEastAsia" w:hAnsiTheme="minorEastAsia" w:eastAsiaTheme="minorEastAsia" w:cstheme="minorEastAsia"/>
                <w:color w:val="auto"/>
                <w:sz w:val="24"/>
                <w:szCs w:val="24"/>
                <w:lang w:val="en-US" w:eastAsia="zh-CN"/>
              </w:rPr>
            </w:pPr>
          </w:p>
        </w:tc>
      </w:tr>
      <w:tr w14:paraId="786C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4A19C756">
            <w:pPr>
              <w:jc w:val="both"/>
              <w:rPr>
                <w:rFonts w:hint="eastAsia" w:asciiTheme="minorEastAsia" w:hAnsiTheme="minorEastAsia" w:eastAsiaTheme="minorEastAsia" w:cstheme="minorEastAsia"/>
                <w:b/>
                <w:bCs/>
                <w:color w:val="auto"/>
                <w:sz w:val="24"/>
                <w:szCs w:val="24"/>
              </w:rPr>
            </w:pPr>
          </w:p>
        </w:tc>
        <w:tc>
          <w:tcPr>
            <w:tcW w:w="1666" w:type="dxa"/>
            <w:vAlign w:val="center"/>
          </w:tcPr>
          <w:p w14:paraId="6B9295AC">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2D90BA2">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414124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73D403FE">
            <w:pPr>
              <w:jc w:val="both"/>
              <w:rPr>
                <w:rFonts w:hint="eastAsia" w:asciiTheme="minorEastAsia" w:hAnsiTheme="minorEastAsia" w:eastAsiaTheme="minorEastAsia" w:cstheme="minorEastAsia"/>
                <w:b/>
                <w:bCs/>
                <w:color w:val="auto"/>
                <w:sz w:val="24"/>
                <w:szCs w:val="24"/>
                <w:lang w:val="en-US" w:eastAsia="zh-CN"/>
              </w:rPr>
            </w:pPr>
          </w:p>
        </w:tc>
        <w:tc>
          <w:tcPr>
            <w:tcW w:w="979" w:type="dxa"/>
            <w:vAlign w:val="center"/>
          </w:tcPr>
          <w:p w14:paraId="3B324B5E">
            <w:pPr>
              <w:jc w:val="both"/>
              <w:rPr>
                <w:rFonts w:hint="eastAsia" w:asciiTheme="minorEastAsia" w:hAnsiTheme="minorEastAsia" w:eastAsiaTheme="minorEastAsia" w:cstheme="minorEastAsia"/>
                <w:b/>
                <w:bCs/>
                <w:color w:val="auto"/>
                <w:sz w:val="24"/>
                <w:szCs w:val="24"/>
                <w:lang w:val="en-US" w:eastAsia="zh-CN"/>
              </w:rPr>
            </w:pPr>
          </w:p>
        </w:tc>
        <w:tc>
          <w:tcPr>
            <w:tcW w:w="1014" w:type="dxa"/>
            <w:vAlign w:val="center"/>
          </w:tcPr>
          <w:p w14:paraId="26143D20">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6C0682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1A7B178">
            <w:pPr>
              <w:jc w:val="center"/>
              <w:rPr>
                <w:rFonts w:hint="eastAsia" w:asciiTheme="minorEastAsia" w:hAnsiTheme="minorEastAsia" w:eastAsiaTheme="minorEastAsia" w:cstheme="minorEastAsia"/>
                <w:b/>
                <w:bCs/>
                <w:color w:val="auto"/>
                <w:sz w:val="24"/>
                <w:szCs w:val="24"/>
              </w:rPr>
            </w:pPr>
          </w:p>
        </w:tc>
      </w:tr>
      <w:tr w14:paraId="1F96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7578AB3A">
            <w:pPr>
              <w:jc w:val="both"/>
              <w:rPr>
                <w:rFonts w:hint="eastAsia" w:asciiTheme="minorEastAsia" w:hAnsiTheme="minorEastAsia" w:eastAsiaTheme="minorEastAsia" w:cstheme="minorEastAsia"/>
                <w:color w:val="auto"/>
                <w:sz w:val="24"/>
                <w:szCs w:val="24"/>
              </w:rPr>
            </w:pPr>
          </w:p>
        </w:tc>
        <w:tc>
          <w:tcPr>
            <w:tcW w:w="1666" w:type="dxa"/>
            <w:vAlign w:val="center"/>
          </w:tcPr>
          <w:p w14:paraId="5F6A2B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56797CF1">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3C3F5F2E">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0F86AE6F">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AE3FA32">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4EA13">
            <w:pPr>
              <w:jc w:val="center"/>
              <w:rPr>
                <w:rFonts w:hint="eastAsia" w:asciiTheme="minorEastAsia" w:hAnsiTheme="minorEastAsia" w:eastAsiaTheme="minorEastAsia" w:cstheme="minorEastAsia"/>
                <w:color w:val="auto"/>
                <w:sz w:val="24"/>
                <w:szCs w:val="24"/>
              </w:rPr>
            </w:pPr>
          </w:p>
        </w:tc>
        <w:tc>
          <w:tcPr>
            <w:tcW w:w="997" w:type="dxa"/>
            <w:vAlign w:val="center"/>
          </w:tcPr>
          <w:p w14:paraId="52CC5E32">
            <w:pPr>
              <w:jc w:val="center"/>
              <w:rPr>
                <w:rFonts w:hint="eastAsia" w:asciiTheme="minorEastAsia" w:hAnsiTheme="minorEastAsia" w:eastAsiaTheme="minorEastAsia" w:cstheme="minorEastAsia"/>
                <w:color w:val="auto"/>
                <w:sz w:val="24"/>
                <w:szCs w:val="24"/>
              </w:rPr>
            </w:pPr>
          </w:p>
        </w:tc>
        <w:tc>
          <w:tcPr>
            <w:tcW w:w="1000" w:type="dxa"/>
            <w:vAlign w:val="center"/>
          </w:tcPr>
          <w:p w14:paraId="59E8FC43">
            <w:pPr>
              <w:jc w:val="center"/>
              <w:rPr>
                <w:rFonts w:hint="eastAsia" w:asciiTheme="minorEastAsia" w:hAnsiTheme="minorEastAsia" w:eastAsiaTheme="minorEastAsia" w:cstheme="minorEastAsia"/>
                <w:color w:val="auto"/>
                <w:sz w:val="24"/>
                <w:szCs w:val="24"/>
                <w:lang w:val="en-US" w:eastAsia="zh-CN"/>
              </w:rPr>
            </w:pPr>
          </w:p>
        </w:tc>
      </w:tr>
      <w:tr w14:paraId="5E79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5C783287">
            <w:pPr>
              <w:jc w:val="both"/>
              <w:rPr>
                <w:rFonts w:hint="eastAsia" w:asciiTheme="minorEastAsia" w:hAnsiTheme="minorEastAsia" w:eastAsiaTheme="minorEastAsia" w:cstheme="minorEastAsia"/>
                <w:color w:val="auto"/>
                <w:sz w:val="24"/>
                <w:szCs w:val="24"/>
              </w:rPr>
            </w:pPr>
          </w:p>
        </w:tc>
        <w:tc>
          <w:tcPr>
            <w:tcW w:w="1666" w:type="dxa"/>
            <w:vAlign w:val="center"/>
          </w:tcPr>
          <w:p w14:paraId="0F93E471">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682A527B">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10ABE1E0">
            <w:pPr>
              <w:jc w:val="center"/>
              <w:rPr>
                <w:rFonts w:hint="eastAsia" w:asciiTheme="minorEastAsia" w:hAnsiTheme="minorEastAsia" w:eastAsiaTheme="minorEastAsia" w:cstheme="minorEastAsia"/>
                <w:color w:val="auto"/>
                <w:sz w:val="24"/>
                <w:szCs w:val="24"/>
              </w:rPr>
            </w:pPr>
          </w:p>
        </w:tc>
        <w:tc>
          <w:tcPr>
            <w:tcW w:w="909" w:type="dxa"/>
            <w:vAlign w:val="center"/>
          </w:tcPr>
          <w:p w14:paraId="27143DB0">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53811AF">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77808">
            <w:pPr>
              <w:jc w:val="center"/>
              <w:rPr>
                <w:rFonts w:hint="eastAsia" w:asciiTheme="minorEastAsia" w:hAnsiTheme="minorEastAsia" w:eastAsiaTheme="minorEastAsia" w:cstheme="minorEastAsia"/>
                <w:color w:val="auto"/>
                <w:sz w:val="24"/>
                <w:szCs w:val="24"/>
              </w:rPr>
            </w:pPr>
          </w:p>
        </w:tc>
        <w:tc>
          <w:tcPr>
            <w:tcW w:w="997" w:type="dxa"/>
            <w:vAlign w:val="center"/>
          </w:tcPr>
          <w:p w14:paraId="5171CEF9">
            <w:pPr>
              <w:jc w:val="center"/>
              <w:rPr>
                <w:rFonts w:hint="eastAsia" w:asciiTheme="minorEastAsia" w:hAnsiTheme="minorEastAsia" w:eastAsiaTheme="minorEastAsia" w:cstheme="minorEastAsia"/>
                <w:color w:val="auto"/>
                <w:sz w:val="24"/>
                <w:szCs w:val="24"/>
              </w:rPr>
            </w:pPr>
          </w:p>
        </w:tc>
        <w:tc>
          <w:tcPr>
            <w:tcW w:w="1000" w:type="dxa"/>
            <w:vAlign w:val="center"/>
          </w:tcPr>
          <w:p w14:paraId="5EA77D95">
            <w:pPr>
              <w:jc w:val="center"/>
              <w:rPr>
                <w:rFonts w:hint="eastAsia" w:asciiTheme="minorEastAsia" w:hAnsiTheme="minorEastAsia" w:eastAsiaTheme="minorEastAsia" w:cstheme="minorEastAsia"/>
                <w:color w:val="auto"/>
                <w:sz w:val="24"/>
                <w:szCs w:val="24"/>
                <w:lang w:val="en-US" w:eastAsia="zh-CN"/>
              </w:rPr>
            </w:pPr>
          </w:p>
        </w:tc>
      </w:tr>
      <w:tr w14:paraId="539F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08E8B3E5">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2B2AFC80">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303A4FB5">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1F3B9F48">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D5242CE">
            <w:pPr>
              <w:jc w:val="both"/>
              <w:rPr>
                <w:rFonts w:hint="eastAsia" w:asciiTheme="minorEastAsia" w:hAnsiTheme="minorEastAsia" w:eastAsiaTheme="minorEastAsia" w:cstheme="minorEastAsia"/>
                <w:b/>
                <w:bCs/>
                <w:color w:val="auto"/>
                <w:sz w:val="24"/>
                <w:szCs w:val="24"/>
              </w:rPr>
            </w:pPr>
          </w:p>
        </w:tc>
        <w:tc>
          <w:tcPr>
            <w:tcW w:w="979" w:type="dxa"/>
            <w:vAlign w:val="center"/>
          </w:tcPr>
          <w:p w14:paraId="5623F783">
            <w:pPr>
              <w:jc w:val="both"/>
              <w:rPr>
                <w:rFonts w:hint="eastAsia" w:asciiTheme="minorEastAsia" w:hAnsiTheme="minorEastAsia" w:eastAsiaTheme="minorEastAsia" w:cstheme="minorEastAsia"/>
                <w:b/>
                <w:bCs/>
                <w:color w:val="auto"/>
                <w:sz w:val="24"/>
                <w:szCs w:val="24"/>
              </w:rPr>
            </w:pPr>
          </w:p>
        </w:tc>
        <w:tc>
          <w:tcPr>
            <w:tcW w:w="1014" w:type="dxa"/>
            <w:vAlign w:val="center"/>
          </w:tcPr>
          <w:p w14:paraId="160CC1AE">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11BACBAE">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0B6FD59">
            <w:pPr>
              <w:jc w:val="center"/>
              <w:rPr>
                <w:rFonts w:hint="eastAsia" w:asciiTheme="minorEastAsia" w:hAnsiTheme="minorEastAsia" w:eastAsiaTheme="minorEastAsia" w:cstheme="minorEastAsia"/>
                <w:b/>
                <w:bCs/>
                <w:color w:val="auto"/>
                <w:sz w:val="24"/>
                <w:szCs w:val="24"/>
              </w:rPr>
            </w:pPr>
          </w:p>
        </w:tc>
      </w:tr>
      <w:tr w14:paraId="12CC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133CB4E3">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5CC5547E">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E82E191">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327526E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943DB04">
            <w:pPr>
              <w:jc w:val="both"/>
              <w:rPr>
                <w:rFonts w:hint="eastAsia" w:asciiTheme="minorEastAsia" w:hAnsiTheme="minorEastAsia" w:eastAsiaTheme="minorEastAsia" w:cstheme="minorEastAsia"/>
                <w:b/>
                <w:bCs/>
                <w:color w:val="auto"/>
                <w:sz w:val="24"/>
                <w:szCs w:val="24"/>
              </w:rPr>
            </w:pPr>
          </w:p>
        </w:tc>
        <w:tc>
          <w:tcPr>
            <w:tcW w:w="979" w:type="dxa"/>
            <w:vAlign w:val="center"/>
          </w:tcPr>
          <w:p w14:paraId="73CB36CC">
            <w:pPr>
              <w:jc w:val="both"/>
              <w:rPr>
                <w:rFonts w:hint="eastAsia" w:asciiTheme="minorEastAsia" w:hAnsiTheme="minorEastAsia" w:eastAsiaTheme="minorEastAsia" w:cstheme="minorEastAsia"/>
                <w:b/>
                <w:bCs/>
                <w:color w:val="auto"/>
                <w:sz w:val="24"/>
                <w:szCs w:val="24"/>
              </w:rPr>
            </w:pPr>
          </w:p>
        </w:tc>
        <w:tc>
          <w:tcPr>
            <w:tcW w:w="1014" w:type="dxa"/>
            <w:vAlign w:val="center"/>
          </w:tcPr>
          <w:p w14:paraId="0D37ABE7">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E8D0215">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1B577A2">
            <w:pPr>
              <w:jc w:val="center"/>
              <w:rPr>
                <w:rFonts w:hint="eastAsia" w:asciiTheme="minorEastAsia" w:hAnsiTheme="minorEastAsia" w:eastAsiaTheme="minorEastAsia" w:cstheme="minorEastAsia"/>
                <w:b/>
                <w:bCs/>
                <w:color w:val="auto"/>
                <w:sz w:val="24"/>
                <w:szCs w:val="24"/>
              </w:rPr>
            </w:pPr>
          </w:p>
        </w:tc>
      </w:tr>
      <w:tr w14:paraId="6591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47C5288F">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74C3AE7A">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42DB586A">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795BB0C">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065BDAA3">
            <w:pPr>
              <w:jc w:val="both"/>
              <w:rPr>
                <w:rFonts w:hint="eastAsia" w:asciiTheme="minorEastAsia" w:hAnsiTheme="minorEastAsia" w:eastAsiaTheme="minorEastAsia" w:cstheme="minorEastAsia"/>
                <w:b/>
                <w:bCs/>
                <w:color w:val="auto"/>
                <w:sz w:val="24"/>
                <w:szCs w:val="24"/>
              </w:rPr>
            </w:pPr>
          </w:p>
        </w:tc>
        <w:tc>
          <w:tcPr>
            <w:tcW w:w="979" w:type="dxa"/>
            <w:vAlign w:val="center"/>
          </w:tcPr>
          <w:p w14:paraId="0ACD90D4">
            <w:pPr>
              <w:jc w:val="both"/>
              <w:rPr>
                <w:rFonts w:hint="eastAsia" w:asciiTheme="minorEastAsia" w:hAnsiTheme="minorEastAsia" w:eastAsiaTheme="minorEastAsia" w:cstheme="minorEastAsia"/>
                <w:b/>
                <w:bCs/>
                <w:color w:val="auto"/>
                <w:sz w:val="24"/>
                <w:szCs w:val="24"/>
              </w:rPr>
            </w:pPr>
          </w:p>
        </w:tc>
        <w:tc>
          <w:tcPr>
            <w:tcW w:w="1014" w:type="dxa"/>
            <w:vAlign w:val="center"/>
          </w:tcPr>
          <w:p w14:paraId="626B7236">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43C29BC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52C8015">
            <w:pPr>
              <w:jc w:val="center"/>
              <w:rPr>
                <w:rFonts w:hint="eastAsia" w:asciiTheme="minorEastAsia" w:hAnsiTheme="minorEastAsia" w:eastAsiaTheme="minorEastAsia" w:cstheme="minorEastAsia"/>
                <w:b/>
                <w:bCs/>
                <w:color w:val="auto"/>
                <w:sz w:val="24"/>
                <w:szCs w:val="24"/>
              </w:rPr>
            </w:pPr>
          </w:p>
        </w:tc>
      </w:tr>
      <w:tr w14:paraId="4EA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17EDE27F">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531B2727">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F8E76DD">
            <w:pPr>
              <w:jc w:val="center"/>
              <w:rPr>
                <w:rFonts w:hint="eastAsia" w:asciiTheme="minorEastAsia" w:hAnsiTheme="minorEastAsia" w:eastAsiaTheme="minorEastAsia" w:cstheme="minorEastAsia"/>
                <w:color w:val="auto"/>
                <w:sz w:val="24"/>
                <w:szCs w:val="24"/>
              </w:rPr>
            </w:pPr>
          </w:p>
        </w:tc>
        <w:tc>
          <w:tcPr>
            <w:tcW w:w="1030" w:type="dxa"/>
            <w:vAlign w:val="center"/>
          </w:tcPr>
          <w:p w14:paraId="5A76E4DB">
            <w:pPr>
              <w:jc w:val="center"/>
              <w:rPr>
                <w:rFonts w:hint="eastAsia" w:asciiTheme="minorEastAsia" w:hAnsiTheme="minorEastAsia" w:eastAsiaTheme="minorEastAsia" w:cstheme="minorEastAsia"/>
                <w:color w:val="auto"/>
                <w:sz w:val="24"/>
                <w:szCs w:val="24"/>
              </w:rPr>
            </w:pPr>
          </w:p>
        </w:tc>
        <w:tc>
          <w:tcPr>
            <w:tcW w:w="909" w:type="dxa"/>
            <w:vAlign w:val="center"/>
          </w:tcPr>
          <w:p w14:paraId="2E44C498">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CBD44F4">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3E0E415A">
            <w:pPr>
              <w:jc w:val="center"/>
              <w:rPr>
                <w:rFonts w:hint="eastAsia" w:asciiTheme="minorEastAsia" w:hAnsiTheme="minorEastAsia" w:eastAsiaTheme="minorEastAsia" w:cstheme="minorEastAsia"/>
                <w:color w:val="auto"/>
                <w:sz w:val="24"/>
                <w:szCs w:val="24"/>
              </w:rPr>
            </w:pPr>
          </w:p>
        </w:tc>
        <w:tc>
          <w:tcPr>
            <w:tcW w:w="997" w:type="dxa"/>
            <w:vAlign w:val="center"/>
          </w:tcPr>
          <w:p w14:paraId="591B06F9">
            <w:pPr>
              <w:jc w:val="center"/>
              <w:rPr>
                <w:rFonts w:hint="eastAsia" w:asciiTheme="minorEastAsia" w:hAnsiTheme="minorEastAsia" w:eastAsiaTheme="minorEastAsia" w:cstheme="minorEastAsia"/>
                <w:color w:val="auto"/>
                <w:sz w:val="24"/>
                <w:szCs w:val="24"/>
              </w:rPr>
            </w:pPr>
          </w:p>
        </w:tc>
        <w:tc>
          <w:tcPr>
            <w:tcW w:w="1000" w:type="dxa"/>
            <w:vAlign w:val="center"/>
          </w:tcPr>
          <w:p w14:paraId="3A25E247">
            <w:pPr>
              <w:jc w:val="center"/>
              <w:rPr>
                <w:rFonts w:hint="eastAsia" w:asciiTheme="minorEastAsia" w:hAnsiTheme="minorEastAsia" w:eastAsiaTheme="minorEastAsia" w:cstheme="minorEastAsia"/>
                <w:color w:val="auto"/>
                <w:sz w:val="24"/>
                <w:szCs w:val="24"/>
              </w:rPr>
            </w:pPr>
          </w:p>
        </w:tc>
      </w:tr>
      <w:tr w14:paraId="73D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65DD01BB">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37BFBE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79D45AF">
            <w:pPr>
              <w:jc w:val="center"/>
              <w:rPr>
                <w:rFonts w:hint="eastAsia" w:asciiTheme="minorEastAsia" w:hAnsiTheme="minorEastAsia" w:eastAsiaTheme="minorEastAsia" w:cstheme="minorEastAsia"/>
                <w:color w:val="auto"/>
                <w:sz w:val="24"/>
                <w:szCs w:val="24"/>
              </w:rPr>
            </w:pPr>
          </w:p>
        </w:tc>
        <w:tc>
          <w:tcPr>
            <w:tcW w:w="1030" w:type="dxa"/>
            <w:vAlign w:val="center"/>
          </w:tcPr>
          <w:p w14:paraId="24E2D79A">
            <w:pPr>
              <w:jc w:val="center"/>
              <w:rPr>
                <w:rFonts w:hint="eastAsia" w:asciiTheme="minorEastAsia" w:hAnsiTheme="minorEastAsia" w:eastAsiaTheme="minorEastAsia" w:cstheme="minorEastAsia"/>
                <w:color w:val="auto"/>
                <w:sz w:val="24"/>
                <w:szCs w:val="24"/>
              </w:rPr>
            </w:pPr>
          </w:p>
        </w:tc>
        <w:tc>
          <w:tcPr>
            <w:tcW w:w="909" w:type="dxa"/>
            <w:vAlign w:val="center"/>
          </w:tcPr>
          <w:p w14:paraId="7C2EF199">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A3616AD">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567A549A">
            <w:pPr>
              <w:jc w:val="center"/>
              <w:rPr>
                <w:rFonts w:hint="eastAsia" w:asciiTheme="minorEastAsia" w:hAnsiTheme="minorEastAsia" w:eastAsiaTheme="minorEastAsia" w:cstheme="minorEastAsia"/>
                <w:color w:val="auto"/>
                <w:sz w:val="24"/>
                <w:szCs w:val="24"/>
              </w:rPr>
            </w:pPr>
          </w:p>
        </w:tc>
        <w:tc>
          <w:tcPr>
            <w:tcW w:w="997" w:type="dxa"/>
            <w:vAlign w:val="center"/>
          </w:tcPr>
          <w:p w14:paraId="369945B9">
            <w:pPr>
              <w:jc w:val="center"/>
              <w:rPr>
                <w:rFonts w:hint="eastAsia" w:asciiTheme="minorEastAsia" w:hAnsiTheme="minorEastAsia" w:eastAsiaTheme="minorEastAsia" w:cstheme="minorEastAsia"/>
                <w:color w:val="auto"/>
                <w:sz w:val="24"/>
                <w:szCs w:val="24"/>
              </w:rPr>
            </w:pPr>
          </w:p>
        </w:tc>
        <w:tc>
          <w:tcPr>
            <w:tcW w:w="1000" w:type="dxa"/>
            <w:vAlign w:val="center"/>
          </w:tcPr>
          <w:p w14:paraId="478ABFA9">
            <w:pPr>
              <w:jc w:val="center"/>
              <w:rPr>
                <w:rFonts w:hint="eastAsia" w:asciiTheme="minorEastAsia" w:hAnsiTheme="minorEastAsia" w:eastAsiaTheme="minorEastAsia" w:cstheme="minorEastAsia"/>
                <w:color w:val="auto"/>
                <w:sz w:val="24"/>
                <w:szCs w:val="24"/>
              </w:rPr>
            </w:pPr>
          </w:p>
        </w:tc>
      </w:tr>
      <w:tr w14:paraId="41A0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9576" w:type="dxa"/>
            <w:gridSpan w:val="9"/>
            <w:vAlign w:val="center"/>
          </w:tcPr>
          <w:p w14:paraId="7678E0E6">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总价小写：</w:t>
            </w:r>
          </w:p>
          <w:p w14:paraId="274C58F5">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总价大写：</w:t>
            </w:r>
          </w:p>
        </w:tc>
      </w:tr>
    </w:tbl>
    <w:p w14:paraId="3D810573">
      <w:pPr>
        <w:rPr>
          <w:rFonts w:hint="eastAsia" w:ascii="宋体" w:hAnsi="宋体"/>
          <w:color w:val="000000"/>
          <w:sz w:val="24"/>
          <w:szCs w:val="24"/>
          <w:lang w:val="zh-CN"/>
        </w:rPr>
      </w:pPr>
    </w:p>
    <w:p w14:paraId="0192958C">
      <w:pPr>
        <w:rPr>
          <w:rFonts w:hint="eastAsia" w:ascii="宋体" w:hAnsi="宋体"/>
          <w:color w:val="000000"/>
          <w:sz w:val="21"/>
          <w:szCs w:val="21"/>
          <w:lang w:val="zh-CN"/>
        </w:rPr>
      </w:pPr>
      <w:r>
        <w:rPr>
          <w:rFonts w:hint="eastAsia" w:ascii="宋体" w:hAnsi="宋体"/>
          <w:color w:val="000000"/>
          <w:sz w:val="21"/>
          <w:szCs w:val="21"/>
          <w:lang w:val="zh-CN"/>
        </w:rPr>
        <w:t>供应商报价应包含采购清单所有内容且包含税金、运费、安装调试等相关伴随服务以及售后服务等一切费用。</w:t>
      </w:r>
    </w:p>
    <w:p w14:paraId="70CB4433">
      <w:pPr>
        <w:ind w:right="480" w:firstLine="5040" w:firstLineChars="2100"/>
        <w:rPr>
          <w:rFonts w:hint="default" w:eastAsia="宋体"/>
          <w:sz w:val="24"/>
          <w:szCs w:val="24"/>
          <w:lang w:val="en-US" w:eastAsia="zh-CN"/>
        </w:rPr>
      </w:pPr>
      <w:r>
        <w:rPr>
          <w:rFonts w:hint="eastAsia"/>
          <w:sz w:val="24"/>
          <w:szCs w:val="24"/>
        </w:rPr>
        <w:t xml:space="preserve">供应商（单位电子签章）： </w:t>
      </w:r>
      <w:r>
        <w:rPr>
          <w:rFonts w:hint="eastAsia"/>
          <w:sz w:val="24"/>
          <w:szCs w:val="24"/>
          <w:lang w:val="en-US" w:eastAsia="zh-CN"/>
        </w:rPr>
        <w:t xml:space="preserve">  </w:t>
      </w:r>
    </w:p>
    <w:p w14:paraId="5701B310">
      <w:pPr>
        <w:adjustRightInd w:val="0"/>
        <w:snapToGrid w:val="0"/>
        <w:spacing w:line="360" w:lineRule="auto"/>
        <w:jc w:val="right"/>
        <w:rPr>
          <w:rFonts w:hint="eastAsia" w:ascii="宋体" w:hAnsi="宋体"/>
          <w:sz w:val="24"/>
          <w:szCs w:val="24"/>
        </w:rPr>
      </w:pPr>
    </w:p>
    <w:p w14:paraId="45C0F24D">
      <w:pPr>
        <w:adjustRightInd w:val="0"/>
        <w:snapToGrid w:val="0"/>
        <w:spacing w:line="360" w:lineRule="auto"/>
        <w:jc w:val="right"/>
        <w:rPr>
          <w:rFonts w:hint="eastAsia"/>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或其委托代理人（电子签名或盖章）：</w:t>
      </w:r>
      <w:r>
        <w:rPr>
          <w:rFonts w:ascii="宋体" w:hAnsi="宋体"/>
          <w:sz w:val="24"/>
          <w:szCs w:val="24"/>
        </w:rPr>
        <w:t xml:space="preserve"> </w:t>
      </w:r>
      <w:r>
        <w:rPr>
          <w:rFonts w:hint="eastAsia"/>
          <w:sz w:val="24"/>
          <w:szCs w:val="24"/>
        </w:rPr>
        <w:t xml:space="preserve">               </w:t>
      </w:r>
    </w:p>
    <w:p w14:paraId="71F29DD9">
      <w:pPr>
        <w:ind w:right="360" w:firstLine="720" w:firstLineChars="300"/>
        <w:jc w:val="right"/>
        <w:rPr>
          <w:rFonts w:hint="eastAsia"/>
          <w:sz w:val="24"/>
          <w:szCs w:val="24"/>
        </w:rPr>
      </w:pPr>
      <w:r>
        <w:rPr>
          <w:rFonts w:hint="eastAsia"/>
          <w:sz w:val="24"/>
          <w:szCs w:val="24"/>
        </w:rPr>
        <w:t>年      月      日</w:t>
      </w:r>
    </w:p>
    <w:p w14:paraId="74C6B22A">
      <w:pPr>
        <w:rPr>
          <w:rFonts w:hint="eastAsia"/>
          <w:sz w:val="24"/>
          <w:szCs w:val="24"/>
        </w:rPr>
      </w:pPr>
    </w:p>
    <w:p w14:paraId="1EA325BB">
      <w:pPr>
        <w:bidi w:val="0"/>
        <w:rPr>
          <w:rFonts w:hint="eastAsia"/>
        </w:rPr>
      </w:pPr>
    </w:p>
    <w:p w14:paraId="33943593">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三</w:t>
      </w:r>
      <w:r>
        <w:rPr>
          <w:rFonts w:hint="eastAsia" w:ascii="宋体" w:hAnsi="宋体" w:eastAsia="宋体" w:cs="宋体"/>
        </w:rPr>
        <w:t>、</w:t>
      </w:r>
      <w:bookmarkEnd w:id="956"/>
      <w:bookmarkEnd w:id="957"/>
      <w:bookmarkEnd w:id="958"/>
      <w:bookmarkEnd w:id="959"/>
      <w:r>
        <w:rPr>
          <w:rFonts w:hint="eastAsia" w:ascii="宋体" w:hAnsi="宋体" w:eastAsia="宋体" w:cs="宋体"/>
        </w:rPr>
        <w:t>法定代表人（单位负责人）身份证明</w:t>
      </w:r>
      <w:bookmarkEnd w:id="960"/>
    </w:p>
    <w:p w14:paraId="76AC9607">
      <w:pPr>
        <w:wordWrap w:val="0"/>
        <w:spacing w:line="440" w:lineRule="exact"/>
        <w:ind w:firstLine="420"/>
        <w:jc w:val="center"/>
        <w:rPr>
          <w:rFonts w:ascii="宋体" w:hAnsi="宋体" w:cs="宋体"/>
          <w:szCs w:val="21"/>
        </w:rPr>
      </w:pPr>
    </w:p>
    <w:p w14:paraId="6B658BCA">
      <w:pPr>
        <w:wordWrap w:val="0"/>
        <w:spacing w:line="4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69AF24B5">
      <w:pPr>
        <w:wordWrap w:val="0"/>
        <w:spacing w:line="420" w:lineRule="exact"/>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2949A74C">
      <w:pPr>
        <w:wordWrap w:val="0"/>
        <w:spacing w:line="4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0B5B1362">
      <w:pPr>
        <w:wordWrap w:val="0"/>
        <w:spacing w:line="4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14:paraId="6168AE90">
      <w:pPr>
        <w:wordWrap w:val="0"/>
        <w:spacing w:line="4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0FDD8DE5">
      <w:pPr>
        <w:wordWrap w:val="0"/>
        <w:spacing w:line="420" w:lineRule="exact"/>
        <w:ind w:firstLine="48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5CC52752">
      <w:pPr>
        <w:wordWrap w:val="0"/>
        <w:spacing w:line="420" w:lineRule="exact"/>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p>
    <w:p w14:paraId="361AFFBF">
      <w:pPr>
        <w:wordWrap w:val="0"/>
        <w:spacing w:line="420" w:lineRule="exact"/>
        <w:ind w:firstLine="480"/>
        <w:rPr>
          <w:rFonts w:ascii="宋体" w:hAnsi="宋体" w:cs="宋体"/>
          <w:sz w:val="24"/>
          <w:szCs w:val="24"/>
        </w:rPr>
      </w:pPr>
      <w:r>
        <w:rPr>
          <w:rFonts w:hint="eastAsia" w:ascii="宋体" w:hAnsi="宋体" w:cs="宋体"/>
          <w:sz w:val="24"/>
          <w:szCs w:val="24"/>
        </w:rPr>
        <w:t>特此证明。</w:t>
      </w:r>
    </w:p>
    <w:p w14:paraId="0874998B">
      <w:pPr>
        <w:wordWrap w:val="0"/>
        <w:spacing w:line="420" w:lineRule="exact"/>
        <w:ind w:firstLine="480"/>
        <w:rPr>
          <w:rFonts w:ascii="宋体" w:hAnsi="宋体" w:cs="宋体"/>
          <w:sz w:val="24"/>
          <w:szCs w:val="24"/>
        </w:rPr>
      </w:pPr>
    </w:p>
    <w:p w14:paraId="15097074">
      <w:pPr>
        <w:wordWrap w:val="0"/>
        <w:spacing w:line="420" w:lineRule="exact"/>
        <w:ind w:firstLine="480"/>
        <w:rPr>
          <w:rFonts w:ascii="宋体" w:hAnsi="宋体" w:cs="宋体"/>
          <w:sz w:val="24"/>
          <w:szCs w:val="24"/>
        </w:rPr>
      </w:pPr>
    </w:p>
    <w:p w14:paraId="4AA3815E">
      <w:pPr>
        <w:wordWrap w:val="0"/>
        <w:spacing w:line="420" w:lineRule="exact"/>
        <w:ind w:firstLine="48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12D2BB59">
      <w:pPr>
        <w:wordWrap w:val="0"/>
        <w:spacing w:line="420" w:lineRule="exact"/>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A8FA86D">
      <w:pPr>
        <w:wordWrap w:val="0"/>
        <w:spacing w:line="440" w:lineRule="exact"/>
        <w:rPr>
          <w:rFonts w:ascii="宋体" w:hAnsi="宋体" w:cs="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A5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1" w:hRule="atLeast"/>
          <w:jc w:val="center"/>
        </w:trPr>
        <w:tc>
          <w:tcPr>
            <w:tcW w:w="9638" w:type="dxa"/>
            <w:vAlign w:val="center"/>
          </w:tcPr>
          <w:p w14:paraId="6AEBB4D1">
            <w:pPr>
              <w:wordWrap w:val="0"/>
              <w:spacing w:line="440" w:lineRule="exact"/>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身份证扫描件</w:t>
            </w:r>
          </w:p>
          <w:p w14:paraId="0936DF8C">
            <w:pPr>
              <w:wordWrap w:val="0"/>
              <w:spacing w:line="440" w:lineRule="exact"/>
              <w:jc w:val="center"/>
              <w:rPr>
                <w:rFonts w:ascii="宋体" w:hAnsi="宋体" w:cs="宋体"/>
                <w:sz w:val="24"/>
                <w:szCs w:val="24"/>
              </w:rPr>
            </w:pPr>
          </w:p>
        </w:tc>
      </w:tr>
    </w:tbl>
    <w:p w14:paraId="7364F360">
      <w:pPr>
        <w:wordWrap w:val="0"/>
        <w:ind w:firstLine="420"/>
        <w:rPr>
          <w:rFonts w:ascii="宋体" w:hAnsi="宋体" w:cs="宋体"/>
        </w:rPr>
      </w:pPr>
      <w:r>
        <w:rPr>
          <w:rFonts w:hint="eastAsia" w:ascii="宋体" w:hAnsi="宋体" w:cs="宋体"/>
        </w:rPr>
        <w:br w:type="page"/>
      </w:r>
    </w:p>
    <w:p w14:paraId="0BFC4453">
      <w:pPr>
        <w:bidi w:val="0"/>
        <w:jc w:val="center"/>
        <w:rPr>
          <w:rFonts w:hint="eastAsia"/>
          <w:sz w:val="36"/>
          <w:szCs w:val="44"/>
        </w:rPr>
      </w:pPr>
      <w:bookmarkStart w:id="961" w:name="_Toc10913"/>
      <w:r>
        <w:rPr>
          <w:rFonts w:hint="eastAsia"/>
          <w:sz w:val="36"/>
          <w:szCs w:val="44"/>
        </w:rPr>
        <w:t>授权委托书</w:t>
      </w:r>
      <w:bookmarkEnd w:id="961"/>
    </w:p>
    <w:p w14:paraId="61800195">
      <w:pPr>
        <w:bidi w:val="0"/>
        <w:jc w:val="center"/>
        <w:rPr>
          <w:rFonts w:hint="eastAsia"/>
          <w:sz w:val="36"/>
          <w:szCs w:val="44"/>
        </w:rPr>
      </w:pPr>
    </w:p>
    <w:p w14:paraId="70DA0E03">
      <w:pPr>
        <w:wordWrap w:val="0"/>
        <w:topLinePunct/>
        <w:spacing w:line="4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lang w:eastAsia="zh-CN"/>
        </w:rPr>
        <w:t>名称</w:t>
      </w:r>
      <w:r>
        <w:rPr>
          <w:rFonts w:hint="eastAsia" w:ascii="宋体" w:hAnsi="宋体" w:cs="宋体"/>
          <w:sz w:val="24"/>
          <w:szCs w:val="24"/>
        </w:rPr>
        <w:t>）响应文件、签订合同和处理有关事宜，其法律后果由我方承担。</w:t>
      </w:r>
    </w:p>
    <w:p w14:paraId="2E31B190">
      <w:pPr>
        <w:wordWrap w:val="0"/>
        <w:spacing w:line="4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2E25C0D2">
      <w:pPr>
        <w:wordWrap w:val="0"/>
        <w:spacing w:line="420" w:lineRule="exact"/>
        <w:ind w:firstLine="480"/>
        <w:rPr>
          <w:rFonts w:ascii="宋体" w:hAnsi="宋体" w:cs="宋体"/>
          <w:sz w:val="24"/>
          <w:szCs w:val="24"/>
        </w:rPr>
      </w:pPr>
      <w:r>
        <w:rPr>
          <w:rFonts w:hint="eastAsia" w:ascii="宋体" w:hAnsi="宋体" w:cs="宋体"/>
          <w:sz w:val="24"/>
          <w:szCs w:val="24"/>
        </w:rPr>
        <w:t>代理人无转委托权。</w:t>
      </w:r>
    </w:p>
    <w:p w14:paraId="49A01EC2">
      <w:pPr>
        <w:wordWrap w:val="0"/>
        <w:spacing w:line="420" w:lineRule="exact"/>
        <w:ind w:firstLine="480"/>
        <w:rPr>
          <w:rFonts w:ascii="宋体" w:hAnsi="宋体" w:cs="宋体"/>
          <w:sz w:val="24"/>
          <w:szCs w:val="24"/>
        </w:rPr>
      </w:pPr>
    </w:p>
    <w:p w14:paraId="307C3AAC">
      <w:pPr>
        <w:wordWrap w:val="0"/>
        <w:spacing w:line="420" w:lineRule="exact"/>
        <w:rPr>
          <w:rFonts w:ascii="宋体" w:hAnsi="宋体" w:cs="宋体"/>
          <w:sz w:val="24"/>
          <w:szCs w:val="24"/>
        </w:rPr>
      </w:pPr>
    </w:p>
    <w:p w14:paraId="5FD66973">
      <w:pPr>
        <w:wordWrap w:val="0"/>
        <w:spacing w:line="42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6963774E">
      <w:pPr>
        <w:wordWrap w:val="0"/>
        <w:spacing w:line="420" w:lineRule="exact"/>
        <w:ind w:firstLine="48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（电子签名或盖章）</w:t>
      </w:r>
    </w:p>
    <w:p w14:paraId="3126D893">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2D7E2F23">
      <w:pPr>
        <w:wordWrap w:val="0"/>
        <w:spacing w:line="420" w:lineRule="exact"/>
        <w:ind w:firstLine="48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8CC457A">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39F5C8AD">
      <w:pPr>
        <w:wordWrap w:val="0"/>
        <w:spacing w:line="42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1A29004">
      <w:pPr>
        <w:pStyle w:val="8"/>
        <w:wordWrap w:val="0"/>
        <w:rPr>
          <w:rFonts w:ascii="宋体" w:hAnsi="宋体" w:cs="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0E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45B01868">
            <w:pPr>
              <w:wordWrap w:val="0"/>
              <w:spacing w:line="440" w:lineRule="exact"/>
              <w:jc w:val="center"/>
              <w:rPr>
                <w:rFonts w:ascii="宋体" w:hAnsi="宋体" w:cs="宋体"/>
                <w:sz w:val="24"/>
                <w:szCs w:val="24"/>
              </w:rPr>
            </w:pPr>
            <w:r>
              <w:rPr>
                <w:rFonts w:hint="eastAsia" w:ascii="宋体" w:hAnsi="宋体" w:cs="宋体"/>
                <w:sz w:val="24"/>
                <w:szCs w:val="24"/>
              </w:rPr>
              <w:t>委托代理人身份证扫描件</w:t>
            </w:r>
          </w:p>
          <w:p w14:paraId="72FB8845">
            <w:pPr>
              <w:wordWrap w:val="0"/>
              <w:spacing w:line="440" w:lineRule="exact"/>
              <w:ind w:firstLine="480"/>
              <w:jc w:val="center"/>
              <w:rPr>
                <w:rFonts w:ascii="宋体" w:hAnsi="宋体" w:cs="宋体"/>
                <w:sz w:val="24"/>
                <w:szCs w:val="24"/>
              </w:rPr>
            </w:pPr>
          </w:p>
        </w:tc>
      </w:tr>
    </w:tbl>
    <w:p w14:paraId="75F38371">
      <w:pPr>
        <w:bidi w:val="0"/>
      </w:pPr>
    </w:p>
    <w:p w14:paraId="2B5D7E41">
      <w:pPr>
        <w:pStyle w:val="22"/>
        <w:tabs>
          <w:tab w:val="left" w:pos="945"/>
          <w:tab w:val="left" w:pos="1155"/>
        </w:tabs>
        <w:wordWrap w:val="0"/>
        <w:ind w:firstLine="480"/>
        <w:rPr>
          <w:rFonts w:hint="default" w:ascii="宋体" w:hAnsi="宋体" w:cs="宋体"/>
        </w:rPr>
      </w:pPr>
      <w:r>
        <w:rPr>
          <w:rFonts w:ascii="宋体" w:hAnsi="宋体" w:cs="宋体"/>
        </w:rPr>
        <w:br w:type="page"/>
      </w:r>
    </w:p>
    <w:bookmarkEnd w:id="950"/>
    <w:bookmarkEnd w:id="951"/>
    <w:bookmarkEnd w:id="955"/>
    <w:p w14:paraId="7E8B9B2D">
      <w:pPr>
        <w:pStyle w:val="3"/>
        <w:bidi w:val="0"/>
        <w:jc w:val="center"/>
        <w:rPr>
          <w:rFonts w:hint="eastAsia" w:ascii="宋体" w:hAnsi="宋体" w:eastAsia="宋体" w:cs="宋体"/>
          <w:lang w:val="en-US" w:eastAsia="zh-CN"/>
        </w:rPr>
      </w:pPr>
      <w:bookmarkStart w:id="962" w:name="_Toc29310"/>
      <w:bookmarkStart w:id="963" w:name="_Toc14094"/>
      <w:bookmarkStart w:id="964" w:name="_Toc417567991"/>
      <w:bookmarkStart w:id="965" w:name="_Toc414956975"/>
      <w:bookmarkStart w:id="966" w:name="_Toc398716804"/>
      <w:r>
        <w:rPr>
          <w:rFonts w:hint="eastAsia" w:ascii="宋体" w:hAnsi="宋体" w:eastAsia="宋体" w:cs="宋体"/>
          <w:lang w:val="en-US" w:eastAsia="zh-CN"/>
        </w:rPr>
        <w:t>四、商务条款偏离表</w:t>
      </w:r>
      <w:bookmarkEnd w:id="962"/>
      <w:bookmarkEnd w:id="96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14:paraId="023A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0" w:type="dxa"/>
            <w:noWrap w:val="0"/>
            <w:vAlign w:val="center"/>
          </w:tcPr>
          <w:p w14:paraId="214BAA3E">
            <w:pPr>
              <w:spacing w:before="120"/>
              <w:ind w:left="0" w:leftChars="0" w:firstLine="0" w:firstLineChars="0"/>
              <w:jc w:val="center"/>
              <w:rPr>
                <w:rFonts w:ascii="宋体" w:hAnsi="宋体"/>
                <w:sz w:val="24"/>
                <w:szCs w:val="24"/>
              </w:rPr>
            </w:pPr>
            <w:r>
              <w:rPr>
                <w:rFonts w:hint="eastAsia" w:ascii="宋体" w:hAnsi="宋体"/>
                <w:sz w:val="24"/>
                <w:szCs w:val="24"/>
              </w:rPr>
              <w:t>序号</w:t>
            </w:r>
          </w:p>
        </w:tc>
        <w:tc>
          <w:tcPr>
            <w:tcW w:w="3220" w:type="dxa"/>
            <w:noWrap w:val="0"/>
            <w:vAlign w:val="center"/>
          </w:tcPr>
          <w:p w14:paraId="6C88AA8B">
            <w:pPr>
              <w:spacing w:before="120"/>
              <w:ind w:left="0" w:leftChars="0" w:firstLine="0" w:firstLineChars="0"/>
              <w:jc w:val="center"/>
              <w:rPr>
                <w:rFonts w:ascii="宋体" w:hAnsi="宋体"/>
                <w:sz w:val="24"/>
                <w:szCs w:val="24"/>
              </w:rPr>
            </w:pPr>
            <w:r>
              <w:rPr>
                <w:rFonts w:hint="eastAsia" w:ascii="宋体" w:hAnsi="宋体"/>
                <w:sz w:val="24"/>
                <w:szCs w:val="24"/>
              </w:rPr>
              <w:t>招标文件的商务条款</w:t>
            </w:r>
          </w:p>
        </w:tc>
        <w:tc>
          <w:tcPr>
            <w:tcW w:w="3220" w:type="dxa"/>
            <w:noWrap w:val="0"/>
            <w:vAlign w:val="center"/>
          </w:tcPr>
          <w:p w14:paraId="2D083989">
            <w:pPr>
              <w:spacing w:before="120"/>
              <w:ind w:left="0" w:leftChars="0" w:firstLine="0" w:firstLineChars="0"/>
              <w:jc w:val="center"/>
              <w:rPr>
                <w:rFonts w:ascii="宋体" w:hAnsi="宋体"/>
                <w:sz w:val="24"/>
                <w:szCs w:val="24"/>
              </w:rPr>
            </w:pPr>
            <w:r>
              <w:rPr>
                <w:rFonts w:hint="eastAsia" w:ascii="宋体" w:hAnsi="宋体"/>
                <w:sz w:val="24"/>
                <w:szCs w:val="24"/>
              </w:rPr>
              <w:t>投标文件的商务条款</w:t>
            </w:r>
          </w:p>
        </w:tc>
        <w:tc>
          <w:tcPr>
            <w:tcW w:w="1768" w:type="dxa"/>
            <w:noWrap w:val="0"/>
            <w:vAlign w:val="center"/>
          </w:tcPr>
          <w:p w14:paraId="005ED15F">
            <w:pPr>
              <w:spacing w:before="120"/>
              <w:ind w:left="0" w:leftChars="0" w:firstLine="0" w:firstLineChars="0"/>
              <w:jc w:val="center"/>
              <w:rPr>
                <w:rFonts w:ascii="宋体" w:hAnsi="宋体"/>
                <w:sz w:val="24"/>
                <w:szCs w:val="24"/>
              </w:rPr>
            </w:pPr>
            <w:r>
              <w:rPr>
                <w:rFonts w:hint="eastAsia" w:ascii="宋体" w:hAnsi="宋体"/>
                <w:sz w:val="24"/>
                <w:szCs w:val="24"/>
              </w:rPr>
              <w:t>偏离说明</w:t>
            </w:r>
          </w:p>
        </w:tc>
      </w:tr>
      <w:tr w14:paraId="2BC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8C2B09E">
            <w:pPr>
              <w:spacing w:before="120"/>
              <w:rPr>
                <w:rFonts w:ascii="宋体" w:hAnsi="宋体"/>
                <w:sz w:val="24"/>
                <w:szCs w:val="24"/>
              </w:rPr>
            </w:pPr>
          </w:p>
        </w:tc>
        <w:tc>
          <w:tcPr>
            <w:tcW w:w="3220" w:type="dxa"/>
            <w:noWrap w:val="0"/>
            <w:vAlign w:val="center"/>
          </w:tcPr>
          <w:p w14:paraId="62E99995">
            <w:pPr>
              <w:spacing w:before="120"/>
              <w:rPr>
                <w:rFonts w:ascii="宋体" w:hAnsi="宋体"/>
                <w:sz w:val="24"/>
                <w:szCs w:val="24"/>
              </w:rPr>
            </w:pPr>
          </w:p>
        </w:tc>
        <w:tc>
          <w:tcPr>
            <w:tcW w:w="3220" w:type="dxa"/>
            <w:noWrap w:val="0"/>
            <w:vAlign w:val="center"/>
          </w:tcPr>
          <w:p w14:paraId="6F48AEAD">
            <w:pPr>
              <w:spacing w:before="120"/>
              <w:rPr>
                <w:rFonts w:ascii="宋体" w:hAnsi="宋体"/>
                <w:sz w:val="24"/>
                <w:szCs w:val="24"/>
              </w:rPr>
            </w:pPr>
          </w:p>
        </w:tc>
        <w:tc>
          <w:tcPr>
            <w:tcW w:w="1768" w:type="dxa"/>
            <w:noWrap w:val="0"/>
            <w:vAlign w:val="center"/>
          </w:tcPr>
          <w:p w14:paraId="3EFD9006">
            <w:pPr>
              <w:spacing w:before="120"/>
              <w:rPr>
                <w:rFonts w:ascii="宋体" w:hAnsi="宋体"/>
                <w:sz w:val="24"/>
                <w:szCs w:val="24"/>
              </w:rPr>
            </w:pPr>
          </w:p>
        </w:tc>
      </w:tr>
      <w:tr w14:paraId="7F9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8EEDF74">
            <w:pPr>
              <w:spacing w:before="120"/>
              <w:rPr>
                <w:rFonts w:ascii="宋体" w:hAnsi="宋体"/>
                <w:sz w:val="24"/>
                <w:szCs w:val="24"/>
              </w:rPr>
            </w:pPr>
          </w:p>
        </w:tc>
        <w:tc>
          <w:tcPr>
            <w:tcW w:w="3220" w:type="dxa"/>
            <w:noWrap w:val="0"/>
            <w:vAlign w:val="center"/>
          </w:tcPr>
          <w:p w14:paraId="78799D20">
            <w:pPr>
              <w:spacing w:before="120"/>
              <w:rPr>
                <w:rFonts w:ascii="宋体" w:hAnsi="宋体"/>
                <w:sz w:val="24"/>
                <w:szCs w:val="24"/>
              </w:rPr>
            </w:pPr>
          </w:p>
        </w:tc>
        <w:tc>
          <w:tcPr>
            <w:tcW w:w="3220" w:type="dxa"/>
            <w:noWrap w:val="0"/>
            <w:vAlign w:val="center"/>
          </w:tcPr>
          <w:p w14:paraId="5EFE3F87">
            <w:pPr>
              <w:spacing w:before="120"/>
              <w:rPr>
                <w:rFonts w:ascii="宋体" w:hAnsi="宋体"/>
                <w:sz w:val="24"/>
                <w:szCs w:val="24"/>
              </w:rPr>
            </w:pPr>
          </w:p>
        </w:tc>
        <w:tc>
          <w:tcPr>
            <w:tcW w:w="1768" w:type="dxa"/>
            <w:noWrap w:val="0"/>
            <w:vAlign w:val="center"/>
          </w:tcPr>
          <w:p w14:paraId="6F0B6791">
            <w:pPr>
              <w:spacing w:before="120"/>
              <w:rPr>
                <w:rFonts w:ascii="宋体" w:hAnsi="宋体"/>
                <w:sz w:val="24"/>
                <w:szCs w:val="24"/>
              </w:rPr>
            </w:pPr>
          </w:p>
        </w:tc>
      </w:tr>
      <w:tr w14:paraId="20E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728D23EC">
            <w:pPr>
              <w:spacing w:before="120"/>
              <w:rPr>
                <w:rFonts w:ascii="宋体" w:hAnsi="宋体"/>
                <w:sz w:val="24"/>
                <w:szCs w:val="24"/>
              </w:rPr>
            </w:pPr>
          </w:p>
        </w:tc>
        <w:tc>
          <w:tcPr>
            <w:tcW w:w="3220" w:type="dxa"/>
            <w:noWrap w:val="0"/>
            <w:vAlign w:val="center"/>
          </w:tcPr>
          <w:p w14:paraId="64977B33">
            <w:pPr>
              <w:spacing w:before="120"/>
              <w:rPr>
                <w:rFonts w:ascii="宋体" w:hAnsi="宋体"/>
                <w:sz w:val="24"/>
                <w:szCs w:val="24"/>
              </w:rPr>
            </w:pPr>
          </w:p>
        </w:tc>
        <w:tc>
          <w:tcPr>
            <w:tcW w:w="3220" w:type="dxa"/>
            <w:noWrap w:val="0"/>
            <w:vAlign w:val="center"/>
          </w:tcPr>
          <w:p w14:paraId="0AFEB194">
            <w:pPr>
              <w:spacing w:before="120"/>
              <w:rPr>
                <w:rFonts w:ascii="宋体" w:hAnsi="宋体"/>
                <w:sz w:val="24"/>
                <w:szCs w:val="24"/>
              </w:rPr>
            </w:pPr>
          </w:p>
        </w:tc>
        <w:tc>
          <w:tcPr>
            <w:tcW w:w="1768" w:type="dxa"/>
            <w:noWrap w:val="0"/>
            <w:vAlign w:val="center"/>
          </w:tcPr>
          <w:p w14:paraId="59EF1312">
            <w:pPr>
              <w:spacing w:before="120"/>
              <w:rPr>
                <w:rFonts w:ascii="宋体" w:hAnsi="宋体"/>
                <w:sz w:val="24"/>
                <w:szCs w:val="24"/>
              </w:rPr>
            </w:pPr>
          </w:p>
        </w:tc>
      </w:tr>
      <w:tr w14:paraId="0B0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7D85462">
            <w:pPr>
              <w:spacing w:before="120"/>
              <w:rPr>
                <w:rFonts w:ascii="宋体" w:hAnsi="宋体"/>
                <w:sz w:val="24"/>
                <w:szCs w:val="24"/>
              </w:rPr>
            </w:pPr>
          </w:p>
        </w:tc>
        <w:tc>
          <w:tcPr>
            <w:tcW w:w="3220" w:type="dxa"/>
            <w:noWrap w:val="0"/>
            <w:vAlign w:val="center"/>
          </w:tcPr>
          <w:p w14:paraId="1611F451">
            <w:pPr>
              <w:spacing w:before="120"/>
              <w:rPr>
                <w:rFonts w:ascii="宋体" w:hAnsi="宋体"/>
                <w:sz w:val="24"/>
                <w:szCs w:val="24"/>
              </w:rPr>
            </w:pPr>
          </w:p>
        </w:tc>
        <w:tc>
          <w:tcPr>
            <w:tcW w:w="3220" w:type="dxa"/>
            <w:noWrap w:val="0"/>
            <w:vAlign w:val="center"/>
          </w:tcPr>
          <w:p w14:paraId="4B158DE8">
            <w:pPr>
              <w:spacing w:before="120"/>
              <w:rPr>
                <w:rFonts w:ascii="宋体" w:hAnsi="宋体"/>
                <w:sz w:val="24"/>
                <w:szCs w:val="24"/>
              </w:rPr>
            </w:pPr>
          </w:p>
        </w:tc>
        <w:tc>
          <w:tcPr>
            <w:tcW w:w="1768" w:type="dxa"/>
            <w:noWrap w:val="0"/>
            <w:vAlign w:val="center"/>
          </w:tcPr>
          <w:p w14:paraId="0C3DE5B7">
            <w:pPr>
              <w:spacing w:before="120"/>
              <w:rPr>
                <w:rFonts w:ascii="宋体" w:hAnsi="宋体"/>
                <w:sz w:val="24"/>
                <w:szCs w:val="24"/>
              </w:rPr>
            </w:pPr>
          </w:p>
        </w:tc>
      </w:tr>
      <w:tr w14:paraId="63A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5CE700B">
            <w:pPr>
              <w:spacing w:before="120"/>
              <w:rPr>
                <w:rFonts w:ascii="宋体" w:hAnsi="宋体"/>
                <w:sz w:val="24"/>
                <w:szCs w:val="24"/>
              </w:rPr>
            </w:pPr>
          </w:p>
        </w:tc>
        <w:tc>
          <w:tcPr>
            <w:tcW w:w="3220" w:type="dxa"/>
            <w:noWrap w:val="0"/>
            <w:vAlign w:val="center"/>
          </w:tcPr>
          <w:p w14:paraId="32F28596">
            <w:pPr>
              <w:spacing w:before="120"/>
              <w:rPr>
                <w:rFonts w:ascii="宋体" w:hAnsi="宋体"/>
                <w:sz w:val="24"/>
                <w:szCs w:val="24"/>
              </w:rPr>
            </w:pPr>
          </w:p>
        </w:tc>
        <w:tc>
          <w:tcPr>
            <w:tcW w:w="3220" w:type="dxa"/>
            <w:noWrap w:val="0"/>
            <w:vAlign w:val="center"/>
          </w:tcPr>
          <w:p w14:paraId="2E51AE9B">
            <w:pPr>
              <w:spacing w:before="120"/>
              <w:rPr>
                <w:rFonts w:ascii="宋体" w:hAnsi="宋体"/>
                <w:sz w:val="24"/>
                <w:szCs w:val="24"/>
              </w:rPr>
            </w:pPr>
          </w:p>
        </w:tc>
        <w:tc>
          <w:tcPr>
            <w:tcW w:w="1768" w:type="dxa"/>
            <w:noWrap w:val="0"/>
            <w:vAlign w:val="center"/>
          </w:tcPr>
          <w:p w14:paraId="0E23ED3E">
            <w:pPr>
              <w:spacing w:before="120"/>
              <w:rPr>
                <w:rFonts w:ascii="宋体" w:hAnsi="宋体"/>
                <w:sz w:val="24"/>
                <w:szCs w:val="24"/>
              </w:rPr>
            </w:pPr>
          </w:p>
        </w:tc>
      </w:tr>
      <w:tr w14:paraId="6AA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4B4E1965">
            <w:pPr>
              <w:spacing w:before="120"/>
              <w:rPr>
                <w:rFonts w:ascii="宋体" w:hAnsi="宋体"/>
                <w:sz w:val="24"/>
                <w:szCs w:val="24"/>
              </w:rPr>
            </w:pPr>
          </w:p>
        </w:tc>
        <w:tc>
          <w:tcPr>
            <w:tcW w:w="3220" w:type="dxa"/>
            <w:noWrap w:val="0"/>
            <w:vAlign w:val="center"/>
          </w:tcPr>
          <w:p w14:paraId="39A13798">
            <w:pPr>
              <w:spacing w:before="120"/>
              <w:rPr>
                <w:rFonts w:ascii="宋体" w:hAnsi="宋体"/>
                <w:sz w:val="24"/>
                <w:szCs w:val="24"/>
              </w:rPr>
            </w:pPr>
          </w:p>
        </w:tc>
        <w:tc>
          <w:tcPr>
            <w:tcW w:w="3220" w:type="dxa"/>
            <w:noWrap w:val="0"/>
            <w:vAlign w:val="center"/>
          </w:tcPr>
          <w:p w14:paraId="220ABA96">
            <w:pPr>
              <w:spacing w:before="120"/>
              <w:rPr>
                <w:rFonts w:ascii="宋体" w:hAnsi="宋体"/>
                <w:sz w:val="24"/>
                <w:szCs w:val="24"/>
              </w:rPr>
            </w:pPr>
          </w:p>
        </w:tc>
        <w:tc>
          <w:tcPr>
            <w:tcW w:w="1768" w:type="dxa"/>
            <w:noWrap w:val="0"/>
            <w:vAlign w:val="center"/>
          </w:tcPr>
          <w:p w14:paraId="037B382F">
            <w:pPr>
              <w:spacing w:before="120"/>
              <w:rPr>
                <w:rFonts w:ascii="宋体" w:hAnsi="宋体"/>
                <w:sz w:val="24"/>
                <w:szCs w:val="24"/>
              </w:rPr>
            </w:pPr>
          </w:p>
        </w:tc>
      </w:tr>
      <w:tr w14:paraId="2B9C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5806BB3">
            <w:pPr>
              <w:spacing w:before="120"/>
              <w:rPr>
                <w:rFonts w:ascii="宋体" w:hAnsi="宋体"/>
                <w:sz w:val="24"/>
                <w:szCs w:val="24"/>
              </w:rPr>
            </w:pPr>
          </w:p>
        </w:tc>
        <w:tc>
          <w:tcPr>
            <w:tcW w:w="3220" w:type="dxa"/>
            <w:noWrap w:val="0"/>
            <w:vAlign w:val="center"/>
          </w:tcPr>
          <w:p w14:paraId="63D01DB0">
            <w:pPr>
              <w:spacing w:before="120"/>
              <w:rPr>
                <w:rFonts w:ascii="宋体" w:hAnsi="宋体"/>
                <w:sz w:val="24"/>
                <w:szCs w:val="24"/>
              </w:rPr>
            </w:pPr>
          </w:p>
        </w:tc>
        <w:tc>
          <w:tcPr>
            <w:tcW w:w="3220" w:type="dxa"/>
            <w:noWrap w:val="0"/>
            <w:vAlign w:val="center"/>
          </w:tcPr>
          <w:p w14:paraId="3D2E5E86">
            <w:pPr>
              <w:spacing w:before="120"/>
              <w:rPr>
                <w:rFonts w:ascii="宋体" w:hAnsi="宋体"/>
                <w:sz w:val="24"/>
                <w:szCs w:val="24"/>
              </w:rPr>
            </w:pPr>
          </w:p>
        </w:tc>
        <w:tc>
          <w:tcPr>
            <w:tcW w:w="1768" w:type="dxa"/>
            <w:noWrap w:val="0"/>
            <w:vAlign w:val="center"/>
          </w:tcPr>
          <w:p w14:paraId="6F4F46EE">
            <w:pPr>
              <w:spacing w:before="120"/>
              <w:rPr>
                <w:rFonts w:ascii="宋体" w:hAnsi="宋体"/>
                <w:sz w:val="24"/>
                <w:szCs w:val="24"/>
              </w:rPr>
            </w:pPr>
          </w:p>
        </w:tc>
      </w:tr>
      <w:tr w14:paraId="6E1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E85EEEC">
            <w:pPr>
              <w:spacing w:before="120"/>
              <w:rPr>
                <w:rFonts w:ascii="宋体" w:hAnsi="宋体"/>
                <w:sz w:val="24"/>
                <w:szCs w:val="24"/>
              </w:rPr>
            </w:pPr>
          </w:p>
        </w:tc>
        <w:tc>
          <w:tcPr>
            <w:tcW w:w="3220" w:type="dxa"/>
            <w:noWrap w:val="0"/>
            <w:vAlign w:val="center"/>
          </w:tcPr>
          <w:p w14:paraId="1417A4CF">
            <w:pPr>
              <w:spacing w:before="120"/>
              <w:rPr>
                <w:rFonts w:ascii="宋体" w:hAnsi="宋体"/>
                <w:sz w:val="24"/>
                <w:szCs w:val="24"/>
              </w:rPr>
            </w:pPr>
          </w:p>
        </w:tc>
        <w:tc>
          <w:tcPr>
            <w:tcW w:w="3220" w:type="dxa"/>
            <w:noWrap w:val="0"/>
            <w:vAlign w:val="center"/>
          </w:tcPr>
          <w:p w14:paraId="33B449A3">
            <w:pPr>
              <w:spacing w:before="120"/>
              <w:rPr>
                <w:rFonts w:ascii="宋体" w:hAnsi="宋体"/>
                <w:sz w:val="24"/>
                <w:szCs w:val="24"/>
              </w:rPr>
            </w:pPr>
          </w:p>
        </w:tc>
        <w:tc>
          <w:tcPr>
            <w:tcW w:w="1768" w:type="dxa"/>
            <w:noWrap w:val="0"/>
            <w:vAlign w:val="center"/>
          </w:tcPr>
          <w:p w14:paraId="771912D6">
            <w:pPr>
              <w:spacing w:before="120"/>
              <w:rPr>
                <w:rFonts w:ascii="宋体" w:hAnsi="宋体"/>
                <w:sz w:val="24"/>
                <w:szCs w:val="24"/>
              </w:rPr>
            </w:pPr>
          </w:p>
        </w:tc>
      </w:tr>
      <w:tr w14:paraId="274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70" w:type="dxa"/>
            <w:noWrap w:val="0"/>
            <w:vAlign w:val="center"/>
          </w:tcPr>
          <w:p w14:paraId="559DBFA8">
            <w:pPr>
              <w:spacing w:before="120"/>
              <w:rPr>
                <w:rFonts w:ascii="宋体" w:hAnsi="宋体"/>
                <w:sz w:val="24"/>
                <w:szCs w:val="24"/>
              </w:rPr>
            </w:pPr>
          </w:p>
        </w:tc>
        <w:tc>
          <w:tcPr>
            <w:tcW w:w="3220" w:type="dxa"/>
            <w:noWrap w:val="0"/>
            <w:vAlign w:val="center"/>
          </w:tcPr>
          <w:p w14:paraId="3FD12F82">
            <w:pPr>
              <w:spacing w:before="120"/>
              <w:rPr>
                <w:rFonts w:ascii="宋体" w:hAnsi="宋体"/>
                <w:sz w:val="24"/>
                <w:szCs w:val="24"/>
              </w:rPr>
            </w:pPr>
          </w:p>
        </w:tc>
        <w:tc>
          <w:tcPr>
            <w:tcW w:w="3220" w:type="dxa"/>
            <w:noWrap w:val="0"/>
            <w:vAlign w:val="center"/>
          </w:tcPr>
          <w:p w14:paraId="0DD425A9">
            <w:pPr>
              <w:spacing w:before="120"/>
              <w:rPr>
                <w:rFonts w:ascii="宋体" w:hAnsi="宋体"/>
                <w:sz w:val="24"/>
                <w:szCs w:val="24"/>
              </w:rPr>
            </w:pPr>
          </w:p>
        </w:tc>
        <w:tc>
          <w:tcPr>
            <w:tcW w:w="1768" w:type="dxa"/>
            <w:noWrap w:val="0"/>
            <w:vAlign w:val="center"/>
          </w:tcPr>
          <w:p w14:paraId="2DA989DD">
            <w:pPr>
              <w:spacing w:before="120"/>
              <w:rPr>
                <w:rFonts w:ascii="宋体" w:hAnsi="宋体"/>
                <w:sz w:val="24"/>
                <w:szCs w:val="24"/>
              </w:rPr>
            </w:pPr>
          </w:p>
        </w:tc>
      </w:tr>
    </w:tbl>
    <w:p w14:paraId="097C9657">
      <w:pPr>
        <w:pStyle w:val="9"/>
        <w:jc w:val="both"/>
        <w:rPr>
          <w:rFonts w:hAnsi="宋体"/>
        </w:rPr>
      </w:pPr>
    </w:p>
    <w:p w14:paraId="5B881989">
      <w:pPr>
        <w:pStyle w:val="8"/>
        <w:spacing w:line="360" w:lineRule="auto"/>
        <w:ind w:left="480" w:hanging="480" w:hangingChars="200"/>
        <w:rPr>
          <w:rFonts w:hint="eastAsia" w:ascii="宋体" w:hAnsi="宋体"/>
          <w:sz w:val="24"/>
          <w:szCs w:val="24"/>
        </w:rPr>
      </w:pPr>
      <w:r>
        <w:rPr>
          <w:rFonts w:ascii="宋体" w:hAnsi="宋体"/>
          <w:sz w:val="24"/>
          <w:szCs w:val="24"/>
        </w:rPr>
        <w:t>注：</w:t>
      </w:r>
      <w:r>
        <w:rPr>
          <w:rFonts w:hint="eastAsia"/>
          <w:sz w:val="24"/>
          <w:szCs w:val="24"/>
        </w:rPr>
        <w:t>“偏离说明”一栏必须写明偏离情况，不得以“满足”代替，若无偏离则填写“无”。</w:t>
      </w:r>
    </w:p>
    <w:p w14:paraId="3289A6DD">
      <w:pPr>
        <w:adjustRightInd w:val="0"/>
        <w:snapToGrid w:val="0"/>
        <w:spacing w:line="360" w:lineRule="auto"/>
        <w:jc w:val="right"/>
        <w:rPr>
          <w:rFonts w:hint="eastAsia" w:ascii="宋体" w:hAnsi="宋体"/>
          <w:snapToGrid w:val="0"/>
          <w:kern w:val="0"/>
          <w:sz w:val="24"/>
          <w:szCs w:val="24"/>
        </w:rPr>
      </w:pPr>
      <w:r>
        <w:rPr>
          <w:rFonts w:hint="eastAsia"/>
          <w:snapToGrid w:val="0"/>
          <w:kern w:val="0"/>
          <w:sz w:val="24"/>
          <w:szCs w:val="24"/>
        </w:rPr>
        <w:t xml:space="preserve">   </w:t>
      </w:r>
      <w:r>
        <w:rPr>
          <w:rFonts w:hint="eastAsia" w:ascii="宋体" w:hAnsi="宋体"/>
          <w:snapToGrid w:val="0"/>
          <w:kern w:val="0"/>
          <w:sz w:val="24"/>
          <w:szCs w:val="24"/>
        </w:rPr>
        <w:t xml:space="preserve">供应商（单位电子签章）： </w:t>
      </w:r>
    </w:p>
    <w:p w14:paraId="787F911D">
      <w:pPr>
        <w:pStyle w:val="8"/>
        <w:jc w:val="right"/>
        <w:rPr>
          <w:rFonts w:hint="eastAsia" w:ascii="宋体" w:hAnsi="宋体"/>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73510BEF">
      <w:pPr>
        <w:pStyle w:val="8"/>
        <w:rPr>
          <w:rFonts w:hint="eastAsia" w:ascii="宋体" w:hAnsi="宋体"/>
          <w:sz w:val="24"/>
          <w:szCs w:val="24"/>
        </w:rPr>
      </w:pPr>
    </w:p>
    <w:p w14:paraId="0652D845">
      <w:pPr>
        <w:pStyle w:val="8"/>
        <w:rPr>
          <w:rFonts w:hint="eastAsia"/>
          <w:sz w:val="24"/>
          <w:szCs w:val="24"/>
        </w:rPr>
      </w:pPr>
      <w:r>
        <w:rPr>
          <w:rFonts w:hint="eastAsia" w:ascii="宋体" w:hAnsi="宋体"/>
          <w:sz w:val="24"/>
          <w:szCs w:val="24"/>
        </w:rPr>
        <w:t xml:space="preserve">                                          年      月     日</w:t>
      </w:r>
    </w:p>
    <w:p w14:paraId="44C51356">
      <w:pPr>
        <w:pStyle w:val="21"/>
        <w:ind w:firstLine="240"/>
        <w:rPr>
          <w:rFonts w:hint="eastAsia"/>
          <w:sz w:val="24"/>
          <w:szCs w:val="24"/>
        </w:rPr>
      </w:pPr>
    </w:p>
    <w:p w14:paraId="12263B91">
      <w:pPr>
        <w:pStyle w:val="3"/>
        <w:bidi w:val="0"/>
        <w:ind w:left="0" w:leftChars="0" w:firstLine="0" w:firstLineChars="0"/>
        <w:jc w:val="center"/>
        <w:rPr>
          <w:rFonts w:ascii="宋体" w:hAnsi="宋体"/>
          <w:sz w:val="24"/>
          <w:szCs w:val="24"/>
        </w:rPr>
      </w:pPr>
      <w:bookmarkStart w:id="967" w:name="_Toc26192"/>
      <w:bookmarkStart w:id="968" w:name="_Toc8507"/>
      <w:r>
        <w:rPr>
          <w:rFonts w:hint="eastAsia" w:ascii="宋体" w:hAnsi="宋体" w:eastAsia="宋体" w:cs="宋体"/>
          <w:lang w:val="en-US" w:eastAsia="zh-CN"/>
        </w:rPr>
        <w:t>五、技术条款偏离表</w:t>
      </w:r>
      <w:bookmarkEnd w:id="964"/>
      <w:bookmarkEnd w:id="965"/>
      <w:bookmarkEnd w:id="966"/>
      <w:bookmarkEnd w:id="967"/>
      <w:bookmarkEnd w:id="96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662"/>
        <w:gridCol w:w="2738"/>
        <w:gridCol w:w="1916"/>
      </w:tblGrid>
      <w:tr w14:paraId="6D33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24F8E472">
            <w:pPr>
              <w:spacing w:line="300" w:lineRule="auto"/>
              <w:ind w:left="0" w:leftChars="0" w:firstLine="0" w:firstLineChars="0"/>
              <w:jc w:val="center"/>
              <w:rPr>
                <w:rFonts w:ascii="宋体" w:hAnsi="宋体"/>
                <w:sz w:val="24"/>
                <w:szCs w:val="24"/>
              </w:rPr>
            </w:pPr>
            <w:r>
              <w:rPr>
                <w:rFonts w:hint="eastAsia" w:ascii="宋体" w:hAnsi="宋体"/>
                <w:sz w:val="24"/>
                <w:szCs w:val="24"/>
              </w:rPr>
              <w:t>序号</w:t>
            </w:r>
          </w:p>
        </w:tc>
        <w:tc>
          <w:tcPr>
            <w:tcW w:w="2662" w:type="dxa"/>
            <w:noWrap w:val="0"/>
            <w:vAlign w:val="center"/>
          </w:tcPr>
          <w:p w14:paraId="5C0E9296">
            <w:pPr>
              <w:spacing w:line="300" w:lineRule="auto"/>
              <w:ind w:left="0" w:leftChars="0" w:firstLine="0" w:firstLineChars="0"/>
              <w:jc w:val="center"/>
              <w:rPr>
                <w:rFonts w:ascii="宋体" w:hAnsi="宋体"/>
                <w:sz w:val="24"/>
                <w:szCs w:val="24"/>
              </w:rPr>
            </w:pPr>
            <w:r>
              <w:rPr>
                <w:rFonts w:hint="eastAsia" w:ascii="宋体" w:hAnsi="宋体"/>
                <w:sz w:val="24"/>
                <w:szCs w:val="24"/>
              </w:rPr>
              <w:t>招标文件的技术条款</w:t>
            </w:r>
          </w:p>
        </w:tc>
        <w:tc>
          <w:tcPr>
            <w:tcW w:w="2738" w:type="dxa"/>
            <w:noWrap w:val="0"/>
            <w:vAlign w:val="center"/>
          </w:tcPr>
          <w:p w14:paraId="04B21031">
            <w:pPr>
              <w:spacing w:line="300" w:lineRule="auto"/>
              <w:ind w:left="0" w:leftChars="0" w:firstLine="0" w:firstLineChars="0"/>
              <w:jc w:val="center"/>
              <w:rPr>
                <w:rFonts w:ascii="宋体" w:hAnsi="宋体"/>
                <w:sz w:val="24"/>
                <w:szCs w:val="24"/>
              </w:rPr>
            </w:pPr>
            <w:r>
              <w:rPr>
                <w:rFonts w:hint="eastAsia" w:ascii="宋体" w:hAnsi="宋体"/>
                <w:sz w:val="24"/>
                <w:szCs w:val="24"/>
              </w:rPr>
              <w:t>投标文件的技术条款</w:t>
            </w:r>
          </w:p>
        </w:tc>
        <w:tc>
          <w:tcPr>
            <w:tcW w:w="1916" w:type="dxa"/>
            <w:noWrap w:val="0"/>
            <w:vAlign w:val="center"/>
          </w:tcPr>
          <w:p w14:paraId="1A97A78E">
            <w:pPr>
              <w:spacing w:line="300" w:lineRule="auto"/>
              <w:ind w:left="0" w:leftChars="0" w:firstLine="0" w:firstLineChars="0"/>
              <w:jc w:val="center"/>
              <w:rPr>
                <w:rFonts w:ascii="宋体" w:hAnsi="宋体"/>
                <w:sz w:val="24"/>
                <w:szCs w:val="24"/>
              </w:rPr>
            </w:pPr>
            <w:r>
              <w:rPr>
                <w:rFonts w:hint="eastAsia" w:ascii="宋体" w:hAnsi="宋体"/>
                <w:sz w:val="24"/>
                <w:szCs w:val="24"/>
              </w:rPr>
              <w:t>偏离说明</w:t>
            </w:r>
          </w:p>
        </w:tc>
      </w:tr>
      <w:tr w14:paraId="5B4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48111460">
            <w:pPr>
              <w:spacing w:line="300" w:lineRule="auto"/>
              <w:jc w:val="center"/>
              <w:rPr>
                <w:rFonts w:ascii="宋体" w:hAnsi="宋体"/>
                <w:sz w:val="24"/>
                <w:szCs w:val="24"/>
              </w:rPr>
            </w:pPr>
          </w:p>
        </w:tc>
        <w:tc>
          <w:tcPr>
            <w:tcW w:w="2662" w:type="dxa"/>
            <w:noWrap w:val="0"/>
            <w:vAlign w:val="center"/>
          </w:tcPr>
          <w:p w14:paraId="2AFA926E">
            <w:pPr>
              <w:spacing w:line="300" w:lineRule="auto"/>
              <w:jc w:val="center"/>
              <w:rPr>
                <w:rFonts w:ascii="宋体" w:hAnsi="宋体"/>
                <w:sz w:val="24"/>
                <w:szCs w:val="24"/>
              </w:rPr>
            </w:pPr>
          </w:p>
        </w:tc>
        <w:tc>
          <w:tcPr>
            <w:tcW w:w="2738" w:type="dxa"/>
            <w:noWrap w:val="0"/>
            <w:vAlign w:val="center"/>
          </w:tcPr>
          <w:p w14:paraId="65084532">
            <w:pPr>
              <w:spacing w:line="300" w:lineRule="auto"/>
              <w:jc w:val="center"/>
              <w:rPr>
                <w:rFonts w:ascii="宋体" w:hAnsi="宋体"/>
                <w:sz w:val="24"/>
                <w:szCs w:val="24"/>
              </w:rPr>
            </w:pPr>
          </w:p>
        </w:tc>
        <w:tc>
          <w:tcPr>
            <w:tcW w:w="1916" w:type="dxa"/>
            <w:noWrap w:val="0"/>
            <w:vAlign w:val="center"/>
          </w:tcPr>
          <w:p w14:paraId="7EAA54FB">
            <w:pPr>
              <w:spacing w:line="300" w:lineRule="auto"/>
              <w:jc w:val="center"/>
              <w:rPr>
                <w:rFonts w:ascii="宋体" w:hAnsi="宋体"/>
                <w:sz w:val="24"/>
                <w:szCs w:val="24"/>
              </w:rPr>
            </w:pPr>
          </w:p>
        </w:tc>
      </w:tr>
      <w:tr w14:paraId="217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EFDD3F5">
            <w:pPr>
              <w:spacing w:line="300" w:lineRule="auto"/>
              <w:jc w:val="center"/>
              <w:rPr>
                <w:rFonts w:ascii="宋体" w:hAnsi="宋体"/>
                <w:sz w:val="24"/>
                <w:szCs w:val="24"/>
              </w:rPr>
            </w:pPr>
          </w:p>
        </w:tc>
        <w:tc>
          <w:tcPr>
            <w:tcW w:w="2662" w:type="dxa"/>
            <w:noWrap w:val="0"/>
            <w:vAlign w:val="center"/>
          </w:tcPr>
          <w:p w14:paraId="4FCB6D0C">
            <w:pPr>
              <w:spacing w:line="300" w:lineRule="auto"/>
              <w:jc w:val="center"/>
              <w:rPr>
                <w:rFonts w:ascii="宋体" w:hAnsi="宋体"/>
                <w:sz w:val="24"/>
                <w:szCs w:val="24"/>
              </w:rPr>
            </w:pPr>
          </w:p>
        </w:tc>
        <w:tc>
          <w:tcPr>
            <w:tcW w:w="2738" w:type="dxa"/>
            <w:noWrap w:val="0"/>
            <w:vAlign w:val="center"/>
          </w:tcPr>
          <w:p w14:paraId="070F1209">
            <w:pPr>
              <w:spacing w:line="300" w:lineRule="auto"/>
              <w:jc w:val="center"/>
              <w:rPr>
                <w:rFonts w:ascii="宋体" w:hAnsi="宋体"/>
                <w:sz w:val="24"/>
                <w:szCs w:val="24"/>
              </w:rPr>
            </w:pPr>
          </w:p>
        </w:tc>
        <w:tc>
          <w:tcPr>
            <w:tcW w:w="1916" w:type="dxa"/>
            <w:noWrap w:val="0"/>
            <w:vAlign w:val="center"/>
          </w:tcPr>
          <w:p w14:paraId="0E5B8A3B">
            <w:pPr>
              <w:spacing w:line="300" w:lineRule="auto"/>
              <w:jc w:val="center"/>
              <w:rPr>
                <w:rFonts w:ascii="宋体" w:hAnsi="宋体"/>
                <w:sz w:val="24"/>
                <w:szCs w:val="24"/>
              </w:rPr>
            </w:pPr>
          </w:p>
        </w:tc>
      </w:tr>
      <w:tr w14:paraId="0885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5204974">
            <w:pPr>
              <w:spacing w:line="300" w:lineRule="auto"/>
              <w:jc w:val="center"/>
              <w:rPr>
                <w:rFonts w:ascii="宋体" w:hAnsi="宋体"/>
                <w:sz w:val="24"/>
                <w:szCs w:val="24"/>
              </w:rPr>
            </w:pPr>
          </w:p>
        </w:tc>
        <w:tc>
          <w:tcPr>
            <w:tcW w:w="2662" w:type="dxa"/>
            <w:noWrap w:val="0"/>
            <w:vAlign w:val="center"/>
          </w:tcPr>
          <w:p w14:paraId="2FC481A3">
            <w:pPr>
              <w:spacing w:line="300" w:lineRule="auto"/>
              <w:jc w:val="center"/>
              <w:rPr>
                <w:rFonts w:ascii="宋体" w:hAnsi="宋体"/>
                <w:sz w:val="24"/>
                <w:szCs w:val="24"/>
              </w:rPr>
            </w:pPr>
          </w:p>
        </w:tc>
        <w:tc>
          <w:tcPr>
            <w:tcW w:w="2738" w:type="dxa"/>
            <w:noWrap w:val="0"/>
            <w:vAlign w:val="center"/>
          </w:tcPr>
          <w:p w14:paraId="2B4941AA">
            <w:pPr>
              <w:spacing w:line="300" w:lineRule="auto"/>
              <w:jc w:val="center"/>
              <w:rPr>
                <w:rFonts w:ascii="宋体" w:hAnsi="宋体"/>
                <w:sz w:val="24"/>
                <w:szCs w:val="24"/>
              </w:rPr>
            </w:pPr>
          </w:p>
        </w:tc>
        <w:tc>
          <w:tcPr>
            <w:tcW w:w="1916" w:type="dxa"/>
            <w:noWrap w:val="0"/>
            <w:vAlign w:val="center"/>
          </w:tcPr>
          <w:p w14:paraId="6D199A33">
            <w:pPr>
              <w:spacing w:line="300" w:lineRule="auto"/>
              <w:jc w:val="center"/>
              <w:rPr>
                <w:rFonts w:ascii="宋体" w:hAnsi="宋体"/>
                <w:sz w:val="24"/>
                <w:szCs w:val="24"/>
              </w:rPr>
            </w:pPr>
          </w:p>
        </w:tc>
      </w:tr>
      <w:tr w14:paraId="13DE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8CA424E">
            <w:pPr>
              <w:spacing w:line="300" w:lineRule="auto"/>
              <w:jc w:val="center"/>
              <w:rPr>
                <w:rFonts w:ascii="宋体" w:hAnsi="宋体"/>
                <w:sz w:val="24"/>
                <w:szCs w:val="24"/>
              </w:rPr>
            </w:pPr>
          </w:p>
        </w:tc>
        <w:tc>
          <w:tcPr>
            <w:tcW w:w="2662" w:type="dxa"/>
            <w:noWrap w:val="0"/>
            <w:vAlign w:val="center"/>
          </w:tcPr>
          <w:p w14:paraId="57F9B0B1">
            <w:pPr>
              <w:spacing w:line="300" w:lineRule="auto"/>
              <w:jc w:val="center"/>
              <w:rPr>
                <w:rFonts w:ascii="宋体" w:hAnsi="宋体"/>
                <w:sz w:val="24"/>
                <w:szCs w:val="24"/>
              </w:rPr>
            </w:pPr>
          </w:p>
        </w:tc>
        <w:tc>
          <w:tcPr>
            <w:tcW w:w="2738" w:type="dxa"/>
            <w:noWrap w:val="0"/>
            <w:vAlign w:val="center"/>
          </w:tcPr>
          <w:p w14:paraId="369664C6">
            <w:pPr>
              <w:spacing w:line="300" w:lineRule="auto"/>
              <w:jc w:val="center"/>
              <w:rPr>
                <w:rFonts w:ascii="宋体" w:hAnsi="宋体"/>
                <w:sz w:val="24"/>
                <w:szCs w:val="24"/>
              </w:rPr>
            </w:pPr>
          </w:p>
        </w:tc>
        <w:tc>
          <w:tcPr>
            <w:tcW w:w="1916" w:type="dxa"/>
            <w:noWrap w:val="0"/>
            <w:vAlign w:val="center"/>
          </w:tcPr>
          <w:p w14:paraId="51294678">
            <w:pPr>
              <w:spacing w:line="300" w:lineRule="auto"/>
              <w:jc w:val="center"/>
              <w:rPr>
                <w:rFonts w:ascii="宋体" w:hAnsi="宋体"/>
                <w:sz w:val="24"/>
                <w:szCs w:val="24"/>
              </w:rPr>
            </w:pPr>
          </w:p>
        </w:tc>
      </w:tr>
      <w:tr w14:paraId="445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3546BA54">
            <w:pPr>
              <w:spacing w:line="300" w:lineRule="auto"/>
              <w:jc w:val="center"/>
              <w:rPr>
                <w:rFonts w:ascii="宋体" w:hAnsi="宋体"/>
                <w:sz w:val="24"/>
                <w:szCs w:val="24"/>
              </w:rPr>
            </w:pPr>
          </w:p>
        </w:tc>
        <w:tc>
          <w:tcPr>
            <w:tcW w:w="2662" w:type="dxa"/>
            <w:noWrap w:val="0"/>
            <w:vAlign w:val="center"/>
          </w:tcPr>
          <w:p w14:paraId="12340ECE">
            <w:pPr>
              <w:spacing w:line="300" w:lineRule="auto"/>
              <w:jc w:val="center"/>
              <w:rPr>
                <w:rFonts w:ascii="宋体" w:hAnsi="宋体"/>
                <w:sz w:val="24"/>
                <w:szCs w:val="24"/>
              </w:rPr>
            </w:pPr>
          </w:p>
        </w:tc>
        <w:tc>
          <w:tcPr>
            <w:tcW w:w="2738" w:type="dxa"/>
            <w:noWrap w:val="0"/>
            <w:vAlign w:val="center"/>
          </w:tcPr>
          <w:p w14:paraId="521773D2">
            <w:pPr>
              <w:spacing w:line="300" w:lineRule="auto"/>
              <w:jc w:val="center"/>
              <w:rPr>
                <w:rFonts w:ascii="宋体" w:hAnsi="宋体"/>
                <w:sz w:val="24"/>
                <w:szCs w:val="24"/>
              </w:rPr>
            </w:pPr>
          </w:p>
        </w:tc>
        <w:tc>
          <w:tcPr>
            <w:tcW w:w="1916" w:type="dxa"/>
            <w:noWrap w:val="0"/>
            <w:vAlign w:val="center"/>
          </w:tcPr>
          <w:p w14:paraId="181A4360">
            <w:pPr>
              <w:spacing w:line="300" w:lineRule="auto"/>
              <w:jc w:val="center"/>
              <w:rPr>
                <w:rFonts w:ascii="宋体" w:hAnsi="宋体"/>
                <w:sz w:val="24"/>
                <w:szCs w:val="24"/>
              </w:rPr>
            </w:pPr>
          </w:p>
        </w:tc>
      </w:tr>
      <w:tr w14:paraId="217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52100F">
            <w:pPr>
              <w:spacing w:line="300" w:lineRule="auto"/>
              <w:jc w:val="center"/>
              <w:rPr>
                <w:rFonts w:ascii="宋体" w:hAnsi="宋体"/>
                <w:sz w:val="24"/>
                <w:szCs w:val="24"/>
              </w:rPr>
            </w:pPr>
          </w:p>
        </w:tc>
        <w:tc>
          <w:tcPr>
            <w:tcW w:w="2662" w:type="dxa"/>
            <w:noWrap w:val="0"/>
            <w:vAlign w:val="center"/>
          </w:tcPr>
          <w:p w14:paraId="222681AF">
            <w:pPr>
              <w:spacing w:line="300" w:lineRule="auto"/>
              <w:jc w:val="center"/>
              <w:rPr>
                <w:rFonts w:ascii="宋体" w:hAnsi="宋体"/>
                <w:sz w:val="24"/>
                <w:szCs w:val="24"/>
              </w:rPr>
            </w:pPr>
          </w:p>
        </w:tc>
        <w:tc>
          <w:tcPr>
            <w:tcW w:w="2738" w:type="dxa"/>
            <w:noWrap w:val="0"/>
            <w:vAlign w:val="center"/>
          </w:tcPr>
          <w:p w14:paraId="40C445FE">
            <w:pPr>
              <w:spacing w:line="300" w:lineRule="auto"/>
              <w:jc w:val="center"/>
              <w:rPr>
                <w:rFonts w:ascii="宋体" w:hAnsi="宋体"/>
                <w:sz w:val="24"/>
                <w:szCs w:val="24"/>
              </w:rPr>
            </w:pPr>
          </w:p>
        </w:tc>
        <w:tc>
          <w:tcPr>
            <w:tcW w:w="1916" w:type="dxa"/>
            <w:noWrap w:val="0"/>
            <w:vAlign w:val="center"/>
          </w:tcPr>
          <w:p w14:paraId="15D71A76">
            <w:pPr>
              <w:spacing w:line="300" w:lineRule="auto"/>
              <w:jc w:val="center"/>
              <w:rPr>
                <w:rFonts w:ascii="宋体" w:hAnsi="宋体"/>
                <w:sz w:val="24"/>
                <w:szCs w:val="24"/>
              </w:rPr>
            </w:pPr>
          </w:p>
        </w:tc>
      </w:tr>
      <w:tr w14:paraId="6253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0AD2950B">
            <w:pPr>
              <w:spacing w:line="300" w:lineRule="auto"/>
              <w:jc w:val="center"/>
              <w:rPr>
                <w:rFonts w:ascii="宋体" w:hAnsi="宋体"/>
                <w:sz w:val="24"/>
                <w:szCs w:val="24"/>
              </w:rPr>
            </w:pPr>
          </w:p>
        </w:tc>
        <w:tc>
          <w:tcPr>
            <w:tcW w:w="2662" w:type="dxa"/>
            <w:noWrap w:val="0"/>
            <w:vAlign w:val="center"/>
          </w:tcPr>
          <w:p w14:paraId="44FA7774">
            <w:pPr>
              <w:spacing w:line="300" w:lineRule="auto"/>
              <w:jc w:val="center"/>
              <w:rPr>
                <w:rFonts w:ascii="宋体" w:hAnsi="宋体"/>
                <w:sz w:val="24"/>
                <w:szCs w:val="24"/>
              </w:rPr>
            </w:pPr>
          </w:p>
        </w:tc>
        <w:tc>
          <w:tcPr>
            <w:tcW w:w="2738" w:type="dxa"/>
            <w:noWrap w:val="0"/>
            <w:vAlign w:val="center"/>
          </w:tcPr>
          <w:p w14:paraId="04A00BE3">
            <w:pPr>
              <w:spacing w:line="300" w:lineRule="auto"/>
              <w:jc w:val="center"/>
              <w:rPr>
                <w:rFonts w:ascii="宋体" w:hAnsi="宋体"/>
                <w:sz w:val="24"/>
                <w:szCs w:val="24"/>
              </w:rPr>
            </w:pPr>
          </w:p>
        </w:tc>
        <w:tc>
          <w:tcPr>
            <w:tcW w:w="1916" w:type="dxa"/>
            <w:noWrap w:val="0"/>
            <w:vAlign w:val="center"/>
          </w:tcPr>
          <w:p w14:paraId="2F533496">
            <w:pPr>
              <w:spacing w:line="300" w:lineRule="auto"/>
              <w:jc w:val="center"/>
              <w:rPr>
                <w:rFonts w:ascii="宋体" w:hAnsi="宋体"/>
                <w:sz w:val="24"/>
                <w:szCs w:val="24"/>
              </w:rPr>
            </w:pPr>
          </w:p>
        </w:tc>
      </w:tr>
      <w:tr w14:paraId="03C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9BC416">
            <w:pPr>
              <w:spacing w:line="300" w:lineRule="auto"/>
              <w:jc w:val="center"/>
              <w:rPr>
                <w:rFonts w:ascii="宋体" w:hAnsi="宋体"/>
                <w:sz w:val="24"/>
                <w:szCs w:val="24"/>
              </w:rPr>
            </w:pPr>
          </w:p>
        </w:tc>
        <w:tc>
          <w:tcPr>
            <w:tcW w:w="2662" w:type="dxa"/>
            <w:noWrap w:val="0"/>
            <w:vAlign w:val="center"/>
          </w:tcPr>
          <w:p w14:paraId="1A9896F0">
            <w:pPr>
              <w:spacing w:line="300" w:lineRule="auto"/>
              <w:jc w:val="center"/>
              <w:rPr>
                <w:rFonts w:ascii="宋体" w:hAnsi="宋体"/>
                <w:sz w:val="24"/>
                <w:szCs w:val="24"/>
              </w:rPr>
            </w:pPr>
          </w:p>
        </w:tc>
        <w:tc>
          <w:tcPr>
            <w:tcW w:w="2738" w:type="dxa"/>
            <w:noWrap w:val="0"/>
            <w:vAlign w:val="center"/>
          </w:tcPr>
          <w:p w14:paraId="4080FC0E">
            <w:pPr>
              <w:spacing w:line="300" w:lineRule="auto"/>
              <w:jc w:val="center"/>
              <w:rPr>
                <w:rFonts w:ascii="宋体" w:hAnsi="宋体"/>
                <w:sz w:val="24"/>
                <w:szCs w:val="24"/>
              </w:rPr>
            </w:pPr>
          </w:p>
        </w:tc>
        <w:tc>
          <w:tcPr>
            <w:tcW w:w="1916" w:type="dxa"/>
            <w:noWrap w:val="0"/>
            <w:vAlign w:val="center"/>
          </w:tcPr>
          <w:p w14:paraId="5A7BEBA7">
            <w:pPr>
              <w:spacing w:line="300" w:lineRule="auto"/>
              <w:jc w:val="center"/>
              <w:rPr>
                <w:rFonts w:ascii="宋体" w:hAnsi="宋体"/>
                <w:sz w:val="24"/>
                <w:szCs w:val="24"/>
              </w:rPr>
            </w:pPr>
          </w:p>
        </w:tc>
      </w:tr>
      <w:tr w14:paraId="428C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23" w:type="dxa"/>
            <w:noWrap w:val="0"/>
            <w:vAlign w:val="center"/>
          </w:tcPr>
          <w:p w14:paraId="27B54625">
            <w:pPr>
              <w:spacing w:line="300" w:lineRule="auto"/>
              <w:jc w:val="center"/>
              <w:rPr>
                <w:rFonts w:ascii="宋体" w:hAnsi="宋体"/>
                <w:sz w:val="24"/>
                <w:szCs w:val="24"/>
              </w:rPr>
            </w:pPr>
          </w:p>
        </w:tc>
        <w:tc>
          <w:tcPr>
            <w:tcW w:w="2662" w:type="dxa"/>
            <w:noWrap w:val="0"/>
            <w:vAlign w:val="center"/>
          </w:tcPr>
          <w:p w14:paraId="2A2369C7">
            <w:pPr>
              <w:spacing w:line="300" w:lineRule="auto"/>
              <w:jc w:val="center"/>
              <w:rPr>
                <w:rFonts w:ascii="宋体" w:hAnsi="宋体"/>
                <w:sz w:val="24"/>
                <w:szCs w:val="24"/>
              </w:rPr>
            </w:pPr>
          </w:p>
        </w:tc>
        <w:tc>
          <w:tcPr>
            <w:tcW w:w="2738" w:type="dxa"/>
            <w:noWrap w:val="0"/>
            <w:vAlign w:val="center"/>
          </w:tcPr>
          <w:p w14:paraId="69A4E0F5">
            <w:pPr>
              <w:spacing w:line="300" w:lineRule="auto"/>
              <w:jc w:val="center"/>
              <w:rPr>
                <w:rFonts w:ascii="宋体" w:hAnsi="宋体"/>
                <w:sz w:val="24"/>
                <w:szCs w:val="24"/>
              </w:rPr>
            </w:pPr>
          </w:p>
        </w:tc>
        <w:tc>
          <w:tcPr>
            <w:tcW w:w="1916" w:type="dxa"/>
            <w:noWrap w:val="0"/>
            <w:vAlign w:val="center"/>
          </w:tcPr>
          <w:p w14:paraId="0B7E1355">
            <w:pPr>
              <w:spacing w:line="300" w:lineRule="auto"/>
              <w:jc w:val="center"/>
              <w:rPr>
                <w:rFonts w:ascii="宋体" w:hAnsi="宋体"/>
                <w:sz w:val="24"/>
                <w:szCs w:val="24"/>
              </w:rPr>
            </w:pPr>
          </w:p>
        </w:tc>
      </w:tr>
    </w:tbl>
    <w:p w14:paraId="020253F7">
      <w:pPr>
        <w:pStyle w:val="8"/>
        <w:spacing w:line="360" w:lineRule="auto"/>
        <w:rPr>
          <w:rFonts w:hint="eastAsia" w:ascii="宋体" w:hAnsi="宋体"/>
        </w:rPr>
      </w:pPr>
    </w:p>
    <w:p w14:paraId="58B21311">
      <w:pPr>
        <w:pStyle w:val="8"/>
        <w:spacing w:line="360" w:lineRule="auto"/>
        <w:rPr>
          <w:rFonts w:hint="eastAsia" w:ascii="宋体" w:hAnsi="宋体"/>
        </w:rPr>
      </w:pPr>
      <w:r>
        <w:rPr>
          <w:rFonts w:hint="eastAsia" w:ascii="宋体" w:hAnsi="宋体"/>
        </w:rPr>
        <w:t>注：</w:t>
      </w:r>
      <w:r>
        <w:rPr>
          <w:rFonts w:hint="eastAsia"/>
        </w:rPr>
        <w:t>“偏离说明”一栏必须写明偏离情况，不得以“满足”代替，若无偏离则填写“无”。</w:t>
      </w:r>
    </w:p>
    <w:p w14:paraId="3B895F3C">
      <w:pPr>
        <w:adjustRightInd w:val="0"/>
        <w:snapToGrid w:val="0"/>
        <w:spacing w:line="360" w:lineRule="auto"/>
        <w:rPr>
          <w:rFonts w:hint="eastAsia" w:ascii="宋体" w:hAnsi="宋体"/>
          <w:snapToGrid w:val="0"/>
          <w:kern w:val="0"/>
          <w:sz w:val="24"/>
          <w:szCs w:val="24"/>
        </w:rPr>
      </w:pPr>
    </w:p>
    <w:p w14:paraId="713BA1F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供应商（单位电子签章）： </w:t>
      </w:r>
    </w:p>
    <w:p w14:paraId="423B553E">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3D3C533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 年    月    日</w:t>
      </w:r>
    </w:p>
    <w:p w14:paraId="3714A9DF">
      <w:pPr>
        <w:wordWrap w:val="0"/>
        <w:spacing w:line="420" w:lineRule="exact"/>
        <w:ind w:left="0" w:leftChars="0" w:firstLine="0" w:firstLineChars="0"/>
        <w:jc w:val="center"/>
        <w:outlineLvl w:val="1"/>
        <w:rPr>
          <w:rFonts w:ascii="宋体" w:hAnsi="宋体" w:cs="宋体"/>
          <w:b/>
          <w:sz w:val="32"/>
          <w:szCs w:val="32"/>
        </w:rPr>
      </w:pPr>
      <w:r>
        <w:rPr>
          <w:rFonts w:hint="eastAsia" w:ascii="宋体" w:hAnsi="宋体" w:cs="宋体"/>
        </w:rPr>
        <w:br w:type="page"/>
      </w:r>
      <w:bookmarkStart w:id="969" w:name="_Toc11835"/>
      <w:bookmarkStart w:id="970" w:name="_Toc20896"/>
      <w:bookmarkStart w:id="971" w:name="_Toc2557"/>
      <w:bookmarkStart w:id="972" w:name="_Toc410631178"/>
      <w:bookmarkStart w:id="973" w:name="_Toc416103819"/>
      <w:bookmarkStart w:id="974" w:name="_Toc414445769"/>
      <w:bookmarkStart w:id="975" w:name="_Toc468781351"/>
      <w:bookmarkStart w:id="976" w:name="_Toc143577473"/>
      <w:r>
        <w:rPr>
          <w:rFonts w:hint="eastAsia" w:ascii="宋体" w:hAnsi="宋体" w:eastAsia="宋体" w:cs="宋体"/>
          <w:b/>
          <w:bCs/>
          <w:kern w:val="2"/>
          <w:sz w:val="32"/>
          <w:szCs w:val="32"/>
          <w:lang w:val="en-US" w:eastAsia="zh-CN" w:bidi="ar-SA"/>
        </w:rPr>
        <w:t>六、资格证明材料</w:t>
      </w:r>
      <w:bookmarkEnd w:id="969"/>
      <w:bookmarkEnd w:id="970"/>
      <w:bookmarkEnd w:id="971"/>
    </w:p>
    <w:p w14:paraId="2B3018EA">
      <w:pPr>
        <w:wordWrap w:val="0"/>
        <w:spacing w:line="420" w:lineRule="exact"/>
        <w:ind w:left="0" w:leftChars="0" w:firstLine="0" w:firstLineChars="0"/>
        <w:jc w:val="center"/>
        <w:rPr>
          <w:rFonts w:ascii="宋体" w:hAnsi="宋体" w:cs="宋体"/>
          <w:b/>
          <w:bCs/>
          <w:sz w:val="28"/>
          <w:szCs w:val="28"/>
        </w:rPr>
      </w:pPr>
      <w:bookmarkStart w:id="977" w:name="_Toc9513"/>
      <w:bookmarkStart w:id="978" w:name="_Toc456185719"/>
      <w:r>
        <w:rPr>
          <w:rFonts w:hint="eastAsia" w:ascii="宋体" w:hAnsi="宋体" w:cs="宋体"/>
          <w:b/>
          <w:bCs/>
          <w:sz w:val="28"/>
          <w:szCs w:val="28"/>
        </w:rPr>
        <w:t>供应商基本情况表</w:t>
      </w:r>
      <w:bookmarkEnd w:id="977"/>
      <w:bookmarkEnd w:id="978"/>
    </w:p>
    <w:tbl>
      <w:tblPr>
        <w:tblStyle w:val="2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01"/>
        <w:gridCol w:w="1480"/>
        <w:gridCol w:w="1311"/>
        <w:gridCol w:w="226"/>
        <w:gridCol w:w="1167"/>
        <w:gridCol w:w="289"/>
        <w:gridCol w:w="792"/>
        <w:gridCol w:w="1592"/>
      </w:tblGrid>
      <w:tr w14:paraId="0E15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6088CB2B">
            <w:pPr>
              <w:wordWrap w:val="0"/>
              <w:ind w:left="0" w:leftChars="0" w:firstLine="0" w:firstLineChars="0"/>
              <w:jc w:val="both"/>
              <w:rPr>
                <w:rFonts w:ascii="宋体" w:hAnsi="宋体" w:cs="宋体"/>
                <w:sz w:val="24"/>
                <w:szCs w:val="24"/>
              </w:rPr>
            </w:pPr>
            <w:r>
              <w:rPr>
                <w:rFonts w:hint="eastAsia" w:ascii="宋体" w:hAnsi="宋体" w:cs="宋体"/>
                <w:sz w:val="24"/>
                <w:szCs w:val="24"/>
              </w:rPr>
              <w:t>供应商名称</w:t>
            </w:r>
          </w:p>
        </w:tc>
        <w:tc>
          <w:tcPr>
            <w:tcW w:w="7858" w:type="dxa"/>
            <w:gridSpan w:val="8"/>
            <w:vAlign w:val="center"/>
          </w:tcPr>
          <w:p w14:paraId="2FA7D9C7">
            <w:pPr>
              <w:wordWrap w:val="0"/>
              <w:jc w:val="center"/>
              <w:rPr>
                <w:rFonts w:ascii="宋体" w:hAnsi="宋体" w:cs="宋体"/>
                <w:sz w:val="24"/>
                <w:szCs w:val="24"/>
              </w:rPr>
            </w:pPr>
          </w:p>
        </w:tc>
      </w:tr>
      <w:tr w14:paraId="61BA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781E2668">
            <w:pPr>
              <w:wordWrap w:val="0"/>
              <w:ind w:left="0" w:leftChars="0" w:firstLine="0" w:firstLineChars="0"/>
              <w:jc w:val="both"/>
              <w:rPr>
                <w:rFonts w:ascii="宋体" w:hAnsi="宋体" w:cs="宋体"/>
                <w:sz w:val="24"/>
                <w:szCs w:val="24"/>
              </w:rPr>
            </w:pPr>
            <w:r>
              <w:rPr>
                <w:rFonts w:hint="eastAsia" w:ascii="宋体" w:hAnsi="宋体" w:cs="宋体"/>
                <w:sz w:val="24"/>
                <w:szCs w:val="24"/>
              </w:rPr>
              <w:t>注册地址</w:t>
            </w:r>
          </w:p>
        </w:tc>
        <w:tc>
          <w:tcPr>
            <w:tcW w:w="3792" w:type="dxa"/>
            <w:gridSpan w:val="3"/>
            <w:vAlign w:val="center"/>
          </w:tcPr>
          <w:p w14:paraId="077D34E6">
            <w:pPr>
              <w:wordWrap w:val="0"/>
              <w:jc w:val="center"/>
              <w:rPr>
                <w:rFonts w:ascii="宋体" w:hAnsi="宋体" w:cs="宋体"/>
                <w:sz w:val="24"/>
                <w:szCs w:val="24"/>
              </w:rPr>
            </w:pPr>
          </w:p>
        </w:tc>
        <w:tc>
          <w:tcPr>
            <w:tcW w:w="1393" w:type="dxa"/>
            <w:gridSpan w:val="2"/>
            <w:vAlign w:val="center"/>
          </w:tcPr>
          <w:p w14:paraId="4FED8CFA">
            <w:pPr>
              <w:wordWrap w:val="0"/>
              <w:ind w:left="0" w:leftChars="0" w:firstLine="0" w:firstLineChars="0"/>
              <w:jc w:val="both"/>
              <w:rPr>
                <w:rFonts w:ascii="宋体" w:hAnsi="宋体" w:cs="宋体"/>
                <w:sz w:val="24"/>
                <w:szCs w:val="24"/>
              </w:rPr>
            </w:pPr>
            <w:r>
              <w:rPr>
                <w:rFonts w:hint="eastAsia" w:ascii="宋体" w:hAnsi="宋体" w:cs="宋体"/>
                <w:sz w:val="24"/>
                <w:szCs w:val="24"/>
              </w:rPr>
              <w:t>邮政编码</w:t>
            </w:r>
          </w:p>
        </w:tc>
        <w:tc>
          <w:tcPr>
            <w:tcW w:w="2673" w:type="dxa"/>
            <w:gridSpan w:val="3"/>
            <w:vAlign w:val="center"/>
          </w:tcPr>
          <w:p w14:paraId="424C3D32">
            <w:pPr>
              <w:wordWrap w:val="0"/>
              <w:jc w:val="center"/>
              <w:rPr>
                <w:rFonts w:ascii="宋体" w:hAnsi="宋体" w:cs="宋体"/>
                <w:sz w:val="24"/>
                <w:szCs w:val="24"/>
              </w:rPr>
            </w:pPr>
          </w:p>
        </w:tc>
      </w:tr>
      <w:tr w14:paraId="53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restart"/>
            <w:vAlign w:val="center"/>
          </w:tcPr>
          <w:p w14:paraId="63CB0F03">
            <w:pPr>
              <w:wordWrap w:val="0"/>
              <w:ind w:left="0" w:leftChars="0" w:firstLine="0" w:firstLineChars="0"/>
              <w:jc w:val="both"/>
              <w:rPr>
                <w:rFonts w:ascii="宋体" w:hAnsi="宋体" w:cs="宋体"/>
                <w:sz w:val="24"/>
                <w:szCs w:val="24"/>
              </w:rPr>
            </w:pPr>
            <w:r>
              <w:rPr>
                <w:rFonts w:hint="eastAsia" w:ascii="宋体" w:hAnsi="宋体" w:cs="宋体"/>
                <w:sz w:val="24"/>
                <w:szCs w:val="24"/>
              </w:rPr>
              <w:t>联系方式</w:t>
            </w:r>
          </w:p>
        </w:tc>
        <w:tc>
          <w:tcPr>
            <w:tcW w:w="1001" w:type="dxa"/>
            <w:vAlign w:val="center"/>
          </w:tcPr>
          <w:p w14:paraId="2869F492">
            <w:pPr>
              <w:wordWrap w:val="0"/>
              <w:ind w:left="0" w:leftChars="0" w:firstLine="0" w:firstLineChars="0"/>
              <w:jc w:val="both"/>
              <w:rPr>
                <w:rFonts w:ascii="宋体" w:hAnsi="宋体" w:cs="宋体"/>
                <w:sz w:val="24"/>
                <w:szCs w:val="24"/>
              </w:rPr>
            </w:pPr>
            <w:r>
              <w:rPr>
                <w:rFonts w:hint="eastAsia" w:ascii="宋体" w:hAnsi="宋体" w:cs="宋体"/>
                <w:sz w:val="24"/>
                <w:szCs w:val="24"/>
              </w:rPr>
              <w:t>联系人</w:t>
            </w:r>
          </w:p>
        </w:tc>
        <w:tc>
          <w:tcPr>
            <w:tcW w:w="2791" w:type="dxa"/>
            <w:gridSpan w:val="2"/>
            <w:vAlign w:val="center"/>
          </w:tcPr>
          <w:p w14:paraId="7C767CE1">
            <w:pPr>
              <w:wordWrap w:val="0"/>
              <w:jc w:val="center"/>
              <w:rPr>
                <w:rFonts w:ascii="宋体" w:hAnsi="宋体" w:cs="宋体"/>
                <w:sz w:val="24"/>
                <w:szCs w:val="24"/>
              </w:rPr>
            </w:pPr>
          </w:p>
        </w:tc>
        <w:tc>
          <w:tcPr>
            <w:tcW w:w="1393" w:type="dxa"/>
            <w:gridSpan w:val="2"/>
            <w:vAlign w:val="center"/>
          </w:tcPr>
          <w:p w14:paraId="1C6C8307">
            <w:pPr>
              <w:wordWrap w:val="0"/>
              <w:ind w:left="0" w:leftChars="0" w:firstLine="0" w:firstLineChars="0"/>
              <w:jc w:val="both"/>
              <w:rPr>
                <w:rFonts w:ascii="宋体" w:hAnsi="宋体" w:cs="宋体"/>
                <w:sz w:val="24"/>
                <w:szCs w:val="24"/>
              </w:rPr>
            </w:pPr>
            <w:r>
              <w:rPr>
                <w:rFonts w:hint="eastAsia" w:ascii="宋体" w:hAnsi="宋体" w:cs="宋体"/>
                <w:sz w:val="24"/>
                <w:szCs w:val="24"/>
              </w:rPr>
              <w:t>电  话</w:t>
            </w:r>
          </w:p>
        </w:tc>
        <w:tc>
          <w:tcPr>
            <w:tcW w:w="2673" w:type="dxa"/>
            <w:gridSpan w:val="3"/>
            <w:vAlign w:val="center"/>
          </w:tcPr>
          <w:p w14:paraId="5DABB778">
            <w:pPr>
              <w:wordWrap w:val="0"/>
              <w:jc w:val="center"/>
              <w:rPr>
                <w:rFonts w:ascii="宋体" w:hAnsi="宋体" w:cs="宋体"/>
                <w:sz w:val="24"/>
                <w:szCs w:val="24"/>
              </w:rPr>
            </w:pPr>
          </w:p>
        </w:tc>
      </w:tr>
      <w:tr w14:paraId="359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continue"/>
            <w:vAlign w:val="center"/>
          </w:tcPr>
          <w:p w14:paraId="2CFF8025">
            <w:pPr>
              <w:wordWrap w:val="0"/>
              <w:ind w:firstLine="480"/>
              <w:jc w:val="center"/>
              <w:rPr>
                <w:rFonts w:ascii="宋体" w:hAnsi="宋体" w:cs="宋体"/>
                <w:sz w:val="24"/>
                <w:szCs w:val="24"/>
              </w:rPr>
            </w:pPr>
          </w:p>
        </w:tc>
        <w:tc>
          <w:tcPr>
            <w:tcW w:w="1001" w:type="dxa"/>
            <w:vAlign w:val="center"/>
          </w:tcPr>
          <w:p w14:paraId="407BC8BC">
            <w:pPr>
              <w:wordWrap w:val="0"/>
              <w:ind w:left="0" w:leftChars="0" w:firstLine="0" w:firstLineChars="0"/>
              <w:jc w:val="both"/>
              <w:rPr>
                <w:rFonts w:ascii="宋体" w:hAnsi="宋体" w:cs="宋体"/>
                <w:sz w:val="24"/>
                <w:szCs w:val="24"/>
              </w:rPr>
            </w:pPr>
            <w:r>
              <w:rPr>
                <w:rFonts w:hint="eastAsia" w:ascii="宋体" w:hAnsi="宋体" w:cs="宋体"/>
                <w:sz w:val="24"/>
                <w:szCs w:val="24"/>
              </w:rPr>
              <w:t>传  真</w:t>
            </w:r>
          </w:p>
        </w:tc>
        <w:tc>
          <w:tcPr>
            <w:tcW w:w="2791" w:type="dxa"/>
            <w:gridSpan w:val="2"/>
            <w:vAlign w:val="center"/>
          </w:tcPr>
          <w:p w14:paraId="76E2DDD4">
            <w:pPr>
              <w:wordWrap w:val="0"/>
              <w:jc w:val="center"/>
              <w:rPr>
                <w:rFonts w:ascii="宋体" w:hAnsi="宋体" w:cs="宋体"/>
                <w:sz w:val="24"/>
                <w:szCs w:val="24"/>
              </w:rPr>
            </w:pPr>
          </w:p>
        </w:tc>
        <w:tc>
          <w:tcPr>
            <w:tcW w:w="1393" w:type="dxa"/>
            <w:gridSpan w:val="2"/>
            <w:vAlign w:val="center"/>
          </w:tcPr>
          <w:p w14:paraId="1E5F5145">
            <w:pPr>
              <w:wordWrap w:val="0"/>
              <w:ind w:left="0" w:leftChars="0" w:firstLine="0" w:firstLineChars="0"/>
              <w:jc w:val="both"/>
              <w:rPr>
                <w:rFonts w:ascii="宋体" w:hAnsi="宋体" w:cs="宋体"/>
                <w:sz w:val="24"/>
                <w:szCs w:val="24"/>
              </w:rPr>
            </w:pPr>
            <w:r>
              <w:rPr>
                <w:rFonts w:hint="eastAsia" w:ascii="宋体" w:hAnsi="宋体" w:cs="宋体"/>
                <w:sz w:val="24"/>
                <w:szCs w:val="24"/>
              </w:rPr>
              <w:t>网  址</w:t>
            </w:r>
          </w:p>
        </w:tc>
        <w:tc>
          <w:tcPr>
            <w:tcW w:w="2673" w:type="dxa"/>
            <w:gridSpan w:val="3"/>
            <w:vAlign w:val="center"/>
          </w:tcPr>
          <w:p w14:paraId="0254B499">
            <w:pPr>
              <w:wordWrap w:val="0"/>
              <w:ind w:firstLine="480"/>
              <w:jc w:val="center"/>
              <w:rPr>
                <w:rFonts w:ascii="宋体" w:hAnsi="宋体" w:cs="宋体"/>
                <w:sz w:val="24"/>
                <w:szCs w:val="24"/>
              </w:rPr>
            </w:pPr>
          </w:p>
        </w:tc>
      </w:tr>
      <w:tr w14:paraId="3F26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2E433BD8">
            <w:pPr>
              <w:wordWrap w:val="0"/>
              <w:ind w:left="0" w:leftChars="0" w:firstLine="0" w:firstLineChars="0"/>
              <w:jc w:val="both"/>
              <w:rPr>
                <w:rFonts w:ascii="宋体" w:hAnsi="宋体" w:cs="宋体"/>
                <w:sz w:val="24"/>
                <w:szCs w:val="24"/>
              </w:rPr>
            </w:pPr>
            <w:r>
              <w:rPr>
                <w:rFonts w:hint="eastAsia" w:ascii="宋体" w:hAnsi="宋体" w:cs="宋体"/>
                <w:sz w:val="24"/>
                <w:szCs w:val="24"/>
              </w:rPr>
              <w:t>组织结构</w:t>
            </w:r>
          </w:p>
        </w:tc>
        <w:tc>
          <w:tcPr>
            <w:tcW w:w="7858" w:type="dxa"/>
            <w:gridSpan w:val="8"/>
            <w:vAlign w:val="center"/>
          </w:tcPr>
          <w:p w14:paraId="434A1294">
            <w:pPr>
              <w:wordWrap w:val="0"/>
              <w:jc w:val="center"/>
              <w:rPr>
                <w:rFonts w:ascii="宋体" w:hAnsi="宋体" w:cs="宋体"/>
                <w:sz w:val="24"/>
                <w:szCs w:val="24"/>
              </w:rPr>
            </w:pPr>
          </w:p>
        </w:tc>
      </w:tr>
      <w:tr w14:paraId="7BC8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51307A8E">
            <w:pPr>
              <w:wordWrap w:val="0"/>
              <w:ind w:left="0" w:leftChars="0" w:firstLine="0" w:firstLineChars="0"/>
              <w:jc w:val="both"/>
              <w:rPr>
                <w:rFonts w:ascii="宋体" w:hAnsi="宋体" w:cs="宋体"/>
                <w:sz w:val="24"/>
                <w:szCs w:val="24"/>
              </w:rPr>
            </w:pPr>
            <w:r>
              <w:rPr>
                <w:rFonts w:hint="eastAsia" w:ascii="宋体" w:hAnsi="宋体" w:cs="宋体"/>
                <w:sz w:val="24"/>
                <w:szCs w:val="24"/>
              </w:rPr>
              <w:t>法定代表人</w:t>
            </w:r>
          </w:p>
        </w:tc>
        <w:tc>
          <w:tcPr>
            <w:tcW w:w="1001" w:type="dxa"/>
            <w:vAlign w:val="center"/>
          </w:tcPr>
          <w:p w14:paraId="4F4528CC">
            <w:pPr>
              <w:wordWrap w:val="0"/>
              <w:ind w:left="0" w:leftChars="0" w:firstLine="0" w:firstLineChars="0"/>
              <w:jc w:val="both"/>
              <w:rPr>
                <w:rFonts w:ascii="宋体" w:hAnsi="宋体" w:cs="宋体"/>
                <w:sz w:val="24"/>
                <w:szCs w:val="24"/>
              </w:rPr>
            </w:pPr>
            <w:r>
              <w:rPr>
                <w:rFonts w:hint="eastAsia" w:ascii="宋体" w:hAnsi="宋体" w:cs="宋体"/>
                <w:sz w:val="24"/>
                <w:szCs w:val="24"/>
              </w:rPr>
              <w:t>姓名</w:t>
            </w:r>
          </w:p>
        </w:tc>
        <w:tc>
          <w:tcPr>
            <w:tcW w:w="1480" w:type="dxa"/>
            <w:vAlign w:val="center"/>
          </w:tcPr>
          <w:p w14:paraId="19D69C0D">
            <w:pPr>
              <w:wordWrap w:val="0"/>
              <w:jc w:val="center"/>
              <w:rPr>
                <w:rFonts w:ascii="宋体" w:hAnsi="宋体" w:cs="宋体"/>
                <w:sz w:val="24"/>
                <w:szCs w:val="24"/>
              </w:rPr>
            </w:pPr>
          </w:p>
        </w:tc>
        <w:tc>
          <w:tcPr>
            <w:tcW w:w="1537" w:type="dxa"/>
            <w:gridSpan w:val="2"/>
            <w:vAlign w:val="center"/>
          </w:tcPr>
          <w:p w14:paraId="18792F4D">
            <w:pPr>
              <w:wordWrap w:val="0"/>
              <w:ind w:left="0" w:leftChars="0" w:firstLine="0" w:firstLineChars="0"/>
              <w:jc w:val="both"/>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5039F58B">
            <w:pPr>
              <w:wordWrap w:val="0"/>
              <w:jc w:val="center"/>
              <w:rPr>
                <w:rFonts w:ascii="宋体" w:hAnsi="宋体" w:cs="宋体"/>
                <w:sz w:val="24"/>
                <w:szCs w:val="24"/>
              </w:rPr>
            </w:pPr>
          </w:p>
        </w:tc>
        <w:tc>
          <w:tcPr>
            <w:tcW w:w="792" w:type="dxa"/>
            <w:vAlign w:val="center"/>
          </w:tcPr>
          <w:p w14:paraId="0EAB53AE">
            <w:pPr>
              <w:wordWrap w:val="0"/>
              <w:ind w:left="0" w:leftChars="0" w:firstLine="0" w:firstLineChars="0"/>
              <w:jc w:val="both"/>
              <w:rPr>
                <w:rFonts w:ascii="宋体" w:hAnsi="宋体" w:cs="宋体"/>
                <w:sz w:val="24"/>
                <w:szCs w:val="24"/>
              </w:rPr>
            </w:pPr>
            <w:r>
              <w:rPr>
                <w:rFonts w:hint="eastAsia" w:ascii="宋体" w:hAnsi="宋体" w:cs="宋体"/>
                <w:sz w:val="24"/>
                <w:szCs w:val="24"/>
              </w:rPr>
              <w:t>电话</w:t>
            </w:r>
          </w:p>
        </w:tc>
        <w:tc>
          <w:tcPr>
            <w:tcW w:w="1592" w:type="dxa"/>
            <w:vAlign w:val="center"/>
          </w:tcPr>
          <w:p w14:paraId="4FB112CA">
            <w:pPr>
              <w:wordWrap w:val="0"/>
              <w:jc w:val="center"/>
              <w:rPr>
                <w:rFonts w:ascii="宋体" w:hAnsi="宋体" w:cs="宋体"/>
                <w:sz w:val="24"/>
                <w:szCs w:val="24"/>
              </w:rPr>
            </w:pPr>
          </w:p>
        </w:tc>
      </w:tr>
      <w:tr w14:paraId="5EB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3B19B58">
            <w:pPr>
              <w:wordWrap w:val="0"/>
              <w:ind w:left="0" w:leftChars="0" w:firstLine="0" w:firstLineChars="0"/>
              <w:jc w:val="both"/>
              <w:rPr>
                <w:rFonts w:ascii="宋体" w:hAnsi="宋体" w:cs="宋体"/>
                <w:sz w:val="24"/>
                <w:szCs w:val="24"/>
              </w:rPr>
            </w:pPr>
            <w:r>
              <w:rPr>
                <w:rFonts w:hint="eastAsia" w:ascii="宋体" w:hAnsi="宋体" w:cs="宋体"/>
                <w:sz w:val="24"/>
                <w:szCs w:val="24"/>
              </w:rPr>
              <w:t>项目负责人</w:t>
            </w:r>
          </w:p>
        </w:tc>
        <w:tc>
          <w:tcPr>
            <w:tcW w:w="1001" w:type="dxa"/>
            <w:vAlign w:val="center"/>
          </w:tcPr>
          <w:p w14:paraId="43250BBD">
            <w:pPr>
              <w:wordWrap w:val="0"/>
              <w:ind w:left="0" w:leftChars="0" w:firstLine="0" w:firstLineChars="0"/>
              <w:jc w:val="both"/>
              <w:rPr>
                <w:rFonts w:ascii="宋体" w:hAnsi="宋体" w:cs="宋体"/>
                <w:sz w:val="24"/>
                <w:szCs w:val="24"/>
              </w:rPr>
            </w:pPr>
            <w:r>
              <w:rPr>
                <w:rFonts w:hint="eastAsia" w:ascii="宋体" w:hAnsi="宋体" w:cs="宋体"/>
                <w:sz w:val="24"/>
                <w:szCs w:val="24"/>
              </w:rPr>
              <w:t>姓名</w:t>
            </w:r>
          </w:p>
        </w:tc>
        <w:tc>
          <w:tcPr>
            <w:tcW w:w="1480" w:type="dxa"/>
            <w:vAlign w:val="center"/>
          </w:tcPr>
          <w:p w14:paraId="3DA60C33">
            <w:pPr>
              <w:wordWrap w:val="0"/>
              <w:jc w:val="center"/>
              <w:rPr>
                <w:rFonts w:ascii="宋体" w:hAnsi="宋体" w:cs="宋体"/>
                <w:sz w:val="24"/>
                <w:szCs w:val="24"/>
              </w:rPr>
            </w:pPr>
          </w:p>
        </w:tc>
        <w:tc>
          <w:tcPr>
            <w:tcW w:w="1537" w:type="dxa"/>
            <w:gridSpan w:val="2"/>
            <w:vAlign w:val="center"/>
          </w:tcPr>
          <w:p w14:paraId="7A750E3F">
            <w:pPr>
              <w:wordWrap w:val="0"/>
              <w:ind w:left="0" w:leftChars="0" w:firstLine="0" w:firstLineChars="0"/>
              <w:jc w:val="both"/>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644E296C">
            <w:pPr>
              <w:wordWrap w:val="0"/>
              <w:jc w:val="center"/>
              <w:rPr>
                <w:rFonts w:ascii="宋体" w:hAnsi="宋体" w:cs="宋体"/>
                <w:sz w:val="24"/>
                <w:szCs w:val="24"/>
              </w:rPr>
            </w:pPr>
          </w:p>
        </w:tc>
        <w:tc>
          <w:tcPr>
            <w:tcW w:w="792" w:type="dxa"/>
            <w:vAlign w:val="center"/>
          </w:tcPr>
          <w:p w14:paraId="24E42D49">
            <w:pPr>
              <w:wordWrap w:val="0"/>
              <w:ind w:left="0" w:leftChars="0" w:firstLine="0" w:firstLineChars="0"/>
              <w:jc w:val="both"/>
              <w:rPr>
                <w:rFonts w:ascii="宋体" w:hAnsi="宋体" w:cs="宋体"/>
                <w:sz w:val="24"/>
                <w:szCs w:val="24"/>
              </w:rPr>
            </w:pPr>
            <w:r>
              <w:rPr>
                <w:rFonts w:hint="eastAsia" w:ascii="宋体" w:hAnsi="宋体" w:cs="宋体"/>
                <w:sz w:val="24"/>
                <w:szCs w:val="24"/>
              </w:rPr>
              <w:t>电话</w:t>
            </w:r>
          </w:p>
        </w:tc>
        <w:tc>
          <w:tcPr>
            <w:tcW w:w="1592" w:type="dxa"/>
            <w:vAlign w:val="center"/>
          </w:tcPr>
          <w:p w14:paraId="70300AF4">
            <w:pPr>
              <w:wordWrap w:val="0"/>
              <w:jc w:val="center"/>
              <w:rPr>
                <w:rFonts w:ascii="宋体" w:hAnsi="宋体" w:cs="宋体"/>
                <w:sz w:val="24"/>
                <w:szCs w:val="24"/>
              </w:rPr>
            </w:pPr>
          </w:p>
        </w:tc>
      </w:tr>
      <w:tr w14:paraId="34B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557BA0E">
            <w:pPr>
              <w:wordWrap w:val="0"/>
              <w:ind w:left="0" w:leftChars="0" w:firstLine="0" w:firstLineChars="0"/>
              <w:jc w:val="both"/>
              <w:rPr>
                <w:rFonts w:ascii="宋体" w:hAnsi="宋体" w:cs="宋体"/>
                <w:sz w:val="24"/>
                <w:szCs w:val="24"/>
              </w:rPr>
            </w:pPr>
            <w:r>
              <w:rPr>
                <w:rFonts w:hint="eastAsia" w:ascii="宋体" w:hAnsi="宋体" w:cs="宋体"/>
                <w:sz w:val="24"/>
                <w:szCs w:val="24"/>
              </w:rPr>
              <w:t>成立时间</w:t>
            </w:r>
          </w:p>
        </w:tc>
        <w:tc>
          <w:tcPr>
            <w:tcW w:w="2481" w:type="dxa"/>
            <w:gridSpan w:val="2"/>
            <w:vAlign w:val="center"/>
          </w:tcPr>
          <w:p w14:paraId="619A9BE8">
            <w:pPr>
              <w:wordWrap w:val="0"/>
              <w:jc w:val="center"/>
              <w:rPr>
                <w:rFonts w:ascii="宋体" w:hAnsi="宋体" w:cs="宋体"/>
                <w:sz w:val="24"/>
                <w:szCs w:val="24"/>
              </w:rPr>
            </w:pPr>
          </w:p>
        </w:tc>
        <w:tc>
          <w:tcPr>
            <w:tcW w:w="5377" w:type="dxa"/>
            <w:gridSpan w:val="6"/>
            <w:vAlign w:val="center"/>
          </w:tcPr>
          <w:p w14:paraId="10BFAC68">
            <w:pPr>
              <w:wordWrap w:val="0"/>
              <w:ind w:left="0" w:leftChars="0" w:firstLine="0" w:firstLineChars="0"/>
              <w:jc w:val="left"/>
              <w:rPr>
                <w:rFonts w:ascii="宋体" w:hAnsi="宋体" w:cs="宋体"/>
                <w:sz w:val="24"/>
                <w:szCs w:val="24"/>
              </w:rPr>
            </w:pPr>
            <w:r>
              <w:rPr>
                <w:rFonts w:hint="eastAsia" w:ascii="宋体" w:hAnsi="宋体" w:cs="宋体"/>
                <w:sz w:val="24"/>
                <w:szCs w:val="24"/>
              </w:rPr>
              <w:t>员工总人数：</w:t>
            </w:r>
          </w:p>
        </w:tc>
      </w:tr>
      <w:tr w14:paraId="2CBC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661" w:type="dxa"/>
            <w:vAlign w:val="center"/>
          </w:tcPr>
          <w:p w14:paraId="10B9F501">
            <w:pPr>
              <w:wordWrap w:val="0"/>
              <w:spacing w:line="420" w:lineRule="exact"/>
              <w:ind w:left="0" w:leftChars="0" w:firstLine="0" w:firstLineChars="0"/>
              <w:jc w:val="both"/>
              <w:rPr>
                <w:rFonts w:ascii="宋体" w:hAnsi="宋体" w:cs="宋体"/>
                <w:sz w:val="24"/>
                <w:szCs w:val="24"/>
              </w:rPr>
            </w:pPr>
            <w:r>
              <w:rPr>
                <w:rFonts w:hint="eastAsia" w:ascii="宋体" w:hAnsi="宋体" w:cs="宋体"/>
                <w:sz w:val="24"/>
                <w:szCs w:val="24"/>
              </w:rPr>
              <w:t>经营范围</w:t>
            </w:r>
          </w:p>
        </w:tc>
        <w:tc>
          <w:tcPr>
            <w:tcW w:w="7858" w:type="dxa"/>
            <w:gridSpan w:val="8"/>
            <w:vAlign w:val="center"/>
          </w:tcPr>
          <w:p w14:paraId="679CEF90">
            <w:pPr>
              <w:wordWrap w:val="0"/>
              <w:spacing w:line="420" w:lineRule="exact"/>
              <w:rPr>
                <w:rFonts w:ascii="宋体" w:hAnsi="宋体" w:cs="宋体"/>
                <w:sz w:val="24"/>
                <w:szCs w:val="24"/>
              </w:rPr>
            </w:pPr>
          </w:p>
        </w:tc>
      </w:tr>
      <w:tr w14:paraId="456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61" w:type="dxa"/>
            <w:vAlign w:val="center"/>
          </w:tcPr>
          <w:p w14:paraId="0A0C5FCD">
            <w:pPr>
              <w:wordWrap w:val="0"/>
              <w:spacing w:line="420" w:lineRule="exact"/>
              <w:ind w:left="0" w:leftChars="0" w:firstLine="0" w:firstLineChars="0"/>
              <w:jc w:val="both"/>
              <w:rPr>
                <w:rFonts w:ascii="宋体" w:hAnsi="宋体" w:cs="宋体"/>
                <w:sz w:val="24"/>
                <w:szCs w:val="24"/>
              </w:rPr>
            </w:pPr>
            <w:r>
              <w:rPr>
                <w:rFonts w:hint="eastAsia" w:ascii="宋体" w:hAnsi="宋体" w:cs="宋体"/>
                <w:sz w:val="24"/>
                <w:szCs w:val="24"/>
              </w:rPr>
              <w:t>备注</w:t>
            </w:r>
          </w:p>
        </w:tc>
        <w:tc>
          <w:tcPr>
            <w:tcW w:w="7858" w:type="dxa"/>
            <w:gridSpan w:val="8"/>
            <w:vAlign w:val="center"/>
          </w:tcPr>
          <w:p w14:paraId="6CCFE16C">
            <w:pPr>
              <w:wordWrap w:val="0"/>
              <w:spacing w:line="420" w:lineRule="exact"/>
              <w:jc w:val="center"/>
              <w:rPr>
                <w:rFonts w:ascii="宋体" w:hAnsi="宋体" w:cs="宋体"/>
                <w:sz w:val="24"/>
                <w:szCs w:val="24"/>
              </w:rPr>
            </w:pPr>
          </w:p>
        </w:tc>
      </w:tr>
    </w:tbl>
    <w:p w14:paraId="2B8E48A5">
      <w:pPr>
        <w:wordWrap w:val="0"/>
        <w:spacing w:line="420" w:lineRule="exact"/>
        <w:rPr>
          <w:rFonts w:ascii="宋体" w:hAnsi="宋体" w:cs="宋体"/>
          <w:szCs w:val="21"/>
        </w:rPr>
      </w:pPr>
    </w:p>
    <w:p w14:paraId="54C3BBD0">
      <w:pPr>
        <w:wordWrap w:val="0"/>
        <w:spacing w:line="420" w:lineRule="exact"/>
        <w:rPr>
          <w:rFonts w:ascii="宋体" w:hAnsi="宋体" w:cs="宋体"/>
          <w:szCs w:val="21"/>
        </w:rPr>
      </w:pPr>
      <w:r>
        <w:rPr>
          <w:rFonts w:hint="eastAsia" w:ascii="宋体" w:hAnsi="宋体" w:cs="宋体"/>
          <w:szCs w:val="21"/>
        </w:rPr>
        <w:t>注：根据供应商须知前附表第1.</w:t>
      </w:r>
      <w:r>
        <w:rPr>
          <w:rFonts w:hint="eastAsia" w:ascii="宋体" w:hAnsi="宋体" w:cs="宋体"/>
          <w:szCs w:val="21"/>
          <w:lang w:val="en-US" w:eastAsia="zh-CN"/>
        </w:rPr>
        <w:t>4</w:t>
      </w:r>
      <w:r>
        <w:rPr>
          <w:rFonts w:hint="eastAsia" w:ascii="宋体" w:hAnsi="宋体" w:cs="宋体"/>
          <w:szCs w:val="21"/>
        </w:rPr>
        <w:t>.1项的要求在本表后附供应商证明材料。</w:t>
      </w:r>
    </w:p>
    <w:bookmarkEnd w:id="972"/>
    <w:bookmarkEnd w:id="973"/>
    <w:bookmarkEnd w:id="974"/>
    <w:p w14:paraId="1EC98D71">
      <w:pPr>
        <w:rPr>
          <w:rFonts w:hint="eastAsia" w:ascii="宋体" w:hAnsi="宋体" w:cs="宋体"/>
          <w:szCs w:val="21"/>
        </w:rPr>
      </w:pPr>
      <w:bookmarkStart w:id="979" w:name="_Toc18442"/>
      <w:bookmarkStart w:id="980" w:name="_Toc24549"/>
      <w:bookmarkStart w:id="981" w:name="_Toc15604"/>
      <w:r>
        <w:rPr>
          <w:rFonts w:hint="eastAsia" w:ascii="宋体" w:hAnsi="宋体" w:cs="宋体"/>
          <w:szCs w:val="21"/>
        </w:rPr>
        <w:br w:type="page"/>
      </w:r>
    </w:p>
    <w:p w14:paraId="190A7542">
      <w:pPr>
        <w:pStyle w:val="4"/>
        <w:pageBreakBefore w:val="0"/>
        <w:kinsoku/>
        <w:wordWrap/>
        <w:overflowPunct/>
        <w:topLinePunct w:val="0"/>
        <w:autoSpaceDE/>
        <w:autoSpaceDN/>
        <w:bidi w:val="0"/>
        <w:adjustRightInd/>
        <w:snapToGrid/>
        <w:spacing w:before="0" w:after="0" w:line="360" w:lineRule="auto"/>
        <w:jc w:val="left"/>
        <w:textAlignment w:val="auto"/>
        <w:rPr>
          <w:rFonts w:hint="eastAsia"/>
        </w:rPr>
      </w:pPr>
      <w:bookmarkStart w:id="982" w:name="_Toc22845"/>
      <w:bookmarkStart w:id="983" w:name="_Toc15767"/>
      <w:r>
        <w:rPr>
          <w:rFonts w:hint="eastAsia"/>
        </w:rPr>
        <w:t>附件：</w:t>
      </w:r>
      <w:bookmarkEnd w:id="982"/>
      <w:bookmarkEnd w:id="983"/>
    </w:p>
    <w:p w14:paraId="5E575D07">
      <w:pPr>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kern w:val="0"/>
          <w:szCs w:val="21"/>
          <w:lang w:bidi="ar"/>
        </w:rPr>
      </w:pPr>
      <w:r>
        <w:rPr>
          <w:rFonts w:hint="eastAsia" w:ascii="宋体" w:hAnsi="宋体" w:cs="宋体"/>
          <w:b/>
          <w:bCs/>
          <w:color w:val="auto"/>
          <w:kern w:val="0"/>
          <w:szCs w:val="21"/>
          <w:lang w:bidi="ar"/>
        </w:rPr>
        <w:t>固始县政府采购供应商信用承诺函</w:t>
      </w:r>
    </w:p>
    <w:p w14:paraId="49982E1C">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致（采购人或采购代理机构）</w:t>
      </w:r>
      <w:r>
        <w:rPr>
          <w:rFonts w:hint="eastAsia" w:ascii="宋体" w:hAnsi="宋体" w:cs="宋体"/>
          <w:color w:val="auto"/>
          <w:kern w:val="0"/>
          <w:szCs w:val="21"/>
          <w:u w:val="single"/>
          <w:lang w:bidi="ar"/>
        </w:rPr>
        <w:t xml:space="preserve">：                 </w:t>
      </w:r>
    </w:p>
    <w:p w14:paraId="71440197">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单位名称（自然人姓名）</w:t>
      </w:r>
      <w:r>
        <w:rPr>
          <w:rFonts w:hint="eastAsia" w:ascii="宋体" w:hAnsi="宋体" w:cs="宋体"/>
          <w:color w:val="auto"/>
          <w:kern w:val="0"/>
          <w:szCs w:val="21"/>
          <w:u w:val="single"/>
          <w:lang w:bidi="ar"/>
        </w:rPr>
        <w:t xml:space="preserve">：                     </w:t>
      </w:r>
    </w:p>
    <w:p w14:paraId="3FF2DC51">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统一社会信用代码（身份证号码）</w:t>
      </w:r>
      <w:r>
        <w:rPr>
          <w:rFonts w:hint="eastAsia" w:ascii="宋体" w:hAnsi="宋体" w:cs="宋体"/>
          <w:color w:val="auto"/>
          <w:kern w:val="0"/>
          <w:szCs w:val="21"/>
          <w:u w:val="single"/>
          <w:lang w:bidi="ar"/>
        </w:rPr>
        <w:t xml:space="preserve">：             </w:t>
      </w:r>
    </w:p>
    <w:p w14:paraId="54E59297">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法定代表人（负责人）</w:t>
      </w:r>
      <w:r>
        <w:rPr>
          <w:rFonts w:hint="eastAsia" w:ascii="宋体" w:hAnsi="宋体" w:cs="宋体"/>
          <w:color w:val="auto"/>
          <w:kern w:val="0"/>
          <w:szCs w:val="21"/>
          <w:u w:val="single"/>
          <w:lang w:bidi="ar"/>
        </w:rPr>
        <w:t xml:space="preserve">：                       </w:t>
      </w:r>
    </w:p>
    <w:p w14:paraId="6A76E2DD">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联系地址和电话</w:t>
      </w:r>
      <w:r>
        <w:rPr>
          <w:rFonts w:hint="eastAsia" w:ascii="宋体" w:hAnsi="宋体" w:cs="宋体"/>
          <w:color w:val="auto"/>
          <w:kern w:val="0"/>
          <w:szCs w:val="21"/>
          <w:u w:val="single"/>
          <w:lang w:bidi="ar"/>
        </w:rPr>
        <w:t xml:space="preserve">：                             </w:t>
      </w:r>
    </w:p>
    <w:p w14:paraId="399F1C3B">
      <w:pPr>
        <w:widowControl/>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为维护公平、公正、公开的政府采购市场秩序，树立诚实守信的政府采购供应商形象，我单位（本人）自愿作出以下承诺：</w:t>
      </w:r>
    </w:p>
    <w:p w14:paraId="77CA2E74">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56793A">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具有独立承担民事责任的能力；</w:t>
      </w:r>
    </w:p>
    <w:p w14:paraId="5EFB8E76">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具有良好的商业信誉和健全的财务会计制度； </w:t>
      </w:r>
    </w:p>
    <w:p w14:paraId="6078D958">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具有履行合同所必需的设备和专业技术能力；</w:t>
      </w:r>
    </w:p>
    <w:p w14:paraId="19F1EBD0">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有依法缴纳税收和社会保障资金的良好记录； </w:t>
      </w:r>
    </w:p>
    <w:p w14:paraId="0079C53E">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参加政府采购活动前三年内，在经营活动中没有重大违法记录； </w:t>
      </w:r>
    </w:p>
    <w:p w14:paraId="3A2237D5">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未被列入经营异常名录或者严重违法失信名单、失信被执行人、重大税收违法案件当事人名单、政府采购严重违法失信行为记录名单；</w:t>
      </w:r>
    </w:p>
    <w:p w14:paraId="3ED4CF4B">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未被相关监管部门作出行政处罚且尚在处罚有效期内； </w:t>
      </w:r>
    </w:p>
    <w:p w14:paraId="191801F9">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未曾做出虚假采购承诺； </w:t>
      </w:r>
    </w:p>
    <w:p w14:paraId="33A304E3">
      <w:pPr>
        <w:widowControl/>
        <w:spacing w:line="400" w:lineRule="exact"/>
        <w:ind w:firstLine="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（九）符合法律、行政法规规定的其他条件。</w:t>
      </w:r>
    </w:p>
    <w:p w14:paraId="6F57F588">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28D60B9">
      <w:pPr>
        <w:widowControl/>
        <w:spacing w:line="400" w:lineRule="exact"/>
        <w:ind w:firstLine="420" w:firstLineChars="0"/>
        <w:jc w:val="left"/>
        <w:rPr>
          <w:rFonts w:hint="eastAsia" w:ascii="宋体" w:hAnsi="宋体" w:cs="宋体"/>
          <w:color w:val="auto"/>
          <w:kern w:val="0"/>
          <w:szCs w:val="21"/>
          <w:lang w:bidi="ar"/>
        </w:rPr>
      </w:pPr>
    </w:p>
    <w:p w14:paraId="426D6AC7">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供应商（单位电子签章）：</w:t>
      </w:r>
    </w:p>
    <w:p w14:paraId="5D81131D">
      <w:pPr>
        <w:widowControl/>
        <w:spacing w:line="400" w:lineRule="exact"/>
        <w:ind w:firstLine="420" w:firstLineChars="0"/>
        <w:jc w:val="right"/>
        <w:rPr>
          <w:rFonts w:hint="eastAsia" w:ascii="宋体" w:hAnsi="宋体" w:cs="宋体"/>
          <w:color w:val="auto"/>
          <w:kern w:val="0"/>
          <w:szCs w:val="21"/>
          <w:lang w:bidi="ar"/>
        </w:rPr>
      </w:pPr>
      <w:r>
        <w:rPr>
          <w:rFonts w:hint="eastAsia" w:ascii="宋体" w:hAnsi="宋体" w:cs="宋体"/>
          <w:color w:val="auto"/>
          <w:kern w:val="0"/>
          <w:szCs w:val="21"/>
          <w:lang w:bidi="ar"/>
        </w:rPr>
        <w:t>法定代表人、负责人、本人或授权代表（</w:t>
      </w:r>
      <w:r>
        <w:rPr>
          <w:rFonts w:hint="eastAsia" w:ascii="宋体" w:hAnsi="宋体"/>
          <w:snapToGrid w:val="0"/>
          <w:color w:val="auto"/>
          <w:kern w:val="0"/>
        </w:rPr>
        <w:t>电子签名或电子签章</w:t>
      </w:r>
      <w:r>
        <w:rPr>
          <w:rFonts w:hint="eastAsia" w:ascii="宋体" w:hAnsi="宋体" w:cs="宋体"/>
          <w:color w:val="auto"/>
          <w:kern w:val="0"/>
          <w:szCs w:val="21"/>
          <w:lang w:bidi="ar"/>
        </w:rPr>
        <w:t>）：</w:t>
      </w:r>
    </w:p>
    <w:p w14:paraId="63C14B7C">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日期：  年  月  日</w:t>
      </w:r>
    </w:p>
    <w:p w14:paraId="5B3A5623">
      <w:pPr>
        <w:widowControl/>
        <w:spacing w:line="400" w:lineRule="exact"/>
        <w:ind w:firstLine="210" w:firstLineChars="10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 注：1、投标人须在投标文件中按此模板提供承诺函，未提供视为未实质性响应招标文件要求，按无效投标处理。</w:t>
      </w:r>
    </w:p>
    <w:p w14:paraId="1E06F90B">
      <w:pPr>
        <w:widowControl/>
        <w:spacing w:line="400" w:lineRule="exact"/>
        <w:ind w:firstLine="735" w:firstLineChars="350"/>
        <w:jc w:val="left"/>
        <w:rPr>
          <w:rFonts w:ascii="宋体" w:hAnsi="宋体"/>
          <w:color w:val="auto"/>
        </w:rPr>
        <w:sectPr>
          <w:headerReference r:id="rId11" w:type="default"/>
          <w:footerReference r:id="rId12" w:type="default"/>
          <w:pgSz w:w="11905" w:h="16838"/>
          <w:pgMar w:top="1134" w:right="1134" w:bottom="1134" w:left="1417" w:header="850" w:footer="850" w:gutter="0"/>
          <w:pgNumType w:fmt="numberInDash"/>
          <w:cols w:space="720" w:num="1"/>
          <w:rtlGutter w:val="0"/>
          <w:docGrid w:type="lines" w:linePitch="411" w:charSpace="0"/>
        </w:sectPr>
      </w:pPr>
      <w:r>
        <w:rPr>
          <w:rFonts w:hint="eastAsia" w:ascii="宋体" w:hAnsi="宋体" w:cs="宋体"/>
          <w:color w:val="auto"/>
          <w:kern w:val="0"/>
          <w:szCs w:val="21"/>
          <w:lang w:bidi="ar"/>
        </w:rPr>
        <w:t>2、投标人的法定代表人或者授权代表的签字或盖章应真实、有效，如由授权代表签字或盖章的，应提供“法定代表人授权书”</w:t>
      </w:r>
    </w:p>
    <w:p w14:paraId="45914A64">
      <w:pPr>
        <w:pStyle w:val="28"/>
      </w:pPr>
    </w:p>
    <w:bookmarkEnd w:id="975"/>
    <w:bookmarkEnd w:id="976"/>
    <w:bookmarkEnd w:id="979"/>
    <w:bookmarkEnd w:id="980"/>
    <w:bookmarkEnd w:id="981"/>
    <w:p w14:paraId="6F5990C0">
      <w:pPr>
        <w:wordWrap w:val="0"/>
        <w:spacing w:line="420" w:lineRule="exact"/>
        <w:jc w:val="center"/>
        <w:outlineLvl w:val="1"/>
        <w:rPr>
          <w:rFonts w:hint="eastAsia" w:ascii="宋体" w:hAnsi="宋体" w:eastAsia="宋体" w:cs="宋体"/>
          <w:b/>
          <w:bCs/>
          <w:kern w:val="2"/>
          <w:sz w:val="32"/>
          <w:szCs w:val="32"/>
          <w:lang w:val="en-US" w:eastAsia="zh-CN" w:bidi="ar-SA"/>
        </w:rPr>
      </w:pPr>
      <w:bookmarkStart w:id="984" w:name="_Toc20467"/>
      <w:bookmarkStart w:id="985" w:name="_Toc21211"/>
      <w:r>
        <w:rPr>
          <w:rFonts w:hint="eastAsia" w:ascii="宋体" w:hAnsi="宋体" w:eastAsia="宋体" w:cs="宋体"/>
          <w:b/>
          <w:bCs/>
          <w:kern w:val="2"/>
          <w:sz w:val="32"/>
          <w:szCs w:val="32"/>
          <w:lang w:val="en-US" w:eastAsia="zh-CN" w:bidi="ar-SA"/>
        </w:rPr>
        <w:t>七、</w:t>
      </w:r>
      <w:bookmarkEnd w:id="984"/>
      <w:bookmarkEnd w:id="985"/>
      <w:r>
        <w:rPr>
          <w:rFonts w:hint="eastAsia" w:ascii="宋体" w:hAnsi="宋体" w:eastAsia="宋体" w:cs="宋体"/>
          <w:b/>
          <w:bCs/>
          <w:kern w:val="2"/>
          <w:sz w:val="32"/>
          <w:szCs w:val="32"/>
          <w:lang w:val="en-US" w:eastAsia="zh-CN" w:bidi="ar-SA"/>
        </w:rPr>
        <w:t>技术部分</w:t>
      </w:r>
    </w:p>
    <w:p w14:paraId="37C02735">
      <w:pPr>
        <w:jc w:val="center"/>
        <w:rPr>
          <w:rFonts w:hint="eastAsia"/>
          <w:sz w:val="24"/>
          <w:szCs w:val="24"/>
          <w:lang w:val="en-US" w:eastAsia="zh-CN"/>
        </w:rPr>
      </w:pPr>
    </w:p>
    <w:p w14:paraId="3E060A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r>
        <w:rPr>
          <w:rFonts w:hint="eastAsia"/>
          <w:sz w:val="24"/>
          <w:szCs w:val="24"/>
          <w:lang w:val="en-US" w:eastAsia="zh-CN"/>
        </w:rPr>
        <w:t>包含但不限于：</w:t>
      </w:r>
    </w:p>
    <w:p w14:paraId="09D123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sz w:val="24"/>
          <w:szCs w:val="24"/>
          <w:highlight w:val="none"/>
        </w:rPr>
      </w:pPr>
      <w:r>
        <w:rPr>
          <w:rFonts w:hint="eastAsia" w:ascii="Times New Roman" w:hAnsi="Times New Roman" w:eastAsia="宋体" w:cs="Times New Roman"/>
          <w:kern w:val="2"/>
          <w:sz w:val="24"/>
          <w:szCs w:val="24"/>
          <w:lang w:val="en-US" w:eastAsia="zh-CN" w:bidi="ar-SA"/>
        </w:rPr>
        <w:t>1、</w:t>
      </w:r>
      <w:r>
        <w:rPr>
          <w:rFonts w:hint="eastAsia"/>
          <w:sz w:val="24"/>
          <w:szCs w:val="24"/>
        </w:rPr>
        <w:t>投标产品详细介</w:t>
      </w:r>
      <w:r>
        <w:rPr>
          <w:rFonts w:hint="eastAsia"/>
          <w:sz w:val="24"/>
          <w:szCs w:val="24"/>
          <w:highlight w:val="none"/>
        </w:rPr>
        <w:t>绍（需提供详细、有效证明文件）</w:t>
      </w:r>
    </w:p>
    <w:p w14:paraId="622ABE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eastAsia="宋体"/>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sz w:val="24"/>
          <w:szCs w:val="24"/>
          <w:lang w:val="en-US" w:eastAsia="zh-CN"/>
        </w:rPr>
        <w:t>项目技术方案等</w:t>
      </w:r>
    </w:p>
    <w:p w14:paraId="7CF5A449">
      <w:pPr>
        <w:pStyle w:val="8"/>
        <w:rPr>
          <w:rFonts w:hint="eastAsia"/>
          <w:sz w:val="24"/>
          <w:szCs w:val="24"/>
        </w:rPr>
      </w:pPr>
    </w:p>
    <w:p w14:paraId="4EA49127">
      <w:pPr>
        <w:rPr>
          <w:rFonts w:hint="eastAsia"/>
          <w:sz w:val="24"/>
          <w:szCs w:val="24"/>
        </w:rPr>
      </w:pPr>
    </w:p>
    <w:p w14:paraId="69571A3B">
      <w:pPr>
        <w:pStyle w:val="8"/>
        <w:rPr>
          <w:rFonts w:hint="eastAsia"/>
          <w:sz w:val="24"/>
          <w:szCs w:val="24"/>
        </w:rPr>
      </w:pPr>
    </w:p>
    <w:p w14:paraId="0F9BD18A">
      <w:pPr>
        <w:rPr>
          <w:rFonts w:hint="eastAsia"/>
        </w:rPr>
      </w:pPr>
    </w:p>
    <w:p w14:paraId="2B82A723">
      <w:pPr>
        <w:pStyle w:val="8"/>
        <w:rPr>
          <w:rFonts w:hint="eastAsia"/>
          <w:lang w:val="en-US" w:eastAsia="zh-CN"/>
        </w:rPr>
      </w:pPr>
    </w:p>
    <w:p w14:paraId="1DD4203F">
      <w:pPr>
        <w:jc w:val="center"/>
        <w:rPr>
          <w:rFonts w:hint="eastAsia" w:ascii="宋体" w:hAnsi="宋体" w:cs="宋体"/>
          <w:b/>
          <w:sz w:val="30"/>
          <w:szCs w:val="30"/>
          <w:lang w:val="en-US" w:eastAsia="zh-CN"/>
        </w:rPr>
      </w:pPr>
    </w:p>
    <w:p w14:paraId="652904C8">
      <w:pPr>
        <w:pStyle w:val="8"/>
        <w:jc w:val="center"/>
        <w:rPr>
          <w:rFonts w:hint="eastAsia" w:ascii="宋体" w:hAnsi="宋体" w:cs="宋体"/>
          <w:b/>
          <w:sz w:val="30"/>
          <w:szCs w:val="30"/>
          <w:lang w:val="en-US" w:eastAsia="zh-CN"/>
        </w:rPr>
      </w:pPr>
    </w:p>
    <w:p w14:paraId="077C1278">
      <w:pPr>
        <w:rPr>
          <w:rFonts w:hint="eastAsia" w:ascii="宋体" w:hAnsi="宋体" w:cs="宋体"/>
          <w:b/>
          <w:sz w:val="30"/>
          <w:szCs w:val="30"/>
          <w:lang w:val="en-US" w:eastAsia="zh-CN"/>
        </w:rPr>
      </w:pPr>
    </w:p>
    <w:p w14:paraId="3DEB7926">
      <w:pPr>
        <w:rPr>
          <w:rFonts w:hint="eastAsia" w:ascii="宋体" w:hAnsi="宋体" w:cs="宋体"/>
          <w:b/>
          <w:sz w:val="30"/>
          <w:szCs w:val="30"/>
          <w:lang w:val="en-US" w:eastAsia="zh-CN"/>
        </w:rPr>
      </w:pPr>
    </w:p>
    <w:p w14:paraId="5A8851D2">
      <w:pPr>
        <w:rPr>
          <w:rFonts w:hint="eastAsia" w:ascii="宋体" w:hAnsi="宋体" w:cs="宋体"/>
          <w:b/>
          <w:sz w:val="30"/>
          <w:szCs w:val="30"/>
          <w:lang w:val="en-US" w:eastAsia="zh-CN"/>
        </w:rPr>
      </w:pPr>
    </w:p>
    <w:p w14:paraId="56D19D95">
      <w:pPr>
        <w:rPr>
          <w:rFonts w:hint="eastAsia" w:ascii="宋体" w:hAnsi="宋体" w:cs="宋体"/>
          <w:b/>
          <w:sz w:val="30"/>
          <w:szCs w:val="30"/>
          <w:lang w:val="en-US" w:eastAsia="zh-CN"/>
        </w:rPr>
      </w:pPr>
    </w:p>
    <w:p w14:paraId="3ED5377B">
      <w:pPr>
        <w:rPr>
          <w:rFonts w:hint="eastAsia" w:ascii="宋体" w:hAnsi="宋体" w:cs="宋体"/>
          <w:b/>
          <w:sz w:val="30"/>
          <w:szCs w:val="30"/>
          <w:lang w:val="en-US" w:eastAsia="zh-CN"/>
        </w:rPr>
      </w:pPr>
    </w:p>
    <w:p w14:paraId="120FC4C8">
      <w:pPr>
        <w:rPr>
          <w:rFonts w:hint="eastAsia" w:ascii="宋体" w:hAnsi="宋体" w:cs="宋体"/>
          <w:b/>
          <w:sz w:val="30"/>
          <w:szCs w:val="30"/>
          <w:lang w:val="en-US" w:eastAsia="zh-CN"/>
        </w:rPr>
      </w:pPr>
    </w:p>
    <w:p w14:paraId="5A28FA02">
      <w:pPr>
        <w:rPr>
          <w:rFonts w:hint="eastAsia" w:ascii="宋体" w:hAnsi="宋体" w:cs="宋体"/>
          <w:b/>
          <w:sz w:val="30"/>
          <w:szCs w:val="30"/>
          <w:lang w:val="en-US" w:eastAsia="zh-CN"/>
        </w:rPr>
      </w:pPr>
    </w:p>
    <w:p w14:paraId="61E95694">
      <w:pPr>
        <w:rPr>
          <w:rFonts w:hint="eastAsia" w:ascii="宋体" w:hAnsi="宋体" w:cs="宋体"/>
          <w:b/>
          <w:sz w:val="30"/>
          <w:szCs w:val="30"/>
          <w:lang w:val="en-US" w:eastAsia="zh-CN"/>
        </w:rPr>
      </w:pPr>
    </w:p>
    <w:p w14:paraId="421D1848">
      <w:pPr>
        <w:rPr>
          <w:rFonts w:hint="eastAsia" w:ascii="宋体" w:hAnsi="宋体" w:cs="宋体"/>
          <w:b/>
          <w:sz w:val="30"/>
          <w:szCs w:val="30"/>
          <w:lang w:val="en-US" w:eastAsia="zh-CN"/>
        </w:rPr>
      </w:pPr>
    </w:p>
    <w:p w14:paraId="75A73DBA">
      <w:pPr>
        <w:rPr>
          <w:rFonts w:hint="eastAsia" w:ascii="宋体" w:hAnsi="宋体" w:cs="宋体"/>
          <w:b/>
          <w:sz w:val="30"/>
          <w:szCs w:val="30"/>
          <w:lang w:val="en-US" w:eastAsia="zh-CN"/>
        </w:rPr>
      </w:pPr>
    </w:p>
    <w:p w14:paraId="0E8CFD07">
      <w:pPr>
        <w:wordWrap w:val="0"/>
        <w:spacing w:line="420" w:lineRule="exact"/>
        <w:jc w:val="center"/>
        <w:outlineLvl w:val="1"/>
        <w:rPr>
          <w:rFonts w:hint="eastAsia" w:ascii="宋体" w:hAnsi="宋体" w:cs="宋体"/>
          <w:b/>
          <w:bCs/>
          <w:kern w:val="2"/>
          <w:sz w:val="32"/>
          <w:szCs w:val="32"/>
          <w:lang w:val="en-US" w:eastAsia="zh-CN" w:bidi="ar-SA"/>
        </w:rPr>
      </w:pPr>
      <w:bookmarkStart w:id="986" w:name="_Toc12738"/>
    </w:p>
    <w:p w14:paraId="1C8C33EE">
      <w:pPr>
        <w:wordWrap w:val="0"/>
        <w:spacing w:line="420" w:lineRule="exact"/>
        <w:jc w:val="center"/>
        <w:outlineLvl w:val="1"/>
        <w:rPr>
          <w:rFonts w:hint="eastAsia" w:ascii="宋体" w:hAnsi="宋体" w:eastAsia="宋体" w:cs="宋体"/>
          <w:b/>
          <w:bCs/>
          <w:kern w:val="2"/>
          <w:sz w:val="32"/>
          <w:szCs w:val="32"/>
          <w:lang w:val="en-US" w:eastAsia="zh-CN" w:bidi="ar-SA"/>
        </w:rPr>
      </w:pPr>
      <w:r>
        <w:rPr>
          <w:rFonts w:hint="eastAsia" w:ascii="宋体" w:hAnsi="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其他材料</w:t>
      </w:r>
    </w:p>
    <w:p w14:paraId="03E3DA68">
      <w:pPr>
        <w:jc w:val="center"/>
        <w:rPr>
          <w:rFonts w:hint="eastAsia" w:ascii="Times New Roman" w:hAnsi="Times New Roman" w:eastAsia="宋体" w:cs="Times New Roman"/>
          <w:sz w:val="24"/>
          <w:szCs w:val="24"/>
        </w:rPr>
      </w:pPr>
      <w:r>
        <w:rPr>
          <w:rFonts w:hint="eastAsia"/>
          <w:sz w:val="24"/>
          <w:szCs w:val="24"/>
        </w:rPr>
        <w:t>1、</w:t>
      </w:r>
      <w:bookmarkEnd w:id="986"/>
      <w:r>
        <w:rPr>
          <w:rFonts w:hint="eastAsia" w:ascii="Times New Roman" w:hAnsi="Times New Roman" w:eastAsia="宋体" w:cs="Times New Roman"/>
          <w:sz w:val="24"/>
          <w:szCs w:val="24"/>
          <w:lang w:val="en-US" w:eastAsia="zh-CN"/>
        </w:rPr>
        <w:t>反商业贿赂承诺书</w:t>
      </w:r>
    </w:p>
    <w:p w14:paraId="2CB4253F">
      <w:pPr>
        <w:pStyle w:val="8"/>
        <w:spacing w:before="7"/>
        <w:rPr>
          <w:rFonts w:ascii="宋体" w:hAnsi="宋体" w:cs="宋体"/>
          <w:b/>
          <w:sz w:val="22"/>
          <w:szCs w:val="22"/>
        </w:rPr>
      </w:pPr>
    </w:p>
    <w:p w14:paraId="71A96CF9">
      <w:pPr>
        <w:rPr>
          <w:rFonts w:hint="eastAsia"/>
          <w:sz w:val="24"/>
          <w:szCs w:val="24"/>
        </w:rPr>
      </w:pPr>
    </w:p>
    <w:p w14:paraId="6FDFD6D4">
      <w:pPr>
        <w:spacing w:line="360" w:lineRule="auto"/>
        <w:rPr>
          <w:rFonts w:hint="eastAsia"/>
          <w:sz w:val="24"/>
          <w:szCs w:val="24"/>
        </w:rPr>
      </w:pPr>
      <w:r>
        <w:rPr>
          <w:rFonts w:hint="eastAsia"/>
          <w:sz w:val="24"/>
          <w:szCs w:val="24"/>
        </w:rPr>
        <w:t>我公司承诺：</w:t>
      </w:r>
    </w:p>
    <w:p w14:paraId="23EBC0A5">
      <w:pPr>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w:t>
      </w:r>
      <w:r>
        <w:rPr>
          <w:rFonts w:hint="eastAsia" w:hAnsi="宋体"/>
          <w:sz w:val="24"/>
          <w:szCs w:val="24"/>
          <w:lang w:val="en-US" w:eastAsia="zh-CN"/>
        </w:rPr>
        <w:t>采购</w:t>
      </w:r>
      <w:r>
        <w:rPr>
          <w:rFonts w:hint="eastAsia" w:hAnsi="宋体"/>
          <w:sz w:val="24"/>
          <w:szCs w:val="24"/>
        </w:rPr>
        <w:t xml:space="preserve">编号为： </w:t>
      </w:r>
      <w:r>
        <w:rPr>
          <w:rFonts w:hint="eastAsia" w:hAnsi="宋体"/>
          <w:sz w:val="24"/>
          <w:szCs w:val="24"/>
          <w:u w:val="single"/>
        </w:rPr>
        <w:t xml:space="preserve">            </w:t>
      </w:r>
      <w:r>
        <w:rPr>
          <w:rFonts w:hint="eastAsia" w:hAnsi="宋体"/>
          <w:sz w:val="24"/>
          <w:szCs w:val="24"/>
        </w:rPr>
        <w:t>采购活动中，我方保证做到：</w:t>
      </w:r>
    </w:p>
    <w:p w14:paraId="6CFC1FF5">
      <w:pPr>
        <w:spacing w:line="360" w:lineRule="auto"/>
        <w:ind w:firstLine="480" w:firstLineChars="200"/>
        <w:rPr>
          <w:rFonts w:hint="eastAsia"/>
          <w:sz w:val="24"/>
          <w:szCs w:val="24"/>
        </w:rPr>
      </w:pPr>
      <w:r>
        <w:rPr>
          <w:rFonts w:hint="eastAsia"/>
          <w:sz w:val="24"/>
          <w:szCs w:val="24"/>
        </w:rPr>
        <w:t>一、公平竞争参加本次采购活动。</w:t>
      </w:r>
    </w:p>
    <w:p w14:paraId="03294FD6">
      <w:pPr>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5365CB0F">
      <w:pPr>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21D807DB">
      <w:pPr>
        <w:rPr>
          <w:rFonts w:hint="eastAsia"/>
          <w:sz w:val="24"/>
          <w:szCs w:val="24"/>
        </w:rPr>
      </w:pPr>
    </w:p>
    <w:p w14:paraId="44A4F309">
      <w:pPr>
        <w:spacing w:line="360" w:lineRule="auto"/>
        <w:jc w:val="center"/>
        <w:rPr>
          <w:rFonts w:hint="eastAsia"/>
          <w:sz w:val="24"/>
          <w:szCs w:val="24"/>
        </w:rPr>
      </w:pPr>
      <w:r>
        <w:rPr>
          <w:rFonts w:hint="eastAsia"/>
          <w:sz w:val="24"/>
          <w:szCs w:val="24"/>
        </w:rPr>
        <w:t xml:space="preserve">      供应商（盖单位公章） ：</w:t>
      </w:r>
    </w:p>
    <w:p w14:paraId="65DFCA2B">
      <w:pPr>
        <w:spacing w:line="360" w:lineRule="auto"/>
        <w:jc w:val="center"/>
        <w:rPr>
          <w:rFonts w:hint="eastAsia"/>
          <w:sz w:val="24"/>
          <w:szCs w:val="24"/>
        </w:rPr>
      </w:pP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p>
    <w:p w14:paraId="1DC119D7">
      <w:pPr>
        <w:spacing w:line="360" w:lineRule="auto"/>
        <w:jc w:val="center"/>
        <w:rPr>
          <w:rFonts w:hint="eastAsia" w:hAnsi="宋体"/>
          <w:spacing w:val="20"/>
          <w:sz w:val="24"/>
          <w:szCs w:val="24"/>
        </w:rPr>
      </w:pPr>
      <w:r>
        <w:rPr>
          <w:rFonts w:hint="eastAsia" w:hAnsi="宋体"/>
          <w:sz w:val="24"/>
          <w:szCs w:val="24"/>
        </w:rPr>
        <w:t xml:space="preserve">                   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5AF19F92">
      <w:pPr>
        <w:spacing w:line="420" w:lineRule="exact"/>
        <w:ind w:firstLine="470" w:firstLineChars="196"/>
        <w:rPr>
          <w:rFonts w:hint="eastAsia" w:hAnsi="宋体"/>
          <w:sz w:val="24"/>
          <w:szCs w:val="24"/>
        </w:rPr>
      </w:pPr>
      <w:r>
        <w:rPr>
          <w:rFonts w:hint="eastAsia" w:hAnsi="宋体"/>
          <w:sz w:val="24"/>
          <w:szCs w:val="24"/>
        </w:rPr>
        <w:t>注：本承诺书应由法定代表人</w:t>
      </w:r>
      <w:r>
        <w:rPr>
          <w:rFonts w:hint="eastAsia" w:hAnsi="宋体"/>
          <w:sz w:val="24"/>
          <w:szCs w:val="24"/>
          <w:lang w:eastAsia="zh-CN"/>
        </w:rPr>
        <w:t>（</w:t>
      </w:r>
      <w:r>
        <w:rPr>
          <w:rFonts w:hint="eastAsia" w:hAnsi="宋体"/>
          <w:sz w:val="24"/>
          <w:szCs w:val="24"/>
          <w:lang w:val="en-US" w:eastAsia="zh-CN"/>
        </w:rPr>
        <w:t>负责人）</w:t>
      </w:r>
      <w:r>
        <w:rPr>
          <w:rFonts w:hint="eastAsia" w:hAnsi="宋体"/>
          <w:sz w:val="24"/>
          <w:szCs w:val="24"/>
        </w:rPr>
        <w:t>或授权代理人签字并加盖公章，</w:t>
      </w:r>
      <w:r>
        <w:rPr>
          <w:rFonts w:hint="eastAsia" w:hAnsi="宋体"/>
          <w:bCs/>
          <w:sz w:val="24"/>
          <w:szCs w:val="24"/>
        </w:rPr>
        <w:t>否则视为无效文件</w:t>
      </w:r>
      <w:r>
        <w:rPr>
          <w:rFonts w:hint="eastAsia" w:hAnsi="宋体"/>
          <w:sz w:val="24"/>
          <w:szCs w:val="24"/>
        </w:rPr>
        <w:t>。</w:t>
      </w:r>
    </w:p>
    <w:p w14:paraId="6AC4A99D">
      <w:pPr>
        <w:spacing w:line="400" w:lineRule="exact"/>
        <w:jc w:val="center"/>
        <w:rPr>
          <w:rFonts w:hint="eastAsia" w:hAnsi="宋体"/>
          <w:b/>
          <w:sz w:val="24"/>
          <w:szCs w:val="24"/>
        </w:rPr>
      </w:pPr>
    </w:p>
    <w:p w14:paraId="518FF324">
      <w:pPr>
        <w:spacing w:line="400" w:lineRule="exact"/>
        <w:rPr>
          <w:rFonts w:hint="eastAsia" w:hAnsi="宋体"/>
          <w:b/>
          <w:sz w:val="21"/>
          <w:szCs w:val="21"/>
        </w:rPr>
      </w:pPr>
      <w:r>
        <w:rPr>
          <w:rFonts w:hint="eastAsia" w:hAnsi="宋体"/>
          <w:b/>
          <w:sz w:val="21"/>
          <w:szCs w:val="21"/>
        </w:rPr>
        <w:br w:type="page"/>
      </w:r>
    </w:p>
    <w:p w14:paraId="270576B8">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4"/>
          <w:szCs w:val="24"/>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采购项目承诺书</w:t>
      </w:r>
    </w:p>
    <w:p w14:paraId="2144954C">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14:paraId="00EAC00F">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本承诺书作为我方参加 </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）投标文件不可分割的一部分。我方参加本次投标特郑重作出如下承诺：</w:t>
      </w:r>
    </w:p>
    <w:p w14:paraId="367F9FE4">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1、我方已经过详细市场调查，本次所投报产品货源充足，保证不会出现无货、断货现象；</w:t>
      </w:r>
    </w:p>
    <w:p w14:paraId="08A74300">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我方将严格履行招标文件中规定的每一项要求，按所投产品的品牌、型号及约定的交货（完工）期保质、保量提交货物和相关服务，保证所提供的所有产品均符合国家相关标准规范或强制性规定，所供产品均为原厂生产的合格产品、符合招标文件各项技术参数要求的规定，绝不提供假冒伪劣产品，如需要我方可以提供相关出厂合格证明</w:t>
      </w:r>
      <w:r>
        <w:rPr>
          <w:rFonts w:hint="eastAsia" w:asciiTheme="minorEastAsia" w:hAnsiTheme="minorEastAsia" w:eastAsiaTheme="minorEastAsia" w:cstheme="minorEastAsia"/>
          <w:sz w:val="24"/>
          <w:szCs w:val="24"/>
        </w:rPr>
        <w:t>或测试报告</w:t>
      </w:r>
      <w:r>
        <w:rPr>
          <w:rFonts w:hint="eastAsia" w:asciiTheme="minorEastAsia" w:hAnsiTheme="minorEastAsia" w:eastAsiaTheme="minorEastAsia" w:cstheme="minorEastAsia"/>
          <w:bCs/>
          <w:sz w:val="24"/>
          <w:szCs w:val="24"/>
        </w:rPr>
        <w:t>；</w:t>
      </w:r>
    </w:p>
    <w:p w14:paraId="25BE5975">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3、如无法按我方承诺期限如期交货，我方愿按合同条款承担相应违约责任，对采购人造成损失的，我方愿承担相应赔偿责任；</w:t>
      </w:r>
    </w:p>
    <w:p w14:paraId="00438B89">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4、采购人验收时如发现我方所供产品与投标文件中所承诺的产品型号、规格、技术参数要求不符的，我方将立即无条件更换。如因此造成交货及安装周期超出我方承诺期限的，我方愿承担合同约定的违约责任；</w:t>
      </w:r>
    </w:p>
    <w:p w14:paraId="485FD4CE">
      <w:pPr>
        <w:spacing w:line="500" w:lineRule="exact"/>
        <w:ind w:left="1"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sz w:val="24"/>
          <w:szCs w:val="24"/>
        </w:rPr>
        <w:t>我方提供的产品如不能满足招标文件要求的，采购人有权拒绝接收；</w:t>
      </w:r>
    </w:p>
    <w:p w14:paraId="7B420FD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如我方中标，在公示期内或领取中标（成交）通知书后，我方无正当理由（如自身报价失误、无法组织及时交货、资金不到位、帐户无法正常使用等）放弃中标资格，我方愿接受财政部门做出的记入不良诚信记录、网上曝光、禁止参加政府采购活动等的处理；</w:t>
      </w:r>
    </w:p>
    <w:p w14:paraId="760D7BEA">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7、我方已详细阅读了本招标文件，保证可以完全响应招标文件所有要求，并理解你方或评标委员会对我方进行资格审查的权利，如在资格审查中发现我方存在有违规行为愿承担相应法律责任；</w:t>
      </w:r>
    </w:p>
    <w:p w14:paraId="3006314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8、保证不将我方的有关资格、资质证书转借他人投标，不与他人进行串标、围标，不将本项目进行转包或分包。</w:t>
      </w:r>
    </w:p>
    <w:p w14:paraId="6115A42B">
      <w:pPr>
        <w:spacing w:line="420" w:lineRule="exact"/>
        <w:ind w:firstLine="470" w:firstLineChars="19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供应商（盖单位公章）：               </w:t>
      </w:r>
    </w:p>
    <w:p w14:paraId="215D1D7A">
      <w:pPr>
        <w:spacing w:line="420" w:lineRule="exact"/>
        <w:ind w:firstLine="470" w:firstLineChars="19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或其委托代理人（签字或盖章）：</w:t>
      </w:r>
    </w:p>
    <w:p w14:paraId="0ADE9E32">
      <w:pPr>
        <w:spacing w:line="42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14:paraId="311960BD">
      <w:pPr>
        <w:spacing w:line="42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r>
        <w:rPr>
          <w:rFonts w:hint="eastAsia" w:asciiTheme="minorEastAsia" w:hAnsiTheme="minorEastAsia" w:eastAsiaTheme="minorEastAsia" w:cstheme="minorEastAsia"/>
          <w:spacing w:val="20"/>
          <w:sz w:val="24"/>
          <w:szCs w:val="24"/>
        </w:rPr>
        <w:t>以上</w:t>
      </w:r>
      <w:r>
        <w:rPr>
          <w:rFonts w:hint="eastAsia" w:asciiTheme="minorEastAsia" w:hAnsiTheme="minorEastAsia" w:eastAsiaTheme="minorEastAsia" w:cstheme="minorEastAsia"/>
          <w:sz w:val="24"/>
          <w:szCs w:val="24"/>
        </w:rPr>
        <w:t>承诺书内容不得随意改动，本承诺书应由法定代表人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或授权代理人签字并加盖公章，</w:t>
      </w:r>
      <w:r>
        <w:rPr>
          <w:rFonts w:hint="eastAsia" w:asciiTheme="minorEastAsia" w:hAnsiTheme="minorEastAsia" w:eastAsiaTheme="minorEastAsia" w:cstheme="minorEastAsia"/>
          <w:bCs/>
          <w:sz w:val="24"/>
          <w:szCs w:val="24"/>
        </w:rPr>
        <w:t>否则视为无效投标文件</w:t>
      </w:r>
      <w:r>
        <w:rPr>
          <w:rFonts w:hint="eastAsia" w:asciiTheme="minorEastAsia" w:hAnsiTheme="minorEastAsia" w:eastAsiaTheme="minorEastAsia" w:cstheme="minorEastAsia"/>
          <w:sz w:val="24"/>
          <w:szCs w:val="24"/>
        </w:rPr>
        <w:t>。</w:t>
      </w:r>
    </w:p>
    <w:p w14:paraId="3A712078">
      <w:pPr>
        <w:bidi w:val="0"/>
        <w:rPr>
          <w:rFonts w:ascii="宋体" w:hAnsi="宋体" w:cs="宋体"/>
        </w:rPr>
      </w:pPr>
    </w:p>
    <w:p w14:paraId="47DD863A">
      <w:pPr>
        <w:pStyle w:val="8"/>
        <w:rPr>
          <w:rFonts w:ascii="宋体" w:hAnsi="宋体" w:cs="宋体"/>
        </w:rPr>
      </w:pPr>
    </w:p>
    <w:p w14:paraId="5DC3CC9F">
      <w:pPr>
        <w:pStyle w:val="30"/>
        <w:rPr>
          <w:rFonts w:ascii="宋体" w:hAnsi="宋体" w:cs="宋体"/>
        </w:rPr>
      </w:pPr>
    </w:p>
    <w:p w14:paraId="53CED5A1">
      <w:pPr>
        <w:pStyle w:val="32"/>
        <w:rPr>
          <w:rFonts w:ascii="宋体" w:hAnsi="宋体" w:cs="宋体"/>
        </w:rPr>
      </w:pPr>
    </w:p>
    <w:p w14:paraId="6EB080B3">
      <w:pPr>
        <w:rPr>
          <w:rFonts w:ascii="宋体" w:hAnsi="宋体" w:cs="宋体"/>
        </w:rPr>
      </w:pPr>
    </w:p>
    <w:p w14:paraId="0D7661F6">
      <w:pPr>
        <w:pStyle w:val="8"/>
        <w:rPr>
          <w:rFonts w:ascii="宋体" w:hAnsi="宋体" w:cs="宋体"/>
        </w:rPr>
      </w:pPr>
    </w:p>
    <w:p w14:paraId="4A693D1C">
      <w:pPr>
        <w:pStyle w:val="30"/>
        <w:rPr>
          <w:rFonts w:ascii="宋体" w:hAnsi="宋体" w:cs="宋体"/>
        </w:rPr>
      </w:pPr>
    </w:p>
    <w:p w14:paraId="3FEB473C">
      <w:pPr>
        <w:pStyle w:val="32"/>
        <w:rPr>
          <w:rFonts w:ascii="宋体" w:hAnsi="宋体" w:cs="宋体"/>
        </w:rPr>
      </w:pPr>
    </w:p>
    <w:p w14:paraId="3EA32C90">
      <w:pPr>
        <w:rPr>
          <w:rFonts w:ascii="宋体" w:hAnsi="宋体" w:cs="宋体"/>
        </w:rPr>
      </w:pPr>
    </w:p>
    <w:p w14:paraId="7A0DAFF6">
      <w:pPr>
        <w:pStyle w:val="8"/>
      </w:pPr>
    </w:p>
    <w:p w14:paraId="14BB14AF">
      <w:pPr>
        <w:wordWrap w:val="0"/>
        <w:rPr>
          <w:rFonts w:ascii="宋体" w:hAnsi="宋体" w:cs="宋体"/>
        </w:rPr>
      </w:pPr>
    </w:p>
    <w:p w14:paraId="7185B43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14D4A73D">
      <w:pPr>
        <w:wordWrap w:val="0"/>
        <w:spacing w:line="420" w:lineRule="exact"/>
        <w:jc w:val="center"/>
        <w:outlineLvl w:val="1"/>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九、供应商认为应该提交的其他材料</w:t>
      </w:r>
    </w:p>
    <w:p w14:paraId="70BEA5F2">
      <w:pPr>
        <w:wordWrap w:val="0"/>
        <w:spacing w:line="420" w:lineRule="exact"/>
        <w:rPr>
          <w:rFonts w:ascii="宋体" w:hAnsi="宋体" w:cs="宋体"/>
          <w:b/>
          <w:bCs/>
          <w:szCs w:val="21"/>
        </w:rPr>
      </w:pPr>
    </w:p>
    <w:p w14:paraId="7E132C70">
      <w:pPr>
        <w:spacing w:line="420" w:lineRule="exact"/>
        <w:ind w:firstLine="551" w:firstLineChars="196"/>
        <w:rPr>
          <w:rFonts w:hint="eastAsia"/>
          <w:sz w:val="24"/>
          <w:szCs w:val="24"/>
        </w:rPr>
      </w:pPr>
      <w:bookmarkStart w:id="987" w:name="_Toc19333"/>
      <w:bookmarkStart w:id="988" w:name="_Toc19083"/>
      <w:r>
        <w:rPr>
          <w:rFonts w:hint="eastAsia" w:ascii="宋体" w:hAnsi="宋体" w:cs="宋体"/>
          <w:b/>
          <w:bCs/>
          <w:sz w:val="28"/>
          <w:szCs w:val="28"/>
        </w:rPr>
        <w:br w:type="page"/>
      </w:r>
      <w:bookmarkEnd w:id="987"/>
      <w:bookmarkEnd w:id="988"/>
    </w:p>
    <w:p w14:paraId="30A13BC4">
      <w:pPr>
        <w:wordWrap w:val="0"/>
        <w:spacing w:line="4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十、关于政府采购政策（有则附，没有不附）</w:t>
      </w:r>
    </w:p>
    <w:p w14:paraId="1867ACAD">
      <w:pPr>
        <w:autoSpaceDE w:val="0"/>
        <w:autoSpaceDN w:val="0"/>
        <w:adjustRightInd w:val="0"/>
        <w:spacing w:line="595" w:lineRule="exact"/>
        <w:ind w:right="-20"/>
        <w:jc w:val="center"/>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spacing w:val="2"/>
          <w:kern w:val="0"/>
          <w:sz w:val="24"/>
          <w:szCs w:val="24"/>
        </w:rPr>
        <w:t>政府采购政策、采购标的需满足的要求，以及投标人须提供的证明材料</w:t>
      </w:r>
    </w:p>
    <w:p w14:paraId="5080D8A0">
      <w:pPr>
        <w:pStyle w:val="21"/>
        <w:ind w:firstLine="240"/>
        <w:rPr>
          <w:rFonts w:hint="eastAsia" w:asciiTheme="minorEastAsia" w:hAnsiTheme="minorEastAsia" w:eastAsiaTheme="minorEastAsia" w:cstheme="minorEastAsia"/>
          <w:sz w:val="24"/>
          <w:szCs w:val="24"/>
        </w:rPr>
      </w:pPr>
    </w:p>
    <w:p w14:paraId="0A20E57A">
      <w:pPr>
        <w:wordWrap w:val="0"/>
        <w:jc w:val="center"/>
        <w:outlineLvl w:val="1"/>
        <w:rPr>
          <w:rFonts w:hint="eastAsia" w:asciiTheme="minorEastAsia" w:hAnsiTheme="minorEastAsia" w:eastAsiaTheme="minorEastAsia" w:cstheme="minorEastAsia"/>
          <w:b/>
          <w:bCs/>
          <w:sz w:val="24"/>
          <w:szCs w:val="24"/>
          <w:lang w:val="en-US" w:eastAsia="zh-CN"/>
        </w:rPr>
      </w:pPr>
      <w:bookmarkStart w:id="989" w:name="_Toc22789"/>
      <w:bookmarkStart w:id="990" w:name="_Toc746"/>
      <w:bookmarkStart w:id="991" w:name="_Toc5320"/>
      <w:bookmarkStart w:id="992" w:name="_Toc16158"/>
      <w:bookmarkStart w:id="993" w:name="_Toc9246"/>
      <w:bookmarkStart w:id="994" w:name="_Toc3557455"/>
      <w:bookmarkStart w:id="995" w:name="_Toc32628"/>
      <w:bookmarkStart w:id="996" w:name="_Toc30711"/>
      <w:bookmarkStart w:id="997" w:name="_Toc23143"/>
      <w:r>
        <w:rPr>
          <w:rFonts w:hint="eastAsia" w:asciiTheme="minorEastAsia" w:hAnsiTheme="minorEastAsia" w:eastAsiaTheme="minorEastAsia" w:cstheme="minorEastAsia"/>
          <w:b/>
          <w:bCs/>
          <w:sz w:val="24"/>
          <w:szCs w:val="24"/>
          <w:lang w:val="en-US" w:eastAsia="zh-CN"/>
        </w:rPr>
        <w:t>（一）关于中小企业及产品</w:t>
      </w:r>
      <w:bookmarkEnd w:id="989"/>
      <w:bookmarkEnd w:id="990"/>
      <w:bookmarkEnd w:id="991"/>
      <w:bookmarkEnd w:id="992"/>
      <w:bookmarkEnd w:id="993"/>
      <w:bookmarkEnd w:id="994"/>
      <w:bookmarkEnd w:id="995"/>
      <w:bookmarkEnd w:id="996"/>
      <w:bookmarkEnd w:id="997"/>
    </w:p>
    <w:p w14:paraId="5EE3E65B">
      <w:pPr>
        <w:pStyle w:val="21"/>
        <w:ind w:firstLine="240"/>
        <w:rPr>
          <w:rFonts w:hint="eastAsia" w:asciiTheme="minorEastAsia" w:hAnsiTheme="minorEastAsia" w:eastAsiaTheme="minorEastAsia" w:cstheme="minorEastAsia"/>
          <w:sz w:val="24"/>
          <w:szCs w:val="24"/>
        </w:rPr>
      </w:pPr>
    </w:p>
    <w:p w14:paraId="50D50F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（属于中小企业的填写，不属于的无需填写此项内容，也无需放入投标文件格式中）</w:t>
      </w:r>
    </w:p>
    <w:p w14:paraId="19EFB2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中小企业声明函（货物）</w:t>
      </w:r>
    </w:p>
    <w:p w14:paraId="79DD102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bCs/>
          <w:sz w:val="24"/>
          <w:szCs w:val="24"/>
        </w:rPr>
        <w:t>（单位名称）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rPr>
        <w:t>的（项目名称）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5205FE81">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属 </w:t>
      </w:r>
      <w:r>
        <w:rPr>
          <w:rFonts w:hint="eastAsia" w:asciiTheme="minorEastAsia" w:hAnsiTheme="minorEastAsia" w:eastAsiaTheme="minorEastAsia" w:cstheme="minorEastAsia"/>
          <w:sz w:val="24"/>
          <w:szCs w:val="24"/>
          <w:highlight w:val="none"/>
        </w:rPr>
        <w:t>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0022BAD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属 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w:t>
      </w:r>
      <w:r>
        <w:rPr>
          <w:rFonts w:hint="eastAsia" w:asciiTheme="minorEastAsia" w:hAnsiTheme="minorEastAsia" w:eastAsiaTheme="minorEastAsia" w:cstheme="minorEastAsia"/>
          <w:sz w:val="24"/>
          <w:szCs w:val="24"/>
        </w:rPr>
        <w:t>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34F1E7AA">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p w14:paraId="5CB6057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0CB3BA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2E90D06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企业名称（盖章）：</w:t>
      </w:r>
    </w:p>
    <w:p w14:paraId="39D62BC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w:t>
      </w:r>
    </w:p>
    <w:p w14:paraId="1F1CC79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02C9314A">
      <w:pPr>
        <w:rPr>
          <w:rFonts w:hint="eastAsia" w:ascii="宋体" w:hAnsi="宋体" w:cs="宋体"/>
          <w:sz w:val="24"/>
          <w:szCs w:val="24"/>
        </w:rPr>
      </w:pPr>
      <w:r>
        <w:rPr>
          <w:rFonts w:hint="eastAsia" w:ascii="宋体" w:hAnsi="宋体" w:cs="宋体"/>
          <w:sz w:val="24"/>
          <w:szCs w:val="24"/>
        </w:rPr>
        <w:br w:type="page"/>
      </w:r>
    </w:p>
    <w:p w14:paraId="6F0B6D64">
      <w:pPr>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100D3DBE">
      <w:pPr>
        <w:widowControl/>
        <w:spacing w:line="330" w:lineRule="atLeast"/>
        <w:jc w:val="center"/>
        <w:rPr>
          <w:rFonts w:ascii="方正小标宋_GBK" w:hAnsi="宋体" w:eastAsia="方正小标宋_GBK" w:cs="宋体"/>
          <w:color w:val="000000"/>
          <w:kern w:val="0"/>
          <w:sz w:val="22"/>
          <w:szCs w:val="22"/>
        </w:rPr>
      </w:pPr>
      <w:r>
        <w:rPr>
          <w:rFonts w:hint="eastAsia" w:ascii="宋体" w:hAnsi="宋体" w:cs="宋体"/>
          <w:color w:val="000000"/>
          <w:kern w:val="0"/>
          <w:sz w:val="22"/>
          <w:szCs w:val="22"/>
        </w:rPr>
        <w:t>国家统计局《统计上大中小微型企业划分标准》</w:t>
      </w:r>
    </w:p>
    <w:tbl>
      <w:tblPr>
        <w:tblStyle w:val="23"/>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24"/>
        <w:gridCol w:w="709"/>
        <w:gridCol w:w="1125"/>
        <w:gridCol w:w="1862"/>
        <w:gridCol w:w="1752"/>
        <w:gridCol w:w="1008"/>
      </w:tblGrid>
      <w:tr w14:paraId="30A9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58" w:type="dxa"/>
            <w:noWrap w:val="0"/>
            <w:vAlign w:val="center"/>
          </w:tcPr>
          <w:p w14:paraId="20192A1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行业名称</w:t>
            </w:r>
          </w:p>
        </w:tc>
        <w:tc>
          <w:tcPr>
            <w:tcW w:w="1524" w:type="dxa"/>
            <w:noWrap w:val="0"/>
            <w:vAlign w:val="center"/>
          </w:tcPr>
          <w:p w14:paraId="1A3460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指标名称</w:t>
            </w:r>
          </w:p>
        </w:tc>
        <w:tc>
          <w:tcPr>
            <w:tcW w:w="709" w:type="dxa"/>
            <w:noWrap w:val="0"/>
            <w:vAlign w:val="center"/>
          </w:tcPr>
          <w:p w14:paraId="2306E3DC">
            <w:pPr>
              <w:keepNext w:val="0"/>
              <w:keepLines w:val="0"/>
              <w:widowControl/>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计量</w:t>
            </w:r>
          </w:p>
          <w:p w14:paraId="529C63F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单位</w:t>
            </w:r>
          </w:p>
        </w:tc>
        <w:tc>
          <w:tcPr>
            <w:tcW w:w="1125" w:type="dxa"/>
            <w:noWrap w:val="0"/>
            <w:vAlign w:val="center"/>
          </w:tcPr>
          <w:p w14:paraId="0EF05FE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大型</w:t>
            </w:r>
          </w:p>
        </w:tc>
        <w:tc>
          <w:tcPr>
            <w:tcW w:w="1862" w:type="dxa"/>
            <w:noWrap w:val="0"/>
            <w:vAlign w:val="center"/>
          </w:tcPr>
          <w:p w14:paraId="44FEBC3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中型</w:t>
            </w:r>
          </w:p>
        </w:tc>
        <w:tc>
          <w:tcPr>
            <w:tcW w:w="1752" w:type="dxa"/>
            <w:noWrap w:val="0"/>
            <w:vAlign w:val="center"/>
          </w:tcPr>
          <w:p w14:paraId="70FF30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小型</w:t>
            </w:r>
          </w:p>
        </w:tc>
        <w:tc>
          <w:tcPr>
            <w:tcW w:w="1008" w:type="dxa"/>
            <w:noWrap w:val="0"/>
            <w:vAlign w:val="center"/>
          </w:tcPr>
          <w:p w14:paraId="5B8F3DB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微型</w:t>
            </w:r>
          </w:p>
        </w:tc>
      </w:tr>
      <w:tr w14:paraId="673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noWrap w:val="0"/>
            <w:vAlign w:val="center"/>
          </w:tcPr>
          <w:p w14:paraId="550AA8B6">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农、林、牧、渔业</w:t>
            </w:r>
          </w:p>
        </w:tc>
        <w:tc>
          <w:tcPr>
            <w:tcW w:w="1524" w:type="dxa"/>
            <w:noWrap w:val="0"/>
            <w:vAlign w:val="center"/>
          </w:tcPr>
          <w:p w14:paraId="2FD6510A">
            <w:pPr>
              <w:keepNext w:val="0"/>
              <w:keepLines w:val="0"/>
              <w:widowControl/>
              <w:suppressLineNumbers w:val="0"/>
              <w:spacing w:before="0" w:beforeAutospacing="0" w:after="0" w:afterAutospacing="0" w:line="240" w:lineRule="auto"/>
              <w:ind w:left="0" w:leftChars="0" w:right="0" w:firstLine="0" w:firstLineChars="0"/>
              <w:jc w:val="both"/>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503E9EA0">
            <w:pPr>
              <w:keepNext w:val="0"/>
              <w:keepLines w:val="0"/>
              <w:widowControl/>
              <w:suppressLineNumbers w:val="0"/>
              <w:spacing w:before="0" w:beforeAutospacing="0" w:after="0" w:afterAutospacing="0" w:line="240" w:lineRule="auto"/>
              <w:ind w:left="0" w:leftChars="0" w:right="0" w:firstLine="0" w:firstLineChars="0"/>
              <w:jc w:val="both"/>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2E87832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862" w:type="dxa"/>
            <w:noWrap w:val="0"/>
            <w:vAlign w:val="center"/>
          </w:tcPr>
          <w:p w14:paraId="133EFAA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752" w:type="dxa"/>
            <w:noWrap w:val="0"/>
            <w:vAlign w:val="center"/>
          </w:tcPr>
          <w:p w14:paraId="281FD82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500</w:t>
            </w:r>
          </w:p>
        </w:tc>
        <w:tc>
          <w:tcPr>
            <w:tcW w:w="1008" w:type="dxa"/>
            <w:noWrap w:val="0"/>
            <w:vAlign w:val="center"/>
          </w:tcPr>
          <w:p w14:paraId="332C366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w:t>
            </w:r>
          </w:p>
        </w:tc>
      </w:tr>
      <w:tr w14:paraId="479D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48362C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工业</w:t>
            </w:r>
            <w:r>
              <w:rPr>
                <w:rFonts w:hint="default" w:ascii="宋体" w:hAnsi="宋体" w:cs="宋体"/>
                <w:color w:val="000000"/>
                <w:kern w:val="0"/>
                <w:sz w:val="22"/>
                <w:szCs w:val="22"/>
                <w:highlight w:val="yellow"/>
              </w:rPr>
              <w:t xml:space="preserve"> *</w:t>
            </w:r>
          </w:p>
        </w:tc>
        <w:tc>
          <w:tcPr>
            <w:tcW w:w="1524" w:type="dxa"/>
            <w:noWrap w:val="0"/>
            <w:vAlign w:val="center"/>
          </w:tcPr>
          <w:p w14:paraId="73ABB48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从业人员</w:t>
            </w:r>
            <w:r>
              <w:rPr>
                <w:rFonts w:hint="default" w:ascii="宋体" w:hAnsi="宋体" w:cs="宋体"/>
                <w:color w:val="000000"/>
                <w:kern w:val="0"/>
                <w:sz w:val="22"/>
                <w:szCs w:val="22"/>
                <w:highlight w:val="yellow"/>
              </w:rPr>
              <w:t>(X)</w:t>
            </w:r>
          </w:p>
        </w:tc>
        <w:tc>
          <w:tcPr>
            <w:tcW w:w="709" w:type="dxa"/>
            <w:noWrap w:val="0"/>
            <w:vAlign w:val="center"/>
          </w:tcPr>
          <w:p w14:paraId="6C80A0E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人</w:t>
            </w:r>
          </w:p>
        </w:tc>
        <w:tc>
          <w:tcPr>
            <w:tcW w:w="1125" w:type="dxa"/>
            <w:noWrap w:val="0"/>
            <w:vAlign w:val="center"/>
          </w:tcPr>
          <w:p w14:paraId="34B8BBD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1000</w:t>
            </w:r>
          </w:p>
        </w:tc>
        <w:tc>
          <w:tcPr>
            <w:tcW w:w="1862" w:type="dxa"/>
            <w:noWrap w:val="0"/>
            <w:vAlign w:val="center"/>
          </w:tcPr>
          <w:p w14:paraId="5F3C5AF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300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1000</w:t>
            </w:r>
          </w:p>
        </w:tc>
        <w:tc>
          <w:tcPr>
            <w:tcW w:w="1752" w:type="dxa"/>
            <w:noWrap w:val="0"/>
            <w:vAlign w:val="center"/>
          </w:tcPr>
          <w:p w14:paraId="5D8BCE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 xml:space="preserve"> 20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300</w:t>
            </w:r>
          </w:p>
        </w:tc>
        <w:tc>
          <w:tcPr>
            <w:tcW w:w="1008" w:type="dxa"/>
            <w:noWrap w:val="0"/>
            <w:vAlign w:val="center"/>
          </w:tcPr>
          <w:p w14:paraId="6892AD3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20</w:t>
            </w:r>
          </w:p>
        </w:tc>
      </w:tr>
      <w:tr w14:paraId="538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1C44355">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highlight w:val="yellow"/>
              </w:rPr>
            </w:pPr>
          </w:p>
        </w:tc>
        <w:tc>
          <w:tcPr>
            <w:tcW w:w="1524" w:type="dxa"/>
            <w:noWrap w:val="0"/>
            <w:vAlign w:val="center"/>
          </w:tcPr>
          <w:p w14:paraId="1B61114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营业收入</w:t>
            </w:r>
            <w:r>
              <w:rPr>
                <w:rFonts w:hint="default" w:ascii="宋体" w:hAnsi="宋体" w:cs="宋体"/>
                <w:color w:val="000000"/>
                <w:kern w:val="0"/>
                <w:sz w:val="22"/>
                <w:szCs w:val="22"/>
                <w:highlight w:val="yellow"/>
              </w:rPr>
              <w:t>(Y)</w:t>
            </w:r>
          </w:p>
        </w:tc>
        <w:tc>
          <w:tcPr>
            <w:tcW w:w="709" w:type="dxa"/>
            <w:noWrap w:val="0"/>
            <w:vAlign w:val="center"/>
          </w:tcPr>
          <w:p w14:paraId="57921D4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万元</w:t>
            </w:r>
          </w:p>
        </w:tc>
        <w:tc>
          <w:tcPr>
            <w:tcW w:w="1125" w:type="dxa"/>
            <w:noWrap w:val="0"/>
            <w:vAlign w:val="center"/>
          </w:tcPr>
          <w:p w14:paraId="400AA3A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40000</w:t>
            </w:r>
          </w:p>
        </w:tc>
        <w:tc>
          <w:tcPr>
            <w:tcW w:w="1862" w:type="dxa"/>
            <w:noWrap w:val="0"/>
            <w:vAlign w:val="center"/>
          </w:tcPr>
          <w:p w14:paraId="1E9C63A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2000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40000</w:t>
            </w:r>
          </w:p>
        </w:tc>
        <w:tc>
          <w:tcPr>
            <w:tcW w:w="1752" w:type="dxa"/>
            <w:noWrap w:val="0"/>
            <w:vAlign w:val="center"/>
          </w:tcPr>
          <w:p w14:paraId="1DBA36A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 xml:space="preserve"> 300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2000</w:t>
            </w:r>
          </w:p>
        </w:tc>
        <w:tc>
          <w:tcPr>
            <w:tcW w:w="1008" w:type="dxa"/>
            <w:noWrap w:val="0"/>
            <w:vAlign w:val="center"/>
          </w:tcPr>
          <w:p w14:paraId="6ABCF8C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300</w:t>
            </w:r>
          </w:p>
        </w:tc>
      </w:tr>
      <w:tr w14:paraId="683C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FD7D514">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建筑业</w:t>
            </w:r>
          </w:p>
        </w:tc>
        <w:tc>
          <w:tcPr>
            <w:tcW w:w="1524" w:type="dxa"/>
            <w:noWrap w:val="0"/>
            <w:vAlign w:val="center"/>
          </w:tcPr>
          <w:p w14:paraId="2B7DBE7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1A39CB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5AF3C6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5A17A03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6000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8CC0DC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6000</w:t>
            </w:r>
          </w:p>
        </w:tc>
        <w:tc>
          <w:tcPr>
            <w:tcW w:w="1008" w:type="dxa"/>
            <w:noWrap w:val="0"/>
            <w:vAlign w:val="center"/>
          </w:tcPr>
          <w:p w14:paraId="36B49C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BE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7A6FC93D">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7B70969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AB0160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618A23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0C66106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BCC7D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274BE0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3FD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B67514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批发业</w:t>
            </w:r>
          </w:p>
        </w:tc>
        <w:tc>
          <w:tcPr>
            <w:tcW w:w="1524" w:type="dxa"/>
            <w:noWrap w:val="0"/>
            <w:vAlign w:val="center"/>
          </w:tcPr>
          <w:p w14:paraId="67050B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335F2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F317B1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479F5F8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4253B82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c>
          <w:tcPr>
            <w:tcW w:w="1008" w:type="dxa"/>
            <w:noWrap w:val="0"/>
            <w:vAlign w:val="center"/>
          </w:tcPr>
          <w:p w14:paraId="532B70E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5</w:t>
            </w:r>
          </w:p>
        </w:tc>
      </w:tr>
      <w:tr w14:paraId="312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8533F22">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29B5B2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4F6802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0A4400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520FD23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1352B85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D150DA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r>
      <w:tr w14:paraId="6A5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A565C66">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零售业</w:t>
            </w:r>
          </w:p>
        </w:tc>
        <w:tc>
          <w:tcPr>
            <w:tcW w:w="1524" w:type="dxa"/>
            <w:noWrap w:val="0"/>
            <w:vAlign w:val="center"/>
          </w:tcPr>
          <w:p w14:paraId="778C1A8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DD85D6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5FBAF8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55050F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752" w:type="dxa"/>
            <w:noWrap w:val="0"/>
            <w:vAlign w:val="center"/>
          </w:tcPr>
          <w:p w14:paraId="1859AB4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 </w:t>
            </w:r>
          </w:p>
        </w:tc>
        <w:tc>
          <w:tcPr>
            <w:tcW w:w="1008" w:type="dxa"/>
            <w:noWrap w:val="0"/>
            <w:vAlign w:val="center"/>
          </w:tcPr>
          <w:p w14:paraId="132B09D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8F1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EE1434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3F9EAB6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7F31719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428BD1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862" w:type="dxa"/>
            <w:noWrap w:val="0"/>
            <w:vAlign w:val="center"/>
          </w:tcPr>
          <w:p w14:paraId="316BB60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752" w:type="dxa"/>
            <w:noWrap w:val="0"/>
            <w:vAlign w:val="center"/>
          </w:tcPr>
          <w:p w14:paraId="2346106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 </w:t>
            </w:r>
          </w:p>
        </w:tc>
        <w:tc>
          <w:tcPr>
            <w:tcW w:w="1008" w:type="dxa"/>
            <w:noWrap w:val="0"/>
            <w:vAlign w:val="center"/>
          </w:tcPr>
          <w:p w14:paraId="5713C02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527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3C7217A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交通运输业</w:t>
            </w:r>
            <w:r>
              <w:rPr>
                <w:rFonts w:hint="default" w:ascii="宋体" w:hAnsi="宋体" w:cs="宋体"/>
                <w:color w:val="000000"/>
                <w:kern w:val="0"/>
                <w:sz w:val="22"/>
                <w:szCs w:val="22"/>
              </w:rPr>
              <w:t xml:space="preserve"> *</w:t>
            </w:r>
          </w:p>
        </w:tc>
        <w:tc>
          <w:tcPr>
            <w:tcW w:w="1524" w:type="dxa"/>
            <w:noWrap w:val="0"/>
            <w:vAlign w:val="center"/>
          </w:tcPr>
          <w:p w14:paraId="65C83CB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0F77D8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A98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0ED80A2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164D38B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4B10ED9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265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313CAC5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7D46EB6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FE7C05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DDFF98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674B82B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235A145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w:t>
            </w:r>
          </w:p>
        </w:tc>
        <w:tc>
          <w:tcPr>
            <w:tcW w:w="1008" w:type="dxa"/>
            <w:noWrap w:val="0"/>
            <w:vAlign w:val="center"/>
          </w:tcPr>
          <w:p w14:paraId="7E31DF6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r>
      <w:tr w14:paraId="4C8A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27960FB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仓储业</w:t>
            </w:r>
            <w:r>
              <w:rPr>
                <w:rFonts w:hint="default" w:ascii="宋体" w:hAnsi="宋体" w:cs="宋体"/>
                <w:color w:val="000000"/>
                <w:kern w:val="0"/>
                <w:sz w:val="22"/>
                <w:szCs w:val="22"/>
              </w:rPr>
              <w:t>*</w:t>
            </w:r>
          </w:p>
        </w:tc>
        <w:tc>
          <w:tcPr>
            <w:tcW w:w="1524" w:type="dxa"/>
            <w:noWrap w:val="0"/>
            <w:vAlign w:val="center"/>
          </w:tcPr>
          <w:p w14:paraId="2D6BB59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08CDD9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60CF4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12913A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58070AF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8F7ADA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48A3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6AD9AAA5">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80BA4C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8D5BED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075442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5701A7E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81EC58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73FF9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69A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06F3EF8">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邮政业</w:t>
            </w:r>
          </w:p>
        </w:tc>
        <w:tc>
          <w:tcPr>
            <w:tcW w:w="1524" w:type="dxa"/>
            <w:noWrap w:val="0"/>
            <w:vAlign w:val="center"/>
          </w:tcPr>
          <w:p w14:paraId="2959AB1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9C38F6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C6CC2F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63D25D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64C7F8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23F4B24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6B9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958" w:type="dxa"/>
            <w:vMerge w:val="continue"/>
            <w:noWrap w:val="0"/>
            <w:vAlign w:val="center"/>
          </w:tcPr>
          <w:p w14:paraId="2D0ED76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24E23E6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4951A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2899DA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092074F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E77A6D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37CB330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EE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992EC7A">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住宿业</w:t>
            </w:r>
          </w:p>
        </w:tc>
        <w:tc>
          <w:tcPr>
            <w:tcW w:w="1524" w:type="dxa"/>
            <w:noWrap w:val="0"/>
            <w:vAlign w:val="center"/>
          </w:tcPr>
          <w:p w14:paraId="48CD319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B6A1F5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288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571D7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51DAAF9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0E626D2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730A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958" w:type="dxa"/>
            <w:vMerge w:val="continue"/>
            <w:noWrap w:val="0"/>
            <w:vAlign w:val="center"/>
          </w:tcPr>
          <w:p w14:paraId="7AD25FD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493D551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3859C0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DC528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0CCFC0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561EA57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7178F18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793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BB92218">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餐饮业</w:t>
            </w:r>
          </w:p>
        </w:tc>
        <w:tc>
          <w:tcPr>
            <w:tcW w:w="1524" w:type="dxa"/>
            <w:noWrap w:val="0"/>
            <w:vAlign w:val="center"/>
          </w:tcPr>
          <w:p w14:paraId="2FA61C7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8EE6B7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2EE2D9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84D3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0CE91D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62DA86A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4304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4FB5BDD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15168DD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7BE7F8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64FD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749BB09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008CA0E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4AAA1B8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241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0FAA50AF">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信息传输业</w:t>
            </w:r>
            <w:r>
              <w:rPr>
                <w:rFonts w:hint="default" w:ascii="宋体" w:hAnsi="宋体" w:cs="宋体"/>
                <w:color w:val="000000"/>
                <w:kern w:val="0"/>
                <w:sz w:val="22"/>
                <w:szCs w:val="22"/>
              </w:rPr>
              <w:t xml:space="preserve"> *</w:t>
            </w:r>
          </w:p>
        </w:tc>
        <w:tc>
          <w:tcPr>
            <w:tcW w:w="1524" w:type="dxa"/>
            <w:noWrap w:val="0"/>
            <w:vAlign w:val="center"/>
          </w:tcPr>
          <w:p w14:paraId="159EC85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3B8122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2AC2250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862" w:type="dxa"/>
            <w:noWrap w:val="0"/>
            <w:vAlign w:val="center"/>
          </w:tcPr>
          <w:p w14:paraId="0DEF32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752" w:type="dxa"/>
            <w:noWrap w:val="0"/>
            <w:vAlign w:val="center"/>
          </w:tcPr>
          <w:p w14:paraId="710267A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24B4C78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1F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5AC1B867">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2FD8BB1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D58E4F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49E3E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862" w:type="dxa"/>
            <w:noWrap w:val="0"/>
            <w:vAlign w:val="center"/>
          </w:tcPr>
          <w:p w14:paraId="360C09B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752" w:type="dxa"/>
            <w:noWrap w:val="0"/>
            <w:vAlign w:val="center"/>
          </w:tcPr>
          <w:p w14:paraId="44F021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FE356F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83A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073233B9">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spacing w:val="-12"/>
                <w:kern w:val="0"/>
                <w:sz w:val="22"/>
                <w:szCs w:val="22"/>
              </w:rPr>
            </w:pPr>
            <w:r>
              <w:rPr>
                <w:rFonts w:hint="eastAsia" w:ascii="宋体" w:hAnsi="宋体" w:cs="宋体"/>
                <w:color w:val="000000"/>
                <w:spacing w:val="-12"/>
                <w:kern w:val="0"/>
                <w:sz w:val="22"/>
                <w:szCs w:val="22"/>
              </w:rPr>
              <w:t>软件和信息技术服</w:t>
            </w:r>
            <w:r>
              <w:rPr>
                <w:rFonts w:hint="eastAsia" w:ascii="宋体" w:hAnsi="宋体" w:cs="宋体"/>
                <w:color w:val="000000"/>
                <w:kern w:val="0"/>
                <w:sz w:val="22"/>
                <w:szCs w:val="22"/>
              </w:rPr>
              <w:t>务业</w:t>
            </w:r>
          </w:p>
        </w:tc>
        <w:tc>
          <w:tcPr>
            <w:tcW w:w="1524" w:type="dxa"/>
            <w:noWrap w:val="0"/>
            <w:vAlign w:val="center"/>
          </w:tcPr>
          <w:p w14:paraId="37BEF60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1B8571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7DE5F72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91D6F9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796939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3D2797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647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1636FFA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spacing w:val="-12"/>
                <w:kern w:val="0"/>
                <w:sz w:val="22"/>
                <w:szCs w:val="22"/>
              </w:rPr>
            </w:pPr>
          </w:p>
        </w:tc>
        <w:tc>
          <w:tcPr>
            <w:tcW w:w="1524" w:type="dxa"/>
            <w:noWrap w:val="0"/>
            <w:vAlign w:val="center"/>
          </w:tcPr>
          <w:p w14:paraId="25E7CDD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161AF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4924F7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4953F96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36B872F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221A60F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w:t>
            </w:r>
          </w:p>
        </w:tc>
      </w:tr>
      <w:tr w14:paraId="49C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15DD449">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房地产开发经营</w:t>
            </w:r>
          </w:p>
        </w:tc>
        <w:tc>
          <w:tcPr>
            <w:tcW w:w="1524" w:type="dxa"/>
            <w:noWrap w:val="0"/>
            <w:vAlign w:val="center"/>
          </w:tcPr>
          <w:p w14:paraId="07116C9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11B2D3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836889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862" w:type="dxa"/>
            <w:noWrap w:val="0"/>
            <w:vAlign w:val="center"/>
          </w:tcPr>
          <w:p w14:paraId="3CB3C9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752" w:type="dxa"/>
            <w:noWrap w:val="0"/>
            <w:vAlign w:val="center"/>
          </w:tcPr>
          <w:p w14:paraId="1E46E27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12BF0B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517D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58" w:type="dxa"/>
            <w:vMerge w:val="continue"/>
            <w:noWrap w:val="0"/>
            <w:vAlign w:val="center"/>
          </w:tcPr>
          <w:p w14:paraId="14F9667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D02C54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063546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56666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1F69343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2893C1F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008" w:type="dxa"/>
            <w:noWrap w:val="0"/>
            <w:vAlign w:val="center"/>
          </w:tcPr>
          <w:p w14:paraId="4B44012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r>
      <w:tr w14:paraId="12CB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D698D6F">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物业管理</w:t>
            </w:r>
          </w:p>
        </w:tc>
        <w:tc>
          <w:tcPr>
            <w:tcW w:w="1524" w:type="dxa"/>
            <w:noWrap w:val="0"/>
            <w:vAlign w:val="center"/>
          </w:tcPr>
          <w:p w14:paraId="267E3C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0A28DA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D454DB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2555462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08F043C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008" w:type="dxa"/>
            <w:noWrap w:val="0"/>
            <w:vAlign w:val="center"/>
          </w:tcPr>
          <w:p w14:paraId="49B1919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C6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454D6EBD">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63063D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A175F9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73FA77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862" w:type="dxa"/>
            <w:noWrap w:val="0"/>
            <w:vAlign w:val="center"/>
          </w:tcPr>
          <w:p w14:paraId="057FB4B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752" w:type="dxa"/>
            <w:noWrap w:val="0"/>
            <w:vAlign w:val="center"/>
          </w:tcPr>
          <w:p w14:paraId="769A156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6AD852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w:t>
            </w:r>
          </w:p>
        </w:tc>
      </w:tr>
      <w:tr w14:paraId="18F2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E3FF562">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租赁和商务服务业</w:t>
            </w:r>
          </w:p>
        </w:tc>
        <w:tc>
          <w:tcPr>
            <w:tcW w:w="1524" w:type="dxa"/>
            <w:noWrap w:val="0"/>
            <w:vAlign w:val="center"/>
          </w:tcPr>
          <w:p w14:paraId="299F810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64C0DF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92EB82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29EE41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68723A7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43BF4BB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BB4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58" w:type="dxa"/>
            <w:vMerge w:val="continue"/>
            <w:noWrap w:val="0"/>
            <w:vAlign w:val="center"/>
          </w:tcPr>
          <w:p w14:paraId="3FB82D0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573167B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50FB0D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20076A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862" w:type="dxa"/>
            <w:noWrap w:val="0"/>
            <w:vAlign w:val="center"/>
          </w:tcPr>
          <w:p w14:paraId="1FDB07E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8000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752" w:type="dxa"/>
            <w:noWrap w:val="0"/>
            <w:vAlign w:val="center"/>
          </w:tcPr>
          <w:p w14:paraId="63DA6C0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w:t>
            </w:r>
          </w:p>
        </w:tc>
        <w:tc>
          <w:tcPr>
            <w:tcW w:w="1008" w:type="dxa"/>
            <w:noWrap w:val="0"/>
            <w:vAlign w:val="center"/>
          </w:tcPr>
          <w:p w14:paraId="018B832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50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58" w:type="dxa"/>
            <w:noWrap w:val="0"/>
            <w:vAlign w:val="center"/>
          </w:tcPr>
          <w:p w14:paraId="2208D1D1">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其他未列明行业</w:t>
            </w:r>
            <w:r>
              <w:rPr>
                <w:rFonts w:hint="default" w:ascii="宋体" w:hAnsi="宋体" w:cs="宋体"/>
                <w:color w:val="000000"/>
                <w:kern w:val="0"/>
                <w:sz w:val="22"/>
                <w:szCs w:val="22"/>
              </w:rPr>
              <w:t xml:space="preserve"> *</w:t>
            </w:r>
          </w:p>
        </w:tc>
        <w:tc>
          <w:tcPr>
            <w:tcW w:w="1524" w:type="dxa"/>
            <w:noWrap w:val="0"/>
            <w:vAlign w:val="center"/>
          </w:tcPr>
          <w:p w14:paraId="02B2C34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46546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CAF50D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C1D866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74EFEF7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D8122B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bl>
    <w:p w14:paraId="42C00149">
      <w:pPr>
        <w:widowControl/>
        <w:spacing w:line="240" w:lineRule="auto"/>
        <w:ind w:left="0" w:leftChars="0" w:firstLine="0" w:firstLineChars="0"/>
        <w:rPr>
          <w:rFonts w:hint="eastAsia" w:ascii="宋体" w:hAnsi="宋体" w:cs="宋体"/>
          <w:color w:val="000000"/>
          <w:spacing w:val="8"/>
          <w:kern w:val="0"/>
          <w:sz w:val="24"/>
          <w:szCs w:val="24"/>
        </w:rPr>
      </w:pPr>
    </w:p>
    <w:p w14:paraId="15D5BBB6">
      <w:pPr>
        <w:widowControl/>
        <w:spacing w:line="240" w:lineRule="auto"/>
        <w:ind w:left="0" w:leftChars="0" w:firstLine="0" w:firstLineChars="0"/>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0CFEA390">
      <w:pPr>
        <w:spacing w:line="540" w:lineRule="exact"/>
        <w:ind w:firstLine="512" w:firstLineChars="200"/>
        <w:rPr>
          <w:rFonts w:ascii="宋体" w:hAnsi="宋体" w:cs="宋体"/>
          <w:color w:val="000000"/>
          <w:spacing w:val="8"/>
          <w:kern w:val="0"/>
          <w:sz w:val="24"/>
          <w:szCs w:val="24"/>
        </w:rPr>
      </w:pP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37B9840C">
      <w:pPr>
        <w:spacing w:line="540" w:lineRule="exact"/>
        <w:rPr>
          <w:rFonts w:ascii="宋体" w:hAnsi="宋体" w:cs="宋体"/>
          <w:color w:val="000000"/>
          <w:spacing w:val="8"/>
          <w:kern w:val="0"/>
          <w:sz w:val="24"/>
          <w:szCs w:val="24"/>
        </w:rPr>
      </w:pP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DDF415">
      <w:pPr>
        <w:spacing w:line="540" w:lineRule="exact"/>
        <w:ind w:firstLine="512"/>
        <w:rPr>
          <w:rFonts w:hint="eastAsia" w:ascii="宋体" w:hAnsi="宋体"/>
          <w:color w:val="000000"/>
          <w:spacing w:val="8"/>
          <w:kern w:val="0"/>
          <w:sz w:val="24"/>
          <w:szCs w:val="24"/>
        </w:rPr>
      </w:pPr>
      <w:r>
        <w:rPr>
          <w:rFonts w:ascii="宋体" w:hAnsi="宋体"/>
          <w:color w:val="000000"/>
          <w:spacing w:val="8"/>
          <w:kern w:val="0"/>
          <w:sz w:val="24"/>
          <w:szCs w:val="24"/>
        </w:rPr>
        <w:t>3.</w:t>
      </w:r>
      <w:r>
        <w:rPr>
          <w:rFonts w:hint="eastAsia" w:ascii="宋体" w:hAnsi="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olor w:val="000000"/>
          <w:spacing w:val="8"/>
          <w:kern w:val="0"/>
          <w:sz w:val="24"/>
          <w:szCs w:val="24"/>
        </w:rPr>
        <w:t>）资产总额，采用资产总计代替。</w:t>
      </w:r>
    </w:p>
    <w:p w14:paraId="3E46DA42">
      <w:pPr>
        <w:spacing w:line="540" w:lineRule="exact"/>
        <w:ind w:firstLine="512"/>
        <w:rPr>
          <w:rFonts w:hint="default" w:ascii="宋体" w:hAnsi="宋体"/>
          <w:b/>
          <w:bCs/>
          <w:color w:val="000000"/>
          <w:spacing w:val="8"/>
          <w:kern w:val="0"/>
          <w:sz w:val="24"/>
          <w:szCs w:val="24"/>
          <w:highlight w:val="none"/>
          <w:lang w:val="en-US" w:eastAsia="zh-CN"/>
        </w:rPr>
      </w:pPr>
      <w:r>
        <w:rPr>
          <w:rFonts w:hint="default" w:ascii="宋体" w:hAnsi="宋体"/>
          <w:b/>
          <w:bCs/>
          <w:color w:val="000000"/>
          <w:spacing w:val="8"/>
          <w:kern w:val="0"/>
          <w:sz w:val="24"/>
          <w:szCs w:val="24"/>
          <w:highlight w:val="none"/>
          <w:lang w:val="en-US" w:eastAsia="zh-CN"/>
        </w:rPr>
        <w:t>4.本项目采购标的对应的中小企业划分标准所属行业：</w:t>
      </w:r>
      <w:r>
        <w:rPr>
          <w:rFonts w:hint="eastAsia" w:ascii="宋体" w:hAnsi="宋体"/>
          <w:b/>
          <w:bCs/>
          <w:color w:val="000000"/>
          <w:spacing w:val="8"/>
          <w:kern w:val="0"/>
          <w:sz w:val="24"/>
          <w:szCs w:val="24"/>
          <w:highlight w:val="none"/>
          <w:lang w:val="en-US" w:eastAsia="zh-CN"/>
        </w:rPr>
        <w:t>工</w:t>
      </w:r>
      <w:r>
        <w:rPr>
          <w:rFonts w:hint="default" w:ascii="宋体" w:hAnsi="宋体"/>
          <w:b/>
          <w:bCs/>
          <w:color w:val="000000"/>
          <w:spacing w:val="8"/>
          <w:kern w:val="0"/>
          <w:sz w:val="24"/>
          <w:szCs w:val="24"/>
          <w:highlight w:val="none"/>
          <w:lang w:val="en-US" w:eastAsia="zh-CN"/>
        </w:rPr>
        <w:t xml:space="preserve">业； </w:t>
      </w:r>
    </w:p>
    <w:p w14:paraId="116531E6">
      <w:pPr>
        <w:wordWrap w:val="0"/>
        <w:jc w:val="both"/>
        <w:rPr>
          <w:rFonts w:ascii="宋体" w:hAnsi="宋体" w:cs="宋体"/>
          <w:b/>
          <w:bCs/>
          <w:sz w:val="28"/>
          <w:szCs w:val="28"/>
        </w:rPr>
      </w:pPr>
      <w:r>
        <w:rPr>
          <w:rFonts w:hint="eastAsia" w:ascii="宋体" w:hAnsi="宋体" w:cs="宋体"/>
          <w:b/>
          <w:bCs/>
          <w:sz w:val="28"/>
          <w:szCs w:val="28"/>
        </w:rPr>
        <w:br w:type="page"/>
      </w:r>
    </w:p>
    <w:p w14:paraId="7D136E8A">
      <w:pPr>
        <w:wordWrap w:val="0"/>
        <w:jc w:val="center"/>
        <w:outlineLvl w:val="1"/>
        <w:rPr>
          <w:rFonts w:ascii="宋体" w:hAnsi="宋体" w:cs="宋体"/>
        </w:rPr>
      </w:pPr>
      <w:bookmarkStart w:id="998" w:name="_Toc19860"/>
      <w:bookmarkStart w:id="999" w:name="_Toc9073"/>
      <w:r>
        <w:rPr>
          <w:rFonts w:hint="eastAsia" w:ascii="宋体" w:hAnsi="宋体" w:cs="宋体"/>
          <w:b/>
          <w:bCs/>
          <w:sz w:val="28"/>
          <w:szCs w:val="28"/>
          <w:lang w:val="en-US" w:eastAsia="zh-CN"/>
        </w:rPr>
        <w:t>（二）</w:t>
      </w:r>
      <w:r>
        <w:rPr>
          <w:rFonts w:hint="eastAsia" w:ascii="宋体" w:hAnsi="宋体" w:cs="宋体"/>
          <w:b/>
          <w:bCs/>
          <w:sz w:val="28"/>
          <w:szCs w:val="28"/>
        </w:rPr>
        <w:t>残疾人福利性单位声明函（如有）</w:t>
      </w:r>
      <w:bookmarkEnd w:id="998"/>
      <w:bookmarkEnd w:id="999"/>
    </w:p>
    <w:p w14:paraId="23DA0888">
      <w:pPr>
        <w:pStyle w:val="21"/>
        <w:wordWrap w:val="0"/>
        <w:spacing w:line="420" w:lineRule="exact"/>
        <w:ind w:firstLine="0" w:firstLineChars="0"/>
        <w:rPr>
          <w:rFonts w:ascii="宋体" w:hAnsi="宋体" w:cs="宋体"/>
          <w:sz w:val="24"/>
        </w:rPr>
      </w:pPr>
    </w:p>
    <w:p w14:paraId="18FBBD16">
      <w:pPr>
        <w:wordWrap w:val="0"/>
        <w:spacing w:line="420" w:lineRule="exact"/>
        <w:ind w:firstLine="48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63F27269">
      <w:pPr>
        <w:wordWrap w:val="0"/>
        <w:spacing w:line="420" w:lineRule="exact"/>
        <w:ind w:firstLine="48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23CBFC75">
      <w:pPr>
        <w:wordWrap w:val="0"/>
        <w:spacing w:line="420" w:lineRule="exact"/>
        <w:ind w:firstLine="480"/>
        <w:rPr>
          <w:rFonts w:ascii="宋体" w:hAnsi="宋体" w:cs="宋体"/>
          <w:sz w:val="24"/>
          <w:szCs w:val="24"/>
        </w:rPr>
      </w:pPr>
    </w:p>
    <w:p w14:paraId="0E0ADC3B">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单位名称（盖章）：</w:t>
      </w:r>
    </w:p>
    <w:p w14:paraId="2243BE70">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日  期：</w:t>
      </w:r>
    </w:p>
    <w:p w14:paraId="411DA12A">
      <w:pPr>
        <w:widowControl/>
        <w:wordWrap w:val="0"/>
        <w:spacing w:line="420" w:lineRule="exact"/>
        <w:ind w:firstLine="480"/>
        <w:rPr>
          <w:rFonts w:ascii="宋体" w:hAnsi="宋体" w:cs="宋体"/>
          <w:sz w:val="24"/>
          <w:szCs w:val="24"/>
        </w:rPr>
      </w:pPr>
    </w:p>
    <w:p w14:paraId="5C254BD5">
      <w:pPr>
        <w:widowControl/>
        <w:wordWrap w:val="0"/>
        <w:spacing w:line="420" w:lineRule="exact"/>
        <w:ind w:firstLine="480"/>
        <w:rPr>
          <w:rFonts w:ascii="宋体" w:hAnsi="宋体" w:cs="宋体"/>
          <w:sz w:val="24"/>
          <w:szCs w:val="24"/>
        </w:rPr>
      </w:pPr>
      <w:r>
        <w:rPr>
          <w:rFonts w:hint="eastAsia" w:ascii="宋体" w:hAnsi="宋体" w:cs="宋体"/>
          <w:sz w:val="24"/>
          <w:szCs w:val="24"/>
        </w:rPr>
        <w:t>（提醒：如果供应商不是残疾人福利性单位，则不需要提供《残疾人福利性单位声明函》。否则，因此导致虚假投标的后果由供应商自行承担。）</w:t>
      </w:r>
    </w:p>
    <w:p w14:paraId="189F5F4A">
      <w:pPr>
        <w:wordWrap w:val="0"/>
        <w:spacing w:line="420" w:lineRule="exact"/>
        <w:ind w:firstLine="48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A35D766">
      <w:pPr>
        <w:wordWrap w:val="0"/>
        <w:spacing w:line="420" w:lineRule="exact"/>
        <w:ind w:firstLine="480"/>
        <w:rPr>
          <w:rFonts w:ascii="宋体" w:hAnsi="宋体" w:cs="宋体"/>
          <w:sz w:val="24"/>
          <w:szCs w:val="24"/>
        </w:rPr>
      </w:pPr>
      <w:r>
        <w:rPr>
          <w:rFonts w:hint="eastAsia" w:ascii="宋体" w:hAnsi="宋体" w:cs="宋体"/>
          <w:sz w:val="24"/>
          <w:szCs w:val="24"/>
        </w:rPr>
        <w:t>1.享受政府采购支持政策的残疾人福利性单位应当同时满足以下条件：</w:t>
      </w:r>
    </w:p>
    <w:p w14:paraId="0ACBE6CD">
      <w:pPr>
        <w:wordWrap w:val="0"/>
        <w:spacing w:line="420" w:lineRule="exact"/>
        <w:ind w:firstLine="48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34793B9F">
      <w:pPr>
        <w:wordWrap w:val="0"/>
        <w:spacing w:line="420" w:lineRule="exact"/>
        <w:ind w:firstLine="48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2A0B0CAC">
      <w:pPr>
        <w:wordWrap w:val="0"/>
        <w:spacing w:line="420" w:lineRule="exact"/>
        <w:ind w:firstLine="48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7764A53">
      <w:pPr>
        <w:wordWrap w:val="0"/>
        <w:spacing w:line="420" w:lineRule="exact"/>
        <w:ind w:firstLine="48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5920069">
      <w:pPr>
        <w:wordWrap w:val="0"/>
        <w:spacing w:line="420" w:lineRule="exact"/>
        <w:ind w:firstLine="48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4A62866">
      <w:pPr>
        <w:wordWrap w:val="0"/>
        <w:autoSpaceDE w:val="0"/>
        <w:autoSpaceDN w:val="0"/>
        <w:adjustRightInd w:val="0"/>
        <w:spacing w:line="420" w:lineRule="exact"/>
        <w:ind w:firstLine="480"/>
        <w:rPr>
          <w:rFonts w:ascii="宋体" w:hAnsi="宋体" w:cs="宋体"/>
          <w:sz w:val="24"/>
          <w:szCs w:val="24"/>
        </w:rPr>
      </w:pPr>
      <w:r>
        <w:rPr>
          <w:rFonts w:hint="eastAsia" w:ascii="宋体" w:hAnsi="宋体" w:cs="宋体"/>
          <w:sz w:val="24"/>
          <w:szCs w:val="24"/>
        </w:rPr>
        <w:t>2.成交人为残疾人福利性单位的，采购人或者其委托的采购代理机构应当随成交、成交结果同时公告其《残疾人福利性单位声明函》，接受社会监督，一旦发现弄虚作假提供虚假信息的，承担相应的法律责任。</w:t>
      </w:r>
    </w:p>
    <w:p w14:paraId="463FD8E8">
      <w:pPr>
        <w:wordWrap w:val="0"/>
        <w:spacing w:line="420" w:lineRule="exact"/>
        <w:ind w:firstLine="420"/>
        <w:jc w:val="center"/>
        <w:rPr>
          <w:rFonts w:hint="eastAsia" w:ascii="宋体" w:hAnsi="宋体" w:cs="宋体"/>
        </w:rPr>
      </w:pPr>
    </w:p>
    <w:p w14:paraId="53850145">
      <w:pPr>
        <w:wordWrap w:val="0"/>
        <w:jc w:val="center"/>
        <w:outlineLvl w:val="1"/>
        <w:rPr>
          <w:rFonts w:hint="eastAsia" w:ascii="宋体" w:hAnsi="宋体" w:eastAsia="宋体" w:cs="宋体"/>
          <w:b/>
          <w:bCs/>
          <w:sz w:val="28"/>
          <w:szCs w:val="28"/>
          <w:lang w:val="en-US" w:eastAsia="zh-CN"/>
        </w:rPr>
      </w:pPr>
    </w:p>
    <w:p w14:paraId="755FAA21">
      <w:pPr>
        <w:wordWrap w:val="0"/>
        <w:jc w:val="center"/>
        <w:outlineLvl w:val="1"/>
        <w:rPr>
          <w:rFonts w:hint="eastAsia" w:ascii="宋体" w:hAnsi="宋体" w:eastAsia="宋体" w:cs="宋体"/>
          <w:b/>
          <w:bCs/>
          <w:sz w:val="28"/>
          <w:szCs w:val="28"/>
          <w:lang w:val="en-US" w:eastAsia="zh-CN"/>
        </w:rPr>
      </w:pPr>
    </w:p>
    <w:p w14:paraId="1EB81DAE">
      <w:pPr>
        <w:wordWrap w:val="0"/>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（三）监狱企业证明文件（如有）</w:t>
      </w:r>
    </w:p>
    <w:p w14:paraId="12A1FAD6">
      <w:pPr>
        <w:wordWrap w:val="0"/>
        <w:spacing w:line="420" w:lineRule="exact"/>
        <w:ind w:firstLine="480"/>
        <w:rPr>
          <w:rFonts w:hint="eastAsia" w:ascii="宋体" w:hAnsi="宋体" w:cs="宋体"/>
          <w:szCs w:val="21"/>
        </w:rPr>
      </w:pPr>
    </w:p>
    <w:p w14:paraId="196761FF">
      <w:pPr>
        <w:pStyle w:val="8"/>
        <w:rPr>
          <w:rFonts w:hint="eastAsia"/>
        </w:rPr>
      </w:pPr>
    </w:p>
    <w:p w14:paraId="020305D0">
      <w:pPr>
        <w:wordWrap w:val="0"/>
        <w:spacing w:line="420" w:lineRule="exact"/>
        <w:ind w:firstLine="480"/>
        <w:rPr>
          <w:rFonts w:ascii="宋体" w:hAnsi="宋体" w:cs="宋体"/>
          <w:sz w:val="24"/>
          <w:szCs w:val="24"/>
        </w:rPr>
      </w:pPr>
      <w:r>
        <w:rPr>
          <w:rFonts w:hint="eastAsia" w:ascii="宋体" w:hAnsi="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746C75E6">
      <w:pPr>
        <w:wordWrap w:val="0"/>
        <w:spacing w:line="420" w:lineRule="exact"/>
        <w:rPr>
          <w:rFonts w:ascii="宋体" w:hAnsi="宋体" w:cs="宋体"/>
          <w:sz w:val="24"/>
          <w:szCs w:val="24"/>
        </w:rPr>
      </w:pPr>
    </w:p>
    <w:p w14:paraId="3C723DD0">
      <w:pPr>
        <w:wordWrap w:val="0"/>
        <w:spacing w:line="420" w:lineRule="exact"/>
        <w:ind w:firstLine="480"/>
        <w:rPr>
          <w:rFonts w:ascii="宋体" w:hAnsi="宋体" w:cs="宋体"/>
          <w:sz w:val="24"/>
          <w:szCs w:val="24"/>
        </w:rPr>
      </w:pPr>
      <w:r>
        <w:rPr>
          <w:rFonts w:hint="eastAsia" w:ascii="宋体" w:hAnsi="宋体" w:cs="宋体"/>
          <w:sz w:val="24"/>
          <w:szCs w:val="24"/>
        </w:rPr>
        <w:t>注：在响应文件中附扫描件。</w:t>
      </w:r>
    </w:p>
    <w:p w14:paraId="5298186C">
      <w:pPr>
        <w:pStyle w:val="21"/>
        <w:ind w:firstLine="240"/>
        <w:jc w:val="center"/>
        <w:rPr>
          <w:rFonts w:hint="eastAsia" w:ascii="宋体" w:hAnsi="宋体" w:cs="宋体"/>
        </w:rPr>
      </w:pPr>
    </w:p>
    <w:p w14:paraId="0FCD212C">
      <w:pPr>
        <w:pStyle w:val="21"/>
        <w:ind w:firstLine="240"/>
        <w:jc w:val="center"/>
        <w:rPr>
          <w:rFonts w:hint="eastAsia" w:ascii="宋体" w:hAnsi="宋体" w:cs="宋体"/>
        </w:rPr>
      </w:pPr>
    </w:p>
    <w:p w14:paraId="0667F2A2">
      <w:pPr>
        <w:pStyle w:val="21"/>
        <w:ind w:firstLine="240"/>
        <w:jc w:val="center"/>
        <w:rPr>
          <w:rFonts w:hint="eastAsia" w:ascii="宋体" w:hAnsi="宋体" w:cs="宋体"/>
        </w:rPr>
      </w:pPr>
    </w:p>
    <w:p w14:paraId="505C9BC6">
      <w:pPr>
        <w:pStyle w:val="21"/>
        <w:ind w:firstLine="240"/>
        <w:jc w:val="center"/>
        <w:rPr>
          <w:rFonts w:hint="eastAsia" w:ascii="宋体" w:hAnsi="宋体" w:cs="宋体"/>
        </w:rPr>
      </w:pPr>
    </w:p>
    <w:p w14:paraId="21FFA1D4">
      <w:pPr>
        <w:pStyle w:val="21"/>
        <w:ind w:firstLine="240"/>
        <w:jc w:val="center"/>
        <w:rPr>
          <w:rFonts w:hint="eastAsia" w:ascii="宋体" w:hAnsi="宋体" w:cs="宋体"/>
        </w:rPr>
      </w:pPr>
    </w:p>
    <w:p w14:paraId="0BB8007E">
      <w:pPr>
        <w:pStyle w:val="21"/>
        <w:ind w:firstLine="240"/>
        <w:jc w:val="center"/>
        <w:rPr>
          <w:rFonts w:hint="eastAsia" w:ascii="宋体" w:hAnsi="宋体" w:cs="宋体"/>
        </w:rPr>
      </w:pPr>
    </w:p>
    <w:p w14:paraId="3CD65A32">
      <w:pPr>
        <w:pStyle w:val="21"/>
        <w:ind w:firstLine="240"/>
        <w:jc w:val="center"/>
        <w:rPr>
          <w:rFonts w:hint="eastAsia" w:ascii="宋体" w:hAnsi="宋体" w:cs="宋体"/>
        </w:rPr>
      </w:pPr>
    </w:p>
    <w:p w14:paraId="6AB65272">
      <w:pPr>
        <w:pStyle w:val="21"/>
        <w:ind w:firstLine="240"/>
        <w:jc w:val="center"/>
        <w:rPr>
          <w:rFonts w:hint="eastAsia" w:ascii="宋体" w:hAnsi="宋体" w:cs="宋体"/>
        </w:rPr>
      </w:pPr>
    </w:p>
    <w:p w14:paraId="08EE04DB">
      <w:pPr>
        <w:pStyle w:val="21"/>
        <w:ind w:firstLine="240"/>
        <w:jc w:val="center"/>
        <w:rPr>
          <w:rFonts w:hint="eastAsia" w:ascii="宋体" w:hAnsi="宋体" w:cs="宋体"/>
        </w:rPr>
      </w:pPr>
    </w:p>
    <w:p w14:paraId="060D8CF8">
      <w:pPr>
        <w:pStyle w:val="21"/>
        <w:ind w:firstLine="240"/>
        <w:jc w:val="center"/>
        <w:rPr>
          <w:rFonts w:hint="eastAsia" w:ascii="宋体" w:hAnsi="宋体" w:cs="宋体"/>
        </w:rPr>
      </w:pPr>
    </w:p>
    <w:p w14:paraId="4CA2675B">
      <w:pPr>
        <w:pStyle w:val="21"/>
        <w:ind w:firstLine="240"/>
        <w:jc w:val="center"/>
        <w:rPr>
          <w:rFonts w:hint="eastAsia" w:ascii="宋体" w:hAnsi="宋体" w:cs="宋体"/>
        </w:rPr>
      </w:pPr>
    </w:p>
    <w:p w14:paraId="5883C5A3">
      <w:pPr>
        <w:pStyle w:val="21"/>
        <w:ind w:firstLine="240"/>
        <w:jc w:val="center"/>
        <w:rPr>
          <w:rFonts w:hint="eastAsia" w:ascii="宋体" w:hAnsi="宋体" w:cs="宋体"/>
        </w:rPr>
      </w:pPr>
    </w:p>
    <w:p w14:paraId="15E7D584">
      <w:pPr>
        <w:pStyle w:val="21"/>
        <w:ind w:firstLine="240"/>
        <w:jc w:val="center"/>
        <w:rPr>
          <w:rFonts w:hint="eastAsia" w:ascii="宋体" w:hAnsi="宋体" w:cs="宋体"/>
        </w:rPr>
      </w:pPr>
    </w:p>
    <w:p w14:paraId="366003CF">
      <w:pPr>
        <w:pStyle w:val="21"/>
        <w:ind w:firstLine="240"/>
        <w:jc w:val="center"/>
        <w:rPr>
          <w:rFonts w:hint="eastAsia" w:ascii="宋体" w:hAnsi="宋体" w:cs="宋体"/>
        </w:rPr>
      </w:pPr>
    </w:p>
    <w:p w14:paraId="1FBC768F">
      <w:pPr>
        <w:wordWrap w:val="0"/>
        <w:spacing w:line="420" w:lineRule="exact"/>
        <w:jc w:val="center"/>
        <w:rPr>
          <w:rFonts w:hint="eastAsia" w:ascii="宋体" w:hAnsi="宋体" w:eastAsia="宋体" w:cs="宋体"/>
          <w:b/>
          <w:bCs/>
          <w:sz w:val="28"/>
          <w:szCs w:val="28"/>
          <w:lang w:val="en-US" w:eastAsia="zh-CN"/>
        </w:rPr>
      </w:pPr>
    </w:p>
    <w:p w14:paraId="560EEB19">
      <w:pPr>
        <w:wordWrap w:val="0"/>
        <w:spacing w:line="420" w:lineRule="exact"/>
        <w:jc w:val="center"/>
        <w:rPr>
          <w:rFonts w:hint="eastAsia" w:ascii="宋体" w:hAnsi="宋体" w:eastAsia="宋体" w:cs="宋体"/>
          <w:b/>
          <w:bCs/>
          <w:sz w:val="28"/>
          <w:szCs w:val="28"/>
          <w:lang w:val="en-US" w:eastAsia="zh-CN"/>
        </w:rPr>
      </w:pPr>
    </w:p>
    <w:p w14:paraId="6E27FA8F">
      <w:pPr>
        <w:wordWrap w:val="0"/>
        <w:spacing w:line="420" w:lineRule="exact"/>
        <w:jc w:val="center"/>
        <w:rPr>
          <w:rFonts w:hint="eastAsia" w:ascii="宋体" w:hAnsi="宋体" w:eastAsia="宋体" w:cs="宋体"/>
          <w:b/>
          <w:bCs/>
          <w:sz w:val="28"/>
          <w:szCs w:val="28"/>
          <w:lang w:val="en-US" w:eastAsia="zh-CN"/>
        </w:rPr>
      </w:pPr>
    </w:p>
    <w:p w14:paraId="12B9ED71">
      <w:pPr>
        <w:wordWrap w:val="0"/>
        <w:spacing w:line="4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（四）关于符合本国产品标准的声明函</w:t>
      </w:r>
    </w:p>
    <w:p w14:paraId="07A2527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03E34B7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3FEC13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8"/>
          <w:szCs w:val="28"/>
          <w:shd w:val="clear" w:fill="FFFFFF"/>
          <w:vertAlign w:val="superscript"/>
          <w:lang w:val="en-US" w:eastAsia="zh-CN"/>
        </w:rPr>
        <w:t>1</w:t>
      </w:r>
      <w:r>
        <w:rPr>
          <w:rStyle w:val="27"/>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厂名</w:t>
      </w:r>
      <w:r>
        <w:rPr>
          <w:rStyle w:val="27"/>
          <w:rFonts w:hint="eastAsia" w:ascii="宋体" w:hAnsi="宋体" w:eastAsia="宋体" w:cs="宋体"/>
          <w:i w:val="0"/>
          <w:iCs w:val="0"/>
          <w:caps w:val="0"/>
          <w:color w:val="383838"/>
          <w:spacing w:val="0"/>
          <w:sz w:val="28"/>
          <w:szCs w:val="28"/>
          <w:u w:val="single"/>
          <w:shd w:val="clear" w:fill="FFFFFF"/>
          <w:vertAlign w:val="superscript"/>
          <w:lang w:val="en-US" w:eastAsia="zh-CN"/>
        </w:rPr>
        <w:t>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厂址为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生产厂址</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规定比例</w:t>
      </w:r>
      <w:r>
        <w:rPr>
          <w:rStyle w:val="27"/>
          <w:rFonts w:hint="eastAsia" w:ascii="宋体" w:hAnsi="宋体" w:eastAsia="宋体" w:cs="宋体"/>
          <w:i w:val="0"/>
          <w:iCs w:val="0"/>
          <w:caps w:val="0"/>
          <w:color w:val="383838"/>
          <w:spacing w:val="0"/>
          <w:sz w:val="28"/>
          <w:szCs w:val="28"/>
          <w:u w:val="single"/>
          <w:shd w:val="clear" w:fill="FFFFFF"/>
          <w:vertAlign w:val="superscript"/>
          <w:lang w:val="en-US" w:eastAsia="zh-CN"/>
        </w:rPr>
        <w:t>3</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关键组件）</w:t>
      </w:r>
      <w:r>
        <w:rPr>
          <w:rStyle w:val="27"/>
          <w:rFonts w:hint="eastAsia" w:ascii="宋体" w:hAnsi="宋体" w:eastAsia="宋体" w:cs="宋体"/>
          <w:i w:val="0"/>
          <w:iCs w:val="0"/>
          <w:caps w:val="0"/>
          <w:color w:val="383838"/>
          <w:spacing w:val="0"/>
          <w:sz w:val="28"/>
          <w:szCs w:val="28"/>
          <w:u w:val="single"/>
          <w:shd w:val="clear" w:fill="FFFFFF"/>
          <w:vertAlign w:val="superscript"/>
        </w:rPr>
        <w:t>4</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7"/>
          <w:rFonts w:hint="eastAsia" w:ascii="宋体" w:hAnsi="宋体" w:eastAsia="宋体" w:cs="宋体"/>
          <w:i w:val="0"/>
          <w:iCs w:val="0"/>
          <w:caps w:val="0"/>
          <w:color w:val="383838"/>
          <w:spacing w:val="0"/>
          <w:sz w:val="24"/>
          <w:szCs w:val="24"/>
          <w:u w:val="single"/>
          <w:shd w:val="clear" w:fill="FFFFFF"/>
          <w:vertAlign w:val="baseline"/>
        </w:rPr>
        <w:t>（产品名称1）</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u w:val="single"/>
          <w:shd w:val="clear" w:fill="FFFFFF"/>
          <w:vertAlign w:val="baseline"/>
        </w:rPr>
        <w:t>（关键工序）</w:t>
      </w:r>
      <w:r>
        <w:rPr>
          <w:rStyle w:val="27"/>
          <w:rFonts w:hint="eastAsia" w:ascii="宋体" w:hAnsi="宋体" w:eastAsia="宋体" w:cs="宋体"/>
          <w:i w:val="0"/>
          <w:iCs w:val="0"/>
          <w:caps w:val="0"/>
          <w:color w:val="383838"/>
          <w:spacing w:val="0"/>
          <w:sz w:val="28"/>
          <w:szCs w:val="28"/>
          <w:u w:val="single"/>
          <w:shd w:val="clear" w:fill="FFFFFF"/>
          <w:vertAlign w:val="superscript"/>
        </w:rPr>
        <w:t>5</w:t>
      </w:r>
      <w:r>
        <w:rPr>
          <w:rFonts w:hint="eastAsia" w:ascii="宋体" w:hAnsi="宋体" w:eastAsia="宋体" w:cs="宋体"/>
          <w:i w:val="0"/>
          <w:iCs w:val="0"/>
          <w:caps w:val="0"/>
          <w:color w:val="383838"/>
          <w:spacing w:val="0"/>
          <w:sz w:val="24"/>
          <w:szCs w:val="24"/>
          <w:shd w:val="clear" w:fill="FFFFFF"/>
          <w:vertAlign w:val="baseline"/>
        </w:rPr>
        <w:t>在中国境内完成。</w:t>
      </w:r>
    </w:p>
    <w:p w14:paraId="4C645B3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厂名</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，厂址为</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生产厂址</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规定比例</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关键组件）</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产品名称</w:t>
      </w:r>
      <w:r>
        <w:rPr>
          <w:rStyle w:val="27"/>
          <w:rFonts w:hint="eastAsia" w:ascii="宋体" w:hAnsi="宋体" w:eastAsia="宋体" w:cs="宋体"/>
          <w:i w:val="0"/>
          <w:iCs w:val="0"/>
          <w:caps w:val="0"/>
          <w:color w:val="383838"/>
          <w:spacing w:val="0"/>
          <w:sz w:val="24"/>
          <w:szCs w:val="24"/>
          <w:u w:val="single"/>
          <w:shd w:val="clear" w:fill="FFFFFF"/>
          <w:vertAlign w:val="baseline"/>
          <w:lang w:val="en-US" w:eastAsia="zh-CN"/>
        </w:rPr>
        <w:t>2</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7"/>
          <w:rFonts w:hint="eastAsia" w:ascii="宋体" w:hAnsi="宋体" w:eastAsia="宋体" w:cs="宋体"/>
          <w:i w:val="0"/>
          <w:iCs w:val="0"/>
          <w:caps w:val="0"/>
          <w:color w:val="383838"/>
          <w:spacing w:val="0"/>
          <w:sz w:val="24"/>
          <w:szCs w:val="24"/>
          <w:shd w:val="clear" w:fill="FFFFFF"/>
          <w:vertAlign w:val="baseline"/>
        </w:rPr>
        <w:t>（</w:t>
      </w:r>
      <w:r>
        <w:rPr>
          <w:rStyle w:val="27"/>
          <w:rFonts w:hint="eastAsia" w:ascii="宋体" w:hAnsi="宋体" w:eastAsia="宋体" w:cs="宋体"/>
          <w:i w:val="0"/>
          <w:iCs w:val="0"/>
          <w:caps w:val="0"/>
          <w:color w:val="383838"/>
          <w:spacing w:val="0"/>
          <w:sz w:val="24"/>
          <w:szCs w:val="24"/>
          <w:u w:val="single"/>
          <w:shd w:val="clear" w:fill="FFFFFF"/>
          <w:vertAlign w:val="baseline"/>
        </w:rPr>
        <w:t>关键工序</w:t>
      </w:r>
      <w:r>
        <w:rPr>
          <w:rStyle w:val="27"/>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在中国境内完成。</w:t>
      </w:r>
    </w:p>
    <w:p w14:paraId="039F738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w:t>
      </w:r>
    </w:p>
    <w:p w14:paraId="10BF0B7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本公司（单位）对上述声明内容的真实性负责。如有虚假，愿承担相应法律责任。</w:t>
      </w:r>
    </w:p>
    <w:p w14:paraId="16F7F34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u w:val="single"/>
        </w:rPr>
      </w:pPr>
      <w:r>
        <w:rPr>
          <w:rFonts w:hint="eastAsia" w:ascii="微软雅黑" w:hAnsi="微软雅黑" w:eastAsia="微软雅黑" w:cs="微软雅黑"/>
          <w:i w:val="0"/>
          <w:iCs w:val="0"/>
          <w:caps w:val="0"/>
          <w:color w:val="383838"/>
          <w:spacing w:val="0"/>
          <w:sz w:val="24"/>
          <w:szCs w:val="24"/>
          <w:shd w:val="clear" w:fill="FFFFFF"/>
          <w:vertAlign w:val="baseline"/>
        </w:rPr>
        <w:t> 公司（单位）名称（盖章）：</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p>
    <w:p w14:paraId="0107796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日期：　</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 年</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月</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日   </w:t>
      </w:r>
    </w:p>
    <w:p w14:paraId="00DEB80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70C1ED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leftChars="0" w:right="0" w:firstLine="210" w:firstLineChars="100"/>
        <w:textAlignment w:val="baseline"/>
        <w:rPr>
          <w:rFonts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lang w:val="en-US" w:eastAsia="zh-CN"/>
        </w:rPr>
        <w:t>注：</w:t>
      </w:r>
      <w:r>
        <w:rPr>
          <w:rFonts w:hint="eastAsia" w:ascii="微软雅黑" w:hAnsi="微软雅黑" w:eastAsia="微软雅黑" w:cs="微软雅黑"/>
          <w:i w:val="0"/>
          <w:iCs w:val="0"/>
          <w:caps w:val="0"/>
          <w:color w:val="383838"/>
          <w:spacing w:val="0"/>
          <w:sz w:val="21"/>
          <w:szCs w:val="21"/>
          <w:shd w:val="clear" w:fill="FFFFFF"/>
          <w:vertAlign w:val="baseline"/>
        </w:rPr>
        <w:t>1.产品如有型号，请在“产品名称”栏一并填写。</w:t>
      </w:r>
    </w:p>
    <w:p w14:paraId="7296FB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2.生产厂名与厂址应与生产厂营业执照载明的相关信息保持一致。</w:t>
      </w:r>
    </w:p>
    <w:p w14:paraId="706CFF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3.该产品的中国境内生产的组件成本占比相关要求实施前，“规定比例”栏可不填，下同。</w:t>
      </w:r>
    </w:p>
    <w:p w14:paraId="09BB7F8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4.该产品的关键组件要求实施前，“关键组件”栏可不填，下同。</w:t>
      </w:r>
    </w:p>
    <w:p w14:paraId="4B384A3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5.该产品的关键工序要求实施前，“关键工序”栏可不填，下同。</w:t>
      </w:r>
    </w:p>
    <w:p w14:paraId="3CB4FFBC">
      <w:pPr>
        <w:pStyle w:val="21"/>
        <w:ind w:firstLine="240"/>
        <w:jc w:val="center"/>
        <w:rPr>
          <w:rFonts w:hint="eastAsia" w:ascii="宋体" w:hAnsi="宋体" w:eastAsia="宋体" w:cs="宋体"/>
          <w:b/>
          <w:bCs/>
          <w:sz w:val="36"/>
          <w:szCs w:val="36"/>
        </w:rPr>
      </w:pPr>
    </w:p>
    <w:p w14:paraId="219C8919">
      <w:pPr>
        <w:pStyle w:val="21"/>
        <w:ind w:firstLine="240"/>
        <w:jc w:val="center"/>
        <w:rPr>
          <w:rFonts w:hint="eastAsia" w:ascii="宋体" w:hAnsi="宋体" w:eastAsia="宋体" w:cs="宋体"/>
          <w:b/>
          <w:bCs/>
          <w:sz w:val="36"/>
          <w:szCs w:val="36"/>
        </w:rPr>
      </w:pPr>
    </w:p>
    <w:p w14:paraId="31F5C0B0">
      <w:pPr>
        <w:pStyle w:val="21"/>
        <w:ind w:firstLine="240"/>
        <w:jc w:val="center"/>
        <w:rPr>
          <w:rFonts w:hint="eastAsia" w:ascii="宋体" w:hAnsi="宋体" w:eastAsia="宋体" w:cs="宋体"/>
          <w:b/>
          <w:bCs/>
          <w:sz w:val="36"/>
          <w:szCs w:val="36"/>
        </w:rPr>
      </w:pPr>
    </w:p>
    <w:p w14:paraId="545F919B">
      <w:pPr>
        <w:pStyle w:val="21"/>
        <w:ind w:firstLine="240"/>
        <w:jc w:val="center"/>
        <w:rPr>
          <w:rFonts w:hint="eastAsia" w:ascii="宋体" w:hAnsi="宋体" w:eastAsia="宋体" w:cs="宋体"/>
          <w:b/>
          <w:bCs/>
          <w:sz w:val="36"/>
          <w:szCs w:val="36"/>
        </w:rPr>
      </w:pPr>
      <w:r>
        <w:rPr>
          <w:rFonts w:hint="eastAsia" w:ascii="宋体" w:hAnsi="宋体" w:eastAsia="宋体" w:cs="宋体"/>
          <w:b/>
          <w:bCs/>
          <w:sz w:val="36"/>
          <w:szCs w:val="36"/>
        </w:rPr>
        <w:t>河南省政府采购合同融资政策告知函</w:t>
      </w:r>
    </w:p>
    <w:p w14:paraId="092614BD">
      <w:pPr>
        <w:pStyle w:val="21"/>
        <w:ind w:firstLine="240"/>
        <w:rPr>
          <w:rFonts w:hint="eastAsia"/>
          <w:sz w:val="24"/>
          <w:szCs w:val="24"/>
        </w:rPr>
      </w:pPr>
    </w:p>
    <w:p w14:paraId="624DA057">
      <w:pPr>
        <w:pStyle w:val="21"/>
        <w:keepNext w:val="0"/>
        <w:keepLines w:val="0"/>
        <w:pageBreakBefore w:val="0"/>
        <w:widowControl w:val="0"/>
        <w:kinsoku/>
        <w:wordWrap/>
        <w:overflowPunct/>
        <w:topLinePunct w:val="0"/>
        <w:autoSpaceDE/>
        <w:autoSpaceDN/>
        <w:bidi w:val="0"/>
        <w:adjustRightInd/>
        <w:snapToGrid/>
        <w:spacing w:line="480" w:lineRule="auto"/>
        <w:ind w:firstLine="240"/>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1137CFE5">
      <w:pPr>
        <w:pStyle w:val="21"/>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170205E3">
      <w:pPr>
        <w:pStyle w:val="21"/>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A0937FA">
      <w:pPr>
        <w:pStyle w:val="21"/>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14:paraId="3CB487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6EAB6E3B">
      <w:pPr>
        <w:pStyle w:val="21"/>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2A7A1A1B">
      <w:pPr>
        <w:pStyle w:val="21"/>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28802921">
      <w:pPr>
        <w:pStyle w:val="21"/>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2、中国农业银行固始县支行，联系人：姚玉烛 联系方式：18037601233 ；</w:t>
      </w:r>
    </w:p>
    <w:p w14:paraId="6A08750F">
      <w:pPr>
        <w:pStyle w:val="51"/>
        <w:wordWrap w:val="0"/>
        <w:spacing w:after="580" w:line="607" w:lineRule="exact"/>
        <w:ind w:firstLine="620"/>
        <w:jc w:val="left"/>
      </w:pPr>
    </w:p>
    <w:p w14:paraId="6553C104">
      <w:pPr>
        <w:ind w:left="0" w:leftChars="0" w:firstLine="0" w:firstLineChars="0"/>
        <w:jc w:val="both"/>
        <w:rPr>
          <w:rFonts w:ascii="宋体" w:hAnsi="宋体" w:eastAsia="宋体" w:cs="宋体"/>
          <w:b/>
          <w:sz w:val="52"/>
          <w:szCs w:val="52"/>
        </w:rPr>
      </w:pPr>
    </w:p>
    <w:sectPr>
      <w:headerReference r:id="rId13" w:type="default"/>
      <w:footerReference r:id="rId14" w:type="default"/>
      <w:pgSz w:w="11906" w:h="16838"/>
      <w:pgMar w:top="1134" w:right="1134" w:bottom="1134" w:left="1417" w:header="851" w:footer="992" w:gutter="0"/>
      <w:pgNumType w:fmt="numberInDash"/>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
    <w:altName w:val="Microsoft Sans Serif"/>
    <w:panose1 w:val="020B0604020202020204"/>
    <w:charset w:val="00"/>
    <w:family w:val="swiss"/>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EF88">
    <w:pPr>
      <w:pStyle w:val="14"/>
      <w:pBdr>
        <w:top w:val="none" w:color="auto" w:sz="0" w:space="1"/>
      </w:pBdr>
      <w:tabs>
        <w:tab w:val="center" w:pos="4845"/>
        <w:tab w:val="clear" w:pos="4153"/>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8981">
    <w:pPr>
      <w:pStyle w:val="14"/>
      <w:pBdr>
        <w:top w:val="none" w:color="auto" w:sz="0" w:space="1"/>
      </w:pBdr>
      <w:tabs>
        <w:tab w:val="center" w:pos="4845"/>
        <w:tab w:val="clear" w:pos="4153"/>
      </w:tabs>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E0EB9">
                          <w:pPr>
                            <w:pStyle w:val="1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4EE0EB9">
                    <w:pPr>
                      <w:pStyle w:val="1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80AD">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E6042">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3E6042">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47A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12DE9">
                          <w:pPr>
                            <w:pStyle w:val="14"/>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othXM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28pcdziwM9Pj+cfv84/v5Nl&#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othXMEBAACNAwAADgAAAAAAAAABACAAAAAeAQAAZHJzL2Uyb0RvYy54bWxQSwUG&#10;AAAAAAYABgBZAQAAUQUAAAAA&#10;">
              <v:fill on="f" focussize="0,0"/>
              <v:stroke on="f"/>
              <v:imagedata o:title=""/>
              <o:lock v:ext="edit" aspectratio="f"/>
              <v:textbox inset="0mm,0mm,0mm,0mm" style="mso-fit-shape-to-text:t;">
                <w:txbxContent>
                  <w:p w14:paraId="01F12DE9">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9CE1">
    <w:pPr>
      <w:pBdr>
        <w:top w:val="single" w:color="auto" w:sz="4" w:space="1"/>
        <w:left w:val="none" w:color="auto" w:sz="0" w:space="4"/>
        <w:bottom w:val="none" w:color="auto" w:sz="0" w:space="1"/>
        <w:right w:val="none" w:color="auto" w:sz="0" w:space="4"/>
      </w:pBdr>
      <w:snapToGrid w:val="0"/>
      <w:ind w:firstLine="0" w:firstLineChars="0"/>
      <w:jc w:val="left"/>
      <w:rPr>
        <w:rFonts w:hint="eastAsia" w:ascii="Times New Roman" w:hAnsi="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97522">
                          <w:pPr>
                            <w:pStyle w:val="14"/>
                            <w:ind w:firstLine="360"/>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SozMoBAACb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9k&#10;+TY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rSozMoBAACbAwAADgAAAAAAAAABACAAAAAeAQAAZHJzL2Uyb0Rv&#10;Yy54bWxQSwUGAAAAAAYABgBZAQAAWgUAAAAA&#10;">
              <v:fill on="f" focussize="0,0"/>
              <v:stroke on="f"/>
              <v:imagedata o:title=""/>
              <o:lock v:ext="edit" aspectratio="f"/>
              <v:textbox inset="0mm,0mm,0mm,0mm" style="mso-fit-shape-to-text:t;">
                <w:txbxContent>
                  <w:p w14:paraId="0D697522">
                    <w:pPr>
                      <w:pStyle w:val="14"/>
                      <w:ind w:firstLine="36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7EAC">
    <w:pPr>
      <w:pStyle w:val="1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57E50">
                          <w:pPr>
                            <w:pStyle w:val="14"/>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6757E50">
                    <w:pPr>
                      <w:pStyle w:val="14"/>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A53C">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32D8">
    <w:pPr>
      <w:rPr>
        <w:rFonts w:hint="eastAsia"/>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A547">
    <w:pPr>
      <w:pBdr>
        <w:bottom w:val="none" w:color="auto" w:sz="0" w:space="1"/>
      </w:pBdr>
      <w:snapToGrid w:val="0"/>
      <w:ind w:firstLine="300"/>
      <w:jc w:val="center"/>
      <w:rPr>
        <w:rFonts w:ascii="Times New Roman" w:hAnsi="Times New Roman"/>
        <w:i/>
        <w:iCs/>
        <w:color w:val="0000FF"/>
        <w:sz w:val="18"/>
        <w:szCs w:val="18"/>
      </w:rPr>
    </w:pPr>
    <w:r>
      <w:rPr>
        <w:rFonts w:hint="eastAsia" w:ascii="宋体" w:hAnsi="宋体"/>
        <w:sz w:val="15"/>
        <w:szCs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1F68">
    <w:pPr>
      <w:pStyle w:val="15"/>
      <w:pBdr>
        <w:bottom w:val="none" w:color="auto" w:sz="0" w:space="1"/>
      </w:pBdr>
      <w:ind w:firstLine="360"/>
      <w:jc w:val="right"/>
      <w:rPr>
        <w:rFonts w:ascii="宋体" w:hAnsi="宋体" w:eastAsia="宋体"/>
        <w:sz w:val="15"/>
        <w:szCs w:val="15"/>
      </w:rPr>
    </w:pPr>
    <w:r>
      <w:rPr>
        <w:rFonts w:hint="eastAsia" w:ascii="宋体" w:hAnsi="宋体" w:eastAsia="宋体" w:cs="宋体"/>
        <w:i/>
        <w:iCs/>
        <w:color w:val="0000FF"/>
      </w:rPr>
      <w:t xml:space="preserve"> </w:t>
    </w:r>
  </w:p>
  <w:p w14:paraId="47FD8F06">
    <w:pPr>
      <w:pStyle w:val="15"/>
      <w:pBdr>
        <w:bottom w:val="none" w:color="auto" w:sz="0" w:space="1"/>
      </w:pBdr>
      <w:ind w:firstLine="30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4ADC87F1"/>
    <w:multiLevelType w:val="singleLevel"/>
    <w:tmpl w:val="4ADC87F1"/>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TAxMWExNjdkYjEwNjU3ZTI0ZmJkYTA5YzVhNWUifQ=="/>
  </w:docVars>
  <w:rsids>
    <w:rsidRoot w:val="50D66C2C"/>
    <w:rsid w:val="008F0DF6"/>
    <w:rsid w:val="00900791"/>
    <w:rsid w:val="00DF7E4C"/>
    <w:rsid w:val="00EE49E4"/>
    <w:rsid w:val="017619EC"/>
    <w:rsid w:val="01DF087E"/>
    <w:rsid w:val="025D1E1F"/>
    <w:rsid w:val="02AB5C2A"/>
    <w:rsid w:val="02E7358A"/>
    <w:rsid w:val="0319342B"/>
    <w:rsid w:val="03F14C93"/>
    <w:rsid w:val="07571D11"/>
    <w:rsid w:val="07792F24"/>
    <w:rsid w:val="07AD3B8F"/>
    <w:rsid w:val="091A6E51"/>
    <w:rsid w:val="0F2C6214"/>
    <w:rsid w:val="0F3A448D"/>
    <w:rsid w:val="0FAD03B9"/>
    <w:rsid w:val="10EF7E1B"/>
    <w:rsid w:val="111D43F7"/>
    <w:rsid w:val="11282F77"/>
    <w:rsid w:val="11B26453"/>
    <w:rsid w:val="12650A6D"/>
    <w:rsid w:val="14F1556F"/>
    <w:rsid w:val="15CA2A88"/>
    <w:rsid w:val="165C00E9"/>
    <w:rsid w:val="16BF796D"/>
    <w:rsid w:val="18B828C6"/>
    <w:rsid w:val="1A305456"/>
    <w:rsid w:val="1C2A55C0"/>
    <w:rsid w:val="2004691F"/>
    <w:rsid w:val="20FE17E0"/>
    <w:rsid w:val="229F3574"/>
    <w:rsid w:val="22AF4D3A"/>
    <w:rsid w:val="22FD5FBB"/>
    <w:rsid w:val="23321EDF"/>
    <w:rsid w:val="23B05D8F"/>
    <w:rsid w:val="25C04367"/>
    <w:rsid w:val="27BD0741"/>
    <w:rsid w:val="2C2F5C6E"/>
    <w:rsid w:val="33205BA7"/>
    <w:rsid w:val="356F5FF0"/>
    <w:rsid w:val="35AF70D3"/>
    <w:rsid w:val="35E828C7"/>
    <w:rsid w:val="363E6BBB"/>
    <w:rsid w:val="364D41F6"/>
    <w:rsid w:val="37221959"/>
    <w:rsid w:val="37F21986"/>
    <w:rsid w:val="38CF22E0"/>
    <w:rsid w:val="39255FA8"/>
    <w:rsid w:val="3A501F38"/>
    <w:rsid w:val="3CF03696"/>
    <w:rsid w:val="3D175F35"/>
    <w:rsid w:val="40926433"/>
    <w:rsid w:val="40E907ED"/>
    <w:rsid w:val="433409E5"/>
    <w:rsid w:val="43435BE8"/>
    <w:rsid w:val="44B82B7B"/>
    <w:rsid w:val="4511790F"/>
    <w:rsid w:val="451A6D87"/>
    <w:rsid w:val="4597409E"/>
    <w:rsid w:val="45F45C74"/>
    <w:rsid w:val="461F57EC"/>
    <w:rsid w:val="49D90544"/>
    <w:rsid w:val="4BA32DDE"/>
    <w:rsid w:val="4D36558C"/>
    <w:rsid w:val="4E597784"/>
    <w:rsid w:val="4EAC69A6"/>
    <w:rsid w:val="50041972"/>
    <w:rsid w:val="50D66C2C"/>
    <w:rsid w:val="52B06989"/>
    <w:rsid w:val="5334157A"/>
    <w:rsid w:val="543D7A93"/>
    <w:rsid w:val="55EF5854"/>
    <w:rsid w:val="57B7145F"/>
    <w:rsid w:val="596B551F"/>
    <w:rsid w:val="5A970938"/>
    <w:rsid w:val="5ABC0C5C"/>
    <w:rsid w:val="5D3B13ED"/>
    <w:rsid w:val="5E3B2A02"/>
    <w:rsid w:val="5EC64EAF"/>
    <w:rsid w:val="618F3346"/>
    <w:rsid w:val="63FD391C"/>
    <w:rsid w:val="68543221"/>
    <w:rsid w:val="691B5344"/>
    <w:rsid w:val="6A613FA0"/>
    <w:rsid w:val="6AA45889"/>
    <w:rsid w:val="6D0E07FE"/>
    <w:rsid w:val="6FAD0600"/>
    <w:rsid w:val="6FC942EF"/>
    <w:rsid w:val="6FE60753"/>
    <w:rsid w:val="701B139D"/>
    <w:rsid w:val="70F27DEC"/>
    <w:rsid w:val="715840F0"/>
    <w:rsid w:val="716F06EF"/>
    <w:rsid w:val="717D40AB"/>
    <w:rsid w:val="73DB6824"/>
    <w:rsid w:val="749B4563"/>
    <w:rsid w:val="74B63922"/>
    <w:rsid w:val="76610E9C"/>
    <w:rsid w:val="76DA4B17"/>
    <w:rsid w:val="79552AE1"/>
    <w:rsid w:val="7A5F3595"/>
    <w:rsid w:val="7A855F8E"/>
    <w:rsid w:val="7B326DD5"/>
    <w:rsid w:val="7B33248E"/>
    <w:rsid w:val="7C850F2F"/>
    <w:rsid w:val="7CAB1522"/>
    <w:rsid w:val="7F1E7D70"/>
    <w:rsid w:val="7FC4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0"/>
    <w:pPr>
      <w:keepNext/>
      <w:jc w:val="center"/>
      <w:outlineLvl w:val="0"/>
    </w:pPr>
    <w:rPr>
      <w:b/>
      <w:bCs/>
      <w:color w:val="000000"/>
      <w:sz w:val="32"/>
    </w:rPr>
  </w:style>
  <w:style w:type="paragraph" w:styleId="3">
    <w:name w:val="heading 2"/>
    <w:basedOn w:val="1"/>
    <w:next w:val="1"/>
    <w:link w:val="48"/>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99"/>
    <w:pPr>
      <w:jc w:val="left"/>
    </w:pPr>
  </w:style>
  <w:style w:type="paragraph" w:styleId="7">
    <w:name w:val="Body Text 3"/>
    <w:basedOn w:val="1"/>
    <w:qFormat/>
    <w:uiPriority w:val="0"/>
    <w:rPr>
      <w:rFonts w:hAnsi="Times New Roman"/>
      <w:kern w:val="0"/>
      <w:sz w:val="24"/>
      <w:szCs w:val="20"/>
    </w:rPr>
  </w:style>
  <w:style w:type="paragraph" w:styleId="8">
    <w:name w:val="Body Text"/>
    <w:basedOn w:val="1"/>
    <w:next w:val="9"/>
    <w:qFormat/>
    <w:uiPriority w:val="0"/>
  </w:style>
  <w:style w:type="paragraph" w:customStyle="1" w:styleId="9">
    <w:name w:val="Default"/>
    <w:basedOn w:val="10"/>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Plain Text"/>
    <w:basedOn w:val="1"/>
    <w:qFormat/>
    <w:uiPriority w:val="0"/>
    <w:rPr>
      <w:rFonts w:ascii="宋体" w:hAnsi="Courier New"/>
      <w:szCs w:val="20"/>
    </w:rPr>
  </w:style>
  <w:style w:type="paragraph" w:styleId="11">
    <w:name w:val="Body Text Indent"/>
    <w:basedOn w:val="1"/>
    <w:next w:val="1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39"/>
    <w:pPr>
      <w:widowControl/>
      <w:spacing w:line="276" w:lineRule="auto"/>
      <w:ind w:left="220"/>
      <w:jc w:val="left"/>
    </w:pPr>
    <w:rPr>
      <w:rFonts w:ascii="Calibri" w:hAnsi="Calibri"/>
      <w:kern w:val="0"/>
      <w:sz w:val="22"/>
    </w:rPr>
  </w:style>
  <w:style w:type="paragraph" w:styleId="19">
    <w:name w:val="Body Text 2"/>
    <w:basedOn w:val="1"/>
    <w:next w:val="8"/>
    <w:qFormat/>
    <w:uiPriority w:val="0"/>
    <w:pPr>
      <w:spacing w:line="480" w:lineRule="auto"/>
    </w:pPr>
  </w:style>
  <w:style w:type="paragraph" w:styleId="20">
    <w:name w:val="Normal (Web)"/>
    <w:basedOn w:val="1"/>
    <w:qFormat/>
    <w:uiPriority w:val="0"/>
    <w:pPr>
      <w:widowControl/>
      <w:spacing w:beforeAutospacing="1" w:afterAutospacing="1"/>
      <w:jc w:val="left"/>
    </w:pPr>
    <w:rPr>
      <w:rFonts w:ascii="宋体" w:hAnsi="宋体" w:cs="宋体"/>
      <w:kern w:val="0"/>
      <w:sz w:val="24"/>
      <w:szCs w:val="24"/>
    </w:rPr>
  </w:style>
  <w:style w:type="paragraph" w:styleId="21">
    <w:name w:val="Body Text First Indent"/>
    <w:basedOn w:val="8"/>
    <w:next w:val="1"/>
    <w:qFormat/>
    <w:uiPriority w:val="0"/>
    <w:pPr>
      <w:ind w:firstLine="420" w:firstLineChars="100"/>
    </w:pPr>
  </w:style>
  <w:style w:type="paragraph" w:styleId="22">
    <w:name w:val="Body Text First Indent 2"/>
    <w:basedOn w:val="11"/>
    <w:next w:val="1"/>
    <w:qFormat/>
    <w:uiPriority w:val="0"/>
    <w:pPr>
      <w:spacing w:line="240" w:lineRule="auto"/>
      <w:ind w:left="420" w:leftChars="200" w:firstLine="420" w:firstLineChars="200"/>
    </w:p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Emphasis"/>
    <w:basedOn w:val="25"/>
    <w:qFormat/>
    <w:uiPriority w:val="0"/>
    <w:rPr>
      <w:i/>
    </w:rPr>
  </w:style>
  <w:style w:type="paragraph" w:customStyle="1" w:styleId="28">
    <w:name w:val="无间隔1"/>
    <w:basedOn w:val="1"/>
    <w:qFormat/>
    <w:uiPriority w:val="1"/>
    <w:pPr>
      <w:spacing w:line="400" w:lineRule="exact"/>
    </w:p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style4"/>
    <w:basedOn w:val="31"/>
    <w:next w:val="32"/>
    <w:qFormat/>
    <w:uiPriority w:val="0"/>
    <w:pPr>
      <w:widowControl/>
      <w:spacing w:beforeAutospacing="1" w:afterAutospacing="1"/>
      <w:jc w:val="left"/>
    </w:pPr>
    <w:rPr>
      <w:rFonts w:ascii="宋体" w:hAnsi="宋体" w:cs="宋体"/>
      <w:kern w:val="0"/>
      <w:sz w:val="18"/>
      <w:szCs w:val="18"/>
    </w:rPr>
  </w:style>
  <w:style w:type="paragraph" w:customStyle="1" w:styleId="31">
    <w:name w:val="正文1"/>
    <w:next w:val="21"/>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32">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33">
    <w:name w:val="BodyText1I2"/>
    <w:basedOn w:val="34"/>
    <w:next w:val="35"/>
    <w:qFormat/>
    <w:uiPriority w:val="0"/>
    <w:pPr>
      <w:ind w:firstLine="420"/>
    </w:pPr>
    <w:rPr>
      <w:rFonts w:ascii="Calibri" w:hAnsi="Calibri" w:eastAsia="楷体_GB2312"/>
      <w:kern w:val="44"/>
      <w:sz w:val="44"/>
    </w:rPr>
  </w:style>
  <w:style w:type="paragraph" w:customStyle="1" w:styleId="34">
    <w:name w:val="BodyTextIndent"/>
    <w:basedOn w:val="1"/>
    <w:qFormat/>
    <w:uiPriority w:val="0"/>
    <w:pPr>
      <w:spacing w:after="120"/>
      <w:ind w:left="420" w:leftChars="200"/>
    </w:pPr>
    <w:rPr>
      <w:rFonts w:ascii="Times New Roman" w:hAnsi="Times New Roman"/>
      <w:kern w:val="0"/>
      <w:sz w:val="20"/>
    </w:rPr>
  </w:style>
  <w:style w:type="paragraph" w:customStyle="1" w:styleId="35">
    <w:name w:val="UserStyle_136"/>
    <w:basedOn w:val="1"/>
    <w:next w:val="1"/>
    <w:qFormat/>
    <w:uiPriority w:val="0"/>
    <w:pPr>
      <w:spacing w:after="120" w:line="320" w:lineRule="atLeast"/>
    </w:pPr>
    <w:rPr>
      <w:rFonts w:ascii="Arial" w:hAnsi="Arial"/>
      <w:kern w:val="0"/>
    </w:rPr>
  </w:style>
  <w:style w:type="paragraph" w:customStyle="1" w:styleId="36">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szCs w:val="20"/>
    </w:rPr>
  </w:style>
  <w:style w:type="paragraph" w:styleId="37">
    <w:name w:val="List Paragraph"/>
    <w:basedOn w:val="1"/>
    <w:qFormat/>
    <w:uiPriority w:val="0"/>
    <w:pPr>
      <w:ind w:firstLine="420"/>
    </w:pPr>
    <w:rPr>
      <w:szCs w:val="24"/>
    </w:rPr>
  </w:style>
  <w:style w:type="paragraph" w:customStyle="1" w:styleId="38">
    <w:name w:val="样式 标题 3 + (中文) 黑体 小四 非加粗 段前: 7.8 磅 段后: 0 磅 行距: 固定值 20 磅"/>
    <w:basedOn w:val="4"/>
    <w:qFormat/>
    <w:uiPriority w:val="0"/>
    <w:pPr>
      <w:spacing w:line="400" w:lineRule="exact"/>
    </w:pPr>
    <w:rPr>
      <w:rFonts w:eastAsia="黑体" w:cs="宋体"/>
      <w:b w:val="0"/>
      <w:szCs w:val="20"/>
    </w:rPr>
  </w:style>
  <w:style w:type="paragraph" w:customStyle="1" w:styleId="39">
    <w:name w:val="正文_0"/>
    <w:next w:val="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3">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
    <w:basedOn w:val="1"/>
    <w:next w:val="1"/>
    <w:qFormat/>
    <w:uiPriority w:val="0"/>
    <w:pPr>
      <w:widowControl/>
      <w:ind w:firstLine="482"/>
    </w:pPr>
    <w:rPr>
      <w:rFonts w:ascii="微软雅黑" w:hAnsi="微软雅黑" w:eastAsia="微软雅黑"/>
      <w:szCs w:val="32"/>
    </w:rPr>
  </w:style>
  <w:style w:type="character" w:customStyle="1" w:styleId="45">
    <w:name w:val="标题 1 字符"/>
    <w:link w:val="2"/>
    <w:qFormat/>
    <w:uiPriority w:val="0"/>
    <w:rPr>
      <w:b/>
      <w:bCs/>
      <w:color w:val="000000"/>
      <w:sz w:val="32"/>
    </w:rPr>
  </w:style>
  <w:style w:type="table" w:customStyle="1" w:styleId="46">
    <w:name w:val="Table Normal"/>
    <w:unhideWhenUsed/>
    <w:qFormat/>
    <w:uiPriority w:val="0"/>
    <w:tblPr>
      <w:tblCellMar>
        <w:top w:w="0" w:type="dxa"/>
        <w:left w:w="0" w:type="dxa"/>
        <w:bottom w:w="0" w:type="dxa"/>
        <w:right w:w="0" w:type="dxa"/>
      </w:tblCellMar>
    </w:tblPr>
  </w:style>
  <w:style w:type="character" w:customStyle="1" w:styleId="47">
    <w:name w:val="标题 1 Char"/>
    <w:link w:val="2"/>
    <w:qFormat/>
    <w:uiPriority w:val="0"/>
    <w:rPr>
      <w:rFonts w:ascii="Ari" w:hAnsi="Ari" w:eastAsia="宋体"/>
      <w:b/>
      <w:kern w:val="44"/>
      <w:sz w:val="32"/>
    </w:rPr>
  </w:style>
  <w:style w:type="character" w:customStyle="1" w:styleId="48">
    <w:name w:val="标题 2 Char"/>
    <w:link w:val="3"/>
    <w:qFormat/>
    <w:uiPriority w:val="0"/>
    <w:rPr>
      <w:rFonts w:ascii="宋体" w:hAnsi="宋体"/>
      <w:b/>
      <w:sz w:val="30"/>
      <w:szCs w:val="30"/>
    </w:rPr>
  </w:style>
  <w:style w:type="character" w:customStyle="1" w:styleId="49">
    <w:name w:val="font61"/>
    <w:basedOn w:val="25"/>
    <w:qFormat/>
    <w:uiPriority w:val="0"/>
    <w:rPr>
      <w:rFonts w:ascii="宋体" w:hAnsi="宋体" w:eastAsia="宋体" w:cs="宋体"/>
      <w:color w:val="FF0000"/>
      <w:sz w:val="18"/>
      <w:szCs w:val="18"/>
      <w:u w:val="none"/>
    </w:rPr>
  </w:style>
  <w:style w:type="paragraph" w:customStyle="1" w:styleId="50">
    <w:name w:val="样式 正文首行缩进 2 + Arial"/>
    <w:basedOn w:val="1"/>
    <w:next w:val="1"/>
    <w:autoRedefine/>
    <w:qFormat/>
    <w:uiPriority w:val="0"/>
    <w:pPr>
      <w:spacing w:after="120" w:line="320" w:lineRule="atLeast"/>
    </w:pPr>
    <w:rPr>
      <w:rFonts w:ascii="Arial" w:hAnsi="Arial"/>
      <w:kern w:val="0"/>
    </w:rPr>
  </w:style>
  <w:style w:type="paragraph" w:customStyle="1" w:styleId="51">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5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158</Words>
  <Characters>170</Characters>
  <Lines>229</Lines>
  <Paragraphs>64</Paragraphs>
  <TotalTime>12</TotalTime>
  <ScaleCrop>false</ScaleCrop>
  <LinksUpToDate>false</LinksUpToDate>
  <CharactersWithSpaces>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2023-05-16T04:00:00Z</dcterms:created>
  <dc:creator></dc:creator>
  <cp:lastModifiedBy>blackcat626</cp:lastModifiedBy>
  <cp:lastPrinted>2023-05-18T07:41:00Z</cp:lastPrinted>
  <dcterms:modified xsi:type="dcterms:W3CDTF">2026-05-19T09:08:12Z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8AE8CCF542234FDCB9BD00BD0859B0F5_11</vt:lpwstr>
  </property>
  <property fmtid="{D5CDD505-2E9C-101B-9397-08002B2CF9AE}" pid="4" name="KSOTemplateDocerSaveRecord">
    <vt:lpwstr>eyJoZGlkIjoiMTk5OGUzMjVmNzJlNGMzNmE0OTA2OWYxZTIxNjYxZjciLCJ1c2VySWQiOiI1MzkzMjI4MTAifQ==</vt:lpwstr>
  </property>
</Properties>
</file>